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tabs>
          <w:tab w:val="left" w:leader="none" w:pos="567"/>
        </w:tabs>
        <w:spacing w:after="0" w:before="120" w:line="240" w:lineRule="auto"/>
        <w:ind w:left="48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Vein of Galen aneurysmal malformation (VGAM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74747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shd w:fill="b7b7b7" w:val="clear"/>
          <w:rtl w:val="0"/>
        </w:rPr>
        <w:t xml:space="preserve">2025新增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2"/>
        </w:numPr>
        <w:tabs>
          <w:tab w:val="left" w:leader="none" w:pos="567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8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</w:t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8"/>
        </w:numPr>
        <w:tabs>
          <w:tab w:val="left" w:leader="none" w:pos="567"/>
        </w:tabs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choroidal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Multiple feeders, including: thalamoperforating, choroidal and pericallosal arteries are located in the subarachnoid space in the choroidal fissure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8"/>
        </w:numPr>
        <w:tabs>
          <w:tab w:val="left" w:leader="none" w:pos="567"/>
        </w:tabs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mural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Fistulae in the subarachnoid space in the wall of the median prosencephalic vein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8"/>
        </w:numPr>
        <w:tabs>
          <w:tab w:val="left" w:leader="none" w:pos="567"/>
        </w:tabs>
        <w:spacing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05050"/>
          <w:sz w:val="24"/>
          <w:szCs w:val="24"/>
          <w:highlight w:val="white"/>
          <w:rtl w:val="0"/>
        </w:rPr>
        <w:t xml:space="preserve">Secondary:Parenchymal Arteriovenous Malformations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Clinical presentations: </w:t>
      </w:r>
    </w:p>
    <w:p w:rsidR="00000000" w:rsidDel="00000000" w:rsidP="00000000" w:rsidRDefault="00000000" w:rsidRPr="00000000" w14:paraId="00000008">
      <w:pPr>
        <w:spacing w:line="3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greater the size, the larger the degree of shunting through the lesion, and the earlier the presentation.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3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 : high-output cardiac failure, pulmonary hypertension, and  multiorgan system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line="3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Neuro: Cyanosis, hemorrhagic lesions, hydrocephalus, cerebral atrophy,impaired cortical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tabs>
          <w:tab w:val="left" w:leader="none" w:pos="567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Diagnosis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7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Prenatal screening ultrasound or with the fetal MRI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7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Cranial doppler sonogram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7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 CT with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7"/>
        </w:numPr>
        <w:tabs>
          <w:tab w:val="left" w:leader="none" w:pos="567"/>
        </w:tabs>
        <w:spacing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MRI 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567"/>
        </w:tabs>
        <w:spacing w:before="12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Investigate for severity of  heart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tabs>
          <w:tab w:val="left" w:leader="none" w:pos="567"/>
        </w:tabs>
        <w:spacing w:after="0" w:before="12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Echocardiogram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Renal and liver function test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EEG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tabs>
          <w:tab w:val="left" w:leader="none" w:pos="567"/>
        </w:tabs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567"/>
        </w:tabs>
        <w:spacing w:before="12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therapy goal is to minimize congestive heart failure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567"/>
        </w:tabs>
        <w:spacing w:before="12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Bicêtre score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tabs>
          <w:tab w:val="left" w:leader="none" w:pos="567"/>
        </w:tabs>
        <w:spacing w:after="0" w:before="12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&lt; 8 points：No treatment (recent studies showed this group receiving embolization may still have good outcome)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205755</wp:posOffset>
            </wp:positionV>
            <wp:extent cx="6840000" cy="20320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03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8-12 points：Emergent embolization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tabs>
          <w:tab w:val="left" w:leader="none" w:pos="567"/>
        </w:tabs>
        <w:spacing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&gt;12 points：Embolization at 5 months of age with continue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567"/>
        </w:tabs>
        <w:spacing w:before="120" w:line="240" w:lineRule="auto"/>
        <w:ind w:left="1440" w:firstLine="0"/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tabs>
          <w:tab w:val="left" w:leader="none" w:pos="567"/>
        </w:tabs>
        <w:spacing w:after="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Embolization：the main approach to treatment and can be performed by an arterial transarterial approach using liquid adhesive agents or micro coils or by a transvenous approach typically using the umbilical or femoral veins.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tabs>
          <w:tab w:val="left" w:leader="none" w:pos="567"/>
        </w:tabs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Microsurgery： not a primary treatment, but may still be performed  for  persistent hydrocephalus, intracranial bleeds, hematomas, or when embolization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u w:val="no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u w:val="no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u w:val="no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u w:val="no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