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BẢNG THỐNG KÊ CHI PHÍ DỰ ÁN</w:t>
      </w:r>
    </w:p>
    <w:p>
      <w:pPr>
        <w:jc w:val="center"/>
      </w:pPr>
      <w:r>
        <w:rPr>
          <w:rFonts w:ascii="Arial" w:hAnsi="Arial" w:eastAsia="Arial"/>
          <w:color w:val="596778"/>
          <w:sz w:val="22"/>
        </w:rPr>
        <w:t>Sonic Math Runner - bản tổng hợp gửi khách hàng</w:t>
      </w:r>
    </w:p>
    <w:tbl>
      <w:tblPr>
        <w:tblStyle w:val="TableGrid"/>
        <w:tblW w:type="pct" w:w="4600"/>
        <w:jc w:val="center"/>
        <w:tblLook w:firstColumn="1" w:firstRow="1" w:lastColumn="0" w:lastRow="0" w:noHBand="0" w:noVBand="1" w:val="04A0"/>
      </w:tblPr>
      <w:tblGrid>
        <w:gridCol w:w="7654"/>
        <w:gridCol w:w="7654"/>
      </w:tblGrid>
      <w:tr>
        <w:tc>
          <w:tcPr>
            <w:tcW w:type="dxa" w:w="7654"/>
            <w:tcBorders>
              <w:top w:val="single" w:sz="6" w:space="0" w:color="D9E2EC"/>
              <w:left w:val="single" w:sz="6" w:space="0" w:color="D9E2EC"/>
              <w:bottom w:val="single" w:sz="6" w:space="0" w:color="D9E2EC"/>
              <w:right w:val="single" w:sz="6" w:space="0" w:color="D9E2EC"/>
            </w:tcBorders>
            <w:tcMar>
              <w:top w:w="95" w:type="dxa"/>
              <w:start w:w="120" w:type="dxa"/>
              <w:bottom w:w="95" w:type="dxa"/>
              <w:end w:w="120" w:type="dxa"/>
            </w:tcMar>
            <w:shd w:fill="EAF2FB"/>
            <w:vAlign w:val="center"/>
          </w:tcPr>
          <w:p>
            <w:pPr>
              <w:spacing w:before="0" w:after="0" w:line="252" w:lineRule="auto"/>
              <w:jc w:val="left"/>
            </w:pPr>
            <w:r>
              <w:rPr>
                <w:rFonts w:ascii="Arial" w:hAnsi="Arial" w:eastAsia="Arial"/>
                <w:b/>
                <w:color w:val="1F4E79"/>
                <w:sz w:val="19"/>
              </w:rPr>
              <w:t>Phạm vi</w:t>
            </w:r>
          </w:p>
        </w:tc>
        <w:tc>
          <w:tcPr>
            <w:tcW w:type="dxa" w:w="7654"/>
            <w:tcBorders>
              <w:top w:val="single" w:sz="6" w:space="0" w:color="D9E2EC"/>
              <w:left w:val="single" w:sz="6" w:space="0" w:color="D9E2EC"/>
              <w:bottom w:val="single" w:sz="6" w:space="0" w:color="D9E2EC"/>
              <w:right w:val="single" w:sz="6" w:space="0" w:color="D9E2EC"/>
            </w:tcBorders>
            <w:tcMar>
              <w:top w:w="95" w:type="dxa"/>
              <w:start w:w="120" w:type="dxa"/>
              <w:bottom w:w="95" w:type="dxa"/>
              <w:end w:w="120" w:type="dxa"/>
            </w:tcMar>
            <w:vAlign w:val="center"/>
          </w:tcPr>
          <w:p>
            <w:pPr>
              <w:spacing w:before="0" w:after="0" w:line="252" w:lineRule="auto"/>
              <w:jc w:val="left"/>
            </w:pPr>
            <w:r>
              <w:rPr>
                <w:rFonts w:ascii="Arial" w:hAnsi="Arial" w:eastAsia="Arial"/>
                <w:b w:val="0"/>
                <w:sz w:val="19"/>
              </w:rPr>
              <w:t>Game web 3D kết hợp quiz Toán, trang quản trị câu hỏi, backend Node.js/SQLite, PWA và tài liệu kỹ thuật.</w:t>
            </w:r>
          </w:p>
        </w:tc>
      </w:tr>
      <w:tr>
        <w:tc>
          <w:tcPr>
            <w:tcW w:type="dxa" w:w="7654"/>
            <w:tcBorders>
              <w:top w:val="single" w:sz="6" w:space="0" w:color="D9E2EC"/>
              <w:left w:val="single" w:sz="6" w:space="0" w:color="D9E2EC"/>
              <w:bottom w:val="single" w:sz="6" w:space="0" w:color="D9E2EC"/>
              <w:right w:val="single" w:sz="6" w:space="0" w:color="D9E2EC"/>
            </w:tcBorders>
            <w:tcMar>
              <w:top w:w="95" w:type="dxa"/>
              <w:start w:w="120" w:type="dxa"/>
              <w:bottom w:w="95" w:type="dxa"/>
              <w:end w:w="120" w:type="dxa"/>
            </w:tcMar>
            <w:shd w:fill="EAF2FB"/>
            <w:vAlign w:val="center"/>
          </w:tcPr>
          <w:p>
            <w:pPr>
              <w:spacing w:before="0" w:after="0" w:line="252" w:lineRule="auto"/>
              <w:jc w:val="left"/>
            </w:pPr>
            <w:r>
              <w:rPr>
                <w:rFonts w:ascii="Arial" w:hAnsi="Arial" w:eastAsia="Arial"/>
                <w:b/>
                <w:color w:val="1F4E79"/>
                <w:sz w:val="19"/>
              </w:rPr>
              <w:t>Cách ghi nhận</w:t>
            </w:r>
          </w:p>
        </w:tc>
        <w:tc>
          <w:tcPr>
            <w:tcW w:type="dxa" w:w="7654"/>
            <w:tcBorders>
              <w:top w:val="single" w:sz="6" w:space="0" w:color="D9E2EC"/>
              <w:left w:val="single" w:sz="6" w:space="0" w:color="D9E2EC"/>
              <w:bottom w:val="single" w:sz="6" w:space="0" w:color="D9E2EC"/>
              <w:right w:val="single" w:sz="6" w:space="0" w:color="D9E2EC"/>
            </w:tcBorders>
            <w:tcMar>
              <w:top w:w="95" w:type="dxa"/>
              <w:start w:w="120" w:type="dxa"/>
              <w:bottom w:w="95" w:type="dxa"/>
              <w:end w:w="120" w:type="dxa"/>
            </w:tcMar>
            <w:vAlign w:val="center"/>
          </w:tcPr>
          <w:p>
            <w:pPr>
              <w:spacing w:before="0" w:after="0" w:line="252" w:lineRule="auto"/>
              <w:jc w:val="left"/>
            </w:pPr>
            <w:r>
              <w:rPr>
                <w:rFonts w:ascii="Arial" w:hAnsi="Arial" w:eastAsia="Arial"/>
                <w:b w:val="0"/>
                <w:sz w:val="19"/>
              </w:rPr>
              <w:t>Chi phí trình bày ở mức tổng hợp, không tách chi tiết nhân sự hoặc thông tin nội bộ. Ngân sách tham chiếu: 100.000.000 VND.</w:t>
            </w:r>
          </w:p>
        </w:tc>
      </w:tr>
    </w:tbl>
    <w:p>
      <w:pPr>
        <w:spacing w:after="40"/>
      </w:pPr>
    </w:p>
    <w:tbl>
      <w:tblPr>
        <w:tblStyle w:val="TableGrid"/>
        <w:tblW w:type="pct" w:w="4800"/>
        <w:jc w:val="center"/>
        <w:tblLook w:firstColumn="1" w:firstRow="1" w:lastColumn="0" w:lastRow="0" w:noHBand="0" w:noVBand="1" w:val="04A0"/>
      </w:tblPr>
      <w:tblGrid>
        <w:gridCol w:w="3062"/>
        <w:gridCol w:w="3062"/>
        <w:gridCol w:w="3062"/>
        <w:gridCol w:w="3062"/>
        <w:gridCol w:w="3062"/>
      </w:tblGrid>
      <w:tr>
        <w:tc>
          <w:tcPr>
            <w:tcW w:type="dxa" w:w="3062"/>
            <w:shd w:fill="1F4E79"/>
            <w:tcBorders>
              <w:top w:val="single" w:sz="6" w:space="0" w:color="1F4E79"/>
              <w:left w:val="single" w:sz="6" w:space="0" w:color="1F4E79"/>
              <w:bottom w:val="single" w:sz="6" w:space="0" w:color="1F4E79"/>
              <w:right w:val="single" w:sz="6" w:space="0" w:color="1F4E79"/>
            </w:tcBorders>
            <w:tcMar>
              <w:top w:w="110" w:type="dxa"/>
              <w:start w:w="115" w:type="dxa"/>
              <w:bottom w:w="110" w:type="dxa"/>
              <w:end w:w="115" w:type="dxa"/>
            </w:tcMar>
            <w:vAlign w:val="center"/>
          </w:tcPr>
          <w:p>
            <w:pPr>
              <w:spacing w:before="0" w:after="0" w:line="252" w:lineRule="auto"/>
              <w:jc w:val="center"/>
            </w:pPr>
            <w:r>
              <w:rPr>
                <w:rFonts w:ascii="Arial" w:hAnsi="Arial" w:eastAsia="Arial"/>
                <w:b/>
                <w:color w:val="FFFFFF"/>
                <w:sz w:val="18"/>
              </w:rPr>
              <w:t>STT</w:t>
            </w:r>
          </w:p>
        </w:tc>
        <w:tc>
          <w:tcPr>
            <w:tcW w:type="dxa" w:w="3062"/>
            <w:shd w:fill="1F4E79"/>
            <w:tcBorders>
              <w:top w:val="single" w:sz="6" w:space="0" w:color="1F4E79"/>
              <w:left w:val="single" w:sz="6" w:space="0" w:color="1F4E79"/>
              <w:bottom w:val="single" w:sz="6" w:space="0" w:color="1F4E79"/>
              <w:right w:val="single" w:sz="6" w:space="0" w:color="1F4E79"/>
            </w:tcBorders>
            <w:tcMar>
              <w:top w:w="110" w:type="dxa"/>
              <w:start w:w="115" w:type="dxa"/>
              <w:bottom w:w="110" w:type="dxa"/>
              <w:end w:w="115" w:type="dxa"/>
            </w:tcMar>
            <w:vAlign w:val="center"/>
          </w:tcPr>
          <w:p>
            <w:pPr>
              <w:spacing w:before="0" w:after="0" w:line="252" w:lineRule="auto"/>
              <w:jc w:val="center"/>
            </w:pPr>
            <w:r>
              <w:rPr>
                <w:rFonts w:ascii="Arial" w:hAnsi="Arial" w:eastAsia="Arial"/>
                <w:b/>
                <w:color w:val="FFFFFF"/>
                <w:sz w:val="18"/>
              </w:rPr>
              <w:t>Nhóm chi phí</w:t>
            </w:r>
          </w:p>
        </w:tc>
        <w:tc>
          <w:tcPr>
            <w:tcW w:type="dxa" w:w="3062"/>
            <w:shd w:fill="1F4E79"/>
            <w:tcBorders>
              <w:top w:val="single" w:sz="6" w:space="0" w:color="1F4E79"/>
              <w:left w:val="single" w:sz="6" w:space="0" w:color="1F4E79"/>
              <w:bottom w:val="single" w:sz="6" w:space="0" w:color="1F4E79"/>
              <w:right w:val="single" w:sz="6" w:space="0" w:color="1F4E79"/>
            </w:tcBorders>
            <w:tcMar>
              <w:top w:w="110" w:type="dxa"/>
              <w:start w:w="115" w:type="dxa"/>
              <w:bottom w:w="110" w:type="dxa"/>
              <w:end w:w="115" w:type="dxa"/>
            </w:tcMar>
            <w:vAlign w:val="center"/>
          </w:tcPr>
          <w:p>
            <w:pPr>
              <w:spacing w:before="0" w:after="0" w:line="252" w:lineRule="auto"/>
              <w:jc w:val="center"/>
            </w:pPr>
            <w:r>
              <w:rPr>
                <w:rFonts w:ascii="Arial" w:hAnsi="Arial" w:eastAsia="Arial"/>
                <w:b/>
                <w:color w:val="FFFFFF"/>
                <w:sz w:val="18"/>
              </w:rPr>
              <w:t>Nội dung tổng hợp</w:t>
            </w:r>
          </w:p>
        </w:tc>
        <w:tc>
          <w:tcPr>
            <w:tcW w:type="dxa" w:w="3062"/>
            <w:shd w:fill="1F4E79"/>
            <w:tcBorders>
              <w:top w:val="single" w:sz="6" w:space="0" w:color="1F4E79"/>
              <w:left w:val="single" w:sz="6" w:space="0" w:color="1F4E79"/>
              <w:bottom w:val="single" w:sz="6" w:space="0" w:color="1F4E79"/>
              <w:right w:val="single" w:sz="6" w:space="0" w:color="1F4E79"/>
            </w:tcBorders>
            <w:tcMar>
              <w:top w:w="110" w:type="dxa"/>
              <w:start w:w="115" w:type="dxa"/>
              <w:bottom w:w="110" w:type="dxa"/>
              <w:end w:w="115" w:type="dxa"/>
            </w:tcMar>
            <w:vAlign w:val="center"/>
          </w:tcPr>
          <w:p>
            <w:pPr>
              <w:spacing w:before="0" w:after="0" w:line="252" w:lineRule="auto"/>
              <w:jc w:val="center"/>
            </w:pPr>
            <w:r>
              <w:rPr>
                <w:rFonts w:ascii="Arial" w:hAnsi="Arial" w:eastAsia="Arial"/>
                <w:b/>
                <w:color w:val="FFFFFF"/>
                <w:sz w:val="18"/>
              </w:rPr>
              <w:t>Khoảng tiền tham chiếu</w:t>
            </w:r>
          </w:p>
        </w:tc>
        <w:tc>
          <w:tcPr>
            <w:tcW w:type="dxa" w:w="3062"/>
            <w:shd w:fill="1F4E79"/>
            <w:tcBorders>
              <w:top w:val="single" w:sz="6" w:space="0" w:color="1F4E79"/>
              <w:left w:val="single" w:sz="6" w:space="0" w:color="1F4E79"/>
              <w:bottom w:val="single" w:sz="6" w:space="0" w:color="1F4E79"/>
              <w:right w:val="single" w:sz="6" w:space="0" w:color="1F4E79"/>
            </w:tcBorders>
            <w:tcMar>
              <w:top w:w="110" w:type="dxa"/>
              <w:start w:w="115" w:type="dxa"/>
              <w:bottom w:w="110" w:type="dxa"/>
              <w:end w:w="115" w:type="dxa"/>
            </w:tcMar>
            <w:vAlign w:val="center"/>
          </w:tcPr>
          <w:p>
            <w:pPr>
              <w:spacing w:before="0" w:after="0" w:line="252" w:lineRule="auto"/>
              <w:jc w:val="center"/>
            </w:pPr>
            <w:r>
              <w:rPr>
                <w:rFonts w:ascii="Arial" w:hAnsi="Arial" w:eastAsia="Arial"/>
                <w:b/>
                <w:color w:val="FFFFFF"/>
                <w:sz w:val="18"/>
              </w:rPr>
              <w:t>Tỉ lệ</w:t>
            </w:r>
          </w:p>
        </w:tc>
      </w:tr>
      <w:tr>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center"/>
            </w:pPr>
            <w:r>
              <w:rPr>
                <w:rFonts w:ascii="Arial" w:hAnsi="Arial" w:eastAsia="Arial"/>
                <w:b w:val="0"/>
                <w:sz w:val="18"/>
              </w:rPr>
              <w:t>1</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left"/>
            </w:pPr>
            <w:r>
              <w:rPr>
                <w:rFonts w:ascii="Arial" w:hAnsi="Arial" w:eastAsia="Arial"/>
                <w:b/>
                <w:color w:val="1F2937"/>
                <w:sz w:val="18"/>
              </w:rPr>
              <w:t>Phân tích yêu cầu &amp; quản lý dự án</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left"/>
            </w:pPr>
            <w:r>
              <w:rPr>
                <w:rFonts w:ascii="Arial" w:hAnsi="Arial" w:eastAsia="Arial"/>
                <w:b w:val="0"/>
                <w:sz w:val="17"/>
              </w:rPr>
              <w:t>Khảo sát yêu cầu, lập kế hoạch, điều phối tiến độ và nghiệm thu.</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center"/>
            </w:pPr>
            <w:r>
              <w:rPr>
                <w:rFonts w:ascii="Arial" w:hAnsi="Arial" w:eastAsia="Arial"/>
                <w:b w:val="0"/>
                <w:sz w:val="18"/>
              </w:rPr>
              <w:t>8 - 12 triệu VND</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center"/>
            </w:pPr>
            <w:r>
              <w:rPr>
                <w:rFonts w:ascii="Arial" w:hAnsi="Arial" w:eastAsia="Arial"/>
                <w:b/>
                <w:color w:val="2F6F5E"/>
                <w:sz w:val="18"/>
              </w:rPr>
              <w:t>10%</w:t>
            </w:r>
          </w:p>
        </w:tc>
      </w:tr>
      <w:tr>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center"/>
            </w:pPr>
            <w:r>
              <w:rPr>
                <w:rFonts w:ascii="Arial" w:hAnsi="Arial" w:eastAsia="Arial"/>
                <w:b w:val="0"/>
                <w:sz w:val="18"/>
              </w:rPr>
              <w:t>2</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left"/>
            </w:pPr>
            <w:r>
              <w:rPr>
                <w:rFonts w:ascii="Arial" w:hAnsi="Arial" w:eastAsia="Arial"/>
                <w:b/>
                <w:color w:val="1F2937"/>
                <w:sz w:val="18"/>
              </w:rPr>
              <w:t>Thiết kế trải nghiệm game &amp; giao diện</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left"/>
            </w:pPr>
            <w:r>
              <w:rPr>
                <w:rFonts w:ascii="Arial" w:hAnsi="Arial" w:eastAsia="Arial"/>
                <w:b w:val="0"/>
                <w:sz w:val="17"/>
              </w:rPr>
              <w:t>Luồng chơi, màn hình game, overlay quiz, trang vào và giao diện quản trị.</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center"/>
            </w:pPr>
            <w:r>
              <w:rPr>
                <w:rFonts w:ascii="Arial" w:hAnsi="Arial" w:eastAsia="Arial"/>
                <w:b w:val="0"/>
                <w:sz w:val="18"/>
              </w:rPr>
              <w:t>12 - 18 triệu VND</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center"/>
            </w:pPr>
            <w:r>
              <w:rPr>
                <w:rFonts w:ascii="Arial" w:hAnsi="Arial" w:eastAsia="Arial"/>
                <w:b/>
                <w:color w:val="2F6F5E"/>
                <w:sz w:val="18"/>
              </w:rPr>
              <w:t>15%</w:t>
            </w:r>
          </w:p>
        </w:tc>
      </w:tr>
      <w:tr>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center"/>
            </w:pPr>
            <w:r>
              <w:rPr>
                <w:rFonts w:ascii="Arial" w:hAnsi="Arial" w:eastAsia="Arial"/>
                <w:b w:val="0"/>
                <w:sz w:val="18"/>
              </w:rPr>
              <w:t>3</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left"/>
            </w:pPr>
            <w:r>
              <w:rPr>
                <w:rFonts w:ascii="Arial" w:hAnsi="Arial" w:eastAsia="Arial"/>
                <w:b/>
                <w:color w:val="1F2937"/>
                <w:sz w:val="18"/>
              </w:rPr>
              <w:t>Lập trình gameplay &amp; hiệu ứng 3D</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left"/>
            </w:pPr>
            <w:r>
              <w:rPr>
                <w:rFonts w:ascii="Arial" w:hAnsi="Arial" w:eastAsia="Arial"/>
                <w:b w:val="0"/>
                <w:sz w:val="17"/>
              </w:rPr>
              <w:t>Scene Three.js/WebGL, nhân vật, vật cản, vòng thưởng, âm thanh và tương tác người chơi.</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center"/>
            </w:pPr>
            <w:r>
              <w:rPr>
                <w:rFonts w:ascii="Arial" w:hAnsi="Arial" w:eastAsia="Arial"/>
                <w:b w:val="0"/>
                <w:sz w:val="18"/>
              </w:rPr>
              <w:t>24 - 32 triệu VND</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center"/>
            </w:pPr>
            <w:r>
              <w:rPr>
                <w:rFonts w:ascii="Arial" w:hAnsi="Arial" w:eastAsia="Arial"/>
                <w:b/>
                <w:color w:val="2F6F5E"/>
                <w:sz w:val="18"/>
              </w:rPr>
              <w:t>28%</w:t>
            </w:r>
          </w:p>
        </w:tc>
      </w:tr>
      <w:tr>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center"/>
            </w:pPr>
            <w:r>
              <w:rPr>
                <w:rFonts w:ascii="Arial" w:hAnsi="Arial" w:eastAsia="Arial"/>
                <w:b w:val="0"/>
                <w:sz w:val="18"/>
              </w:rPr>
              <w:t>4</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left"/>
            </w:pPr>
            <w:r>
              <w:rPr>
                <w:rFonts w:ascii="Arial" w:hAnsi="Arial" w:eastAsia="Arial"/>
                <w:b/>
                <w:color w:val="1F2937"/>
                <w:sz w:val="18"/>
              </w:rPr>
              <w:t>Backend, xác thực &amp; dữ liệu</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left"/>
            </w:pPr>
            <w:r>
              <w:rPr>
                <w:rFonts w:ascii="Arial" w:hAnsi="Arial" w:eastAsia="Arial"/>
                <w:b w:val="0"/>
                <w:sz w:val="17"/>
              </w:rPr>
              <w:t>API Express, SQLite, đăng nhập admin, cấu hình điểm/thời gian/tốc độ và lưu ngân hàng câu hỏi.</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center"/>
            </w:pPr>
            <w:r>
              <w:rPr>
                <w:rFonts w:ascii="Arial" w:hAnsi="Arial" w:eastAsia="Arial"/>
                <w:b w:val="0"/>
                <w:sz w:val="18"/>
              </w:rPr>
              <w:t>16 - 22 triệu VND</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center"/>
            </w:pPr>
            <w:r>
              <w:rPr>
                <w:rFonts w:ascii="Arial" w:hAnsi="Arial" w:eastAsia="Arial"/>
                <w:b/>
                <w:color w:val="2F6F5E"/>
                <w:sz w:val="18"/>
              </w:rPr>
              <w:t>20%</w:t>
            </w:r>
          </w:p>
        </w:tc>
      </w:tr>
      <w:tr>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center"/>
            </w:pPr>
            <w:r>
              <w:rPr>
                <w:rFonts w:ascii="Arial" w:hAnsi="Arial" w:eastAsia="Arial"/>
                <w:b w:val="0"/>
                <w:sz w:val="18"/>
              </w:rPr>
              <w:t>5</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left"/>
            </w:pPr>
            <w:r>
              <w:rPr>
                <w:rFonts w:ascii="Arial" w:hAnsi="Arial" w:eastAsia="Arial"/>
                <w:b/>
                <w:color w:val="1F2937"/>
                <w:sz w:val="18"/>
              </w:rPr>
              <w:t>Biên soạn &amp; chuẩn hóa ngân hàng câu hỏi</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left"/>
            </w:pPr>
            <w:r>
              <w:rPr>
                <w:rFonts w:ascii="Arial" w:hAnsi="Arial" w:eastAsia="Arial"/>
                <w:b w:val="0"/>
                <w:sz w:val="17"/>
              </w:rPr>
              <w:t>Chuẩn hóa dữ liệu lớp 6, 7, 8; kiểm tra cấu trúc câu hỏi và đáp án.</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center"/>
            </w:pPr>
            <w:r>
              <w:rPr>
                <w:rFonts w:ascii="Arial" w:hAnsi="Arial" w:eastAsia="Arial"/>
                <w:b w:val="0"/>
                <w:sz w:val="18"/>
              </w:rPr>
              <w:t>9 - 14 triệu VND</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center"/>
            </w:pPr>
            <w:r>
              <w:rPr>
                <w:rFonts w:ascii="Arial" w:hAnsi="Arial" w:eastAsia="Arial"/>
                <w:b/>
                <w:color w:val="2F6F5E"/>
                <w:sz w:val="18"/>
              </w:rPr>
              <w:t>12%</w:t>
            </w:r>
          </w:p>
        </w:tc>
      </w:tr>
      <w:tr>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center"/>
            </w:pPr>
            <w:r>
              <w:rPr>
                <w:rFonts w:ascii="Arial" w:hAnsi="Arial" w:eastAsia="Arial"/>
                <w:b w:val="0"/>
                <w:sz w:val="18"/>
              </w:rPr>
              <w:t>6</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left"/>
            </w:pPr>
            <w:r>
              <w:rPr>
                <w:rFonts w:ascii="Arial" w:hAnsi="Arial" w:eastAsia="Arial"/>
                <w:b/>
                <w:color w:val="1F2937"/>
                <w:sz w:val="18"/>
              </w:rPr>
              <w:t>Kiểm thử, tối ưu &amp; triển khai</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left"/>
            </w:pPr>
            <w:r>
              <w:rPr>
                <w:rFonts w:ascii="Arial" w:hAnsi="Arial" w:eastAsia="Arial"/>
                <w:b w:val="0"/>
                <w:sz w:val="17"/>
              </w:rPr>
              <w:t>Kiểm thử API, trải nghiệm chơi, PWA/offline, cấu hình chạy thử và sửa lỗi.</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center"/>
            </w:pPr>
            <w:r>
              <w:rPr>
                <w:rFonts w:ascii="Arial" w:hAnsi="Arial" w:eastAsia="Arial"/>
                <w:b w:val="0"/>
                <w:sz w:val="18"/>
              </w:rPr>
              <w:t>8 - 12 triệu VND</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shd w:fill="F7FAFC"/>
            <w:vAlign w:val="center"/>
          </w:tcPr>
          <w:p>
            <w:pPr>
              <w:spacing w:before="0" w:after="0" w:line="252" w:lineRule="auto"/>
              <w:jc w:val="center"/>
            </w:pPr>
            <w:r>
              <w:rPr>
                <w:rFonts w:ascii="Arial" w:hAnsi="Arial" w:eastAsia="Arial"/>
                <w:b/>
                <w:color w:val="2F6F5E"/>
                <w:sz w:val="18"/>
              </w:rPr>
              <w:t>10%</w:t>
            </w:r>
          </w:p>
        </w:tc>
      </w:tr>
      <w:tr>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center"/>
            </w:pPr>
            <w:r>
              <w:rPr>
                <w:rFonts w:ascii="Arial" w:hAnsi="Arial" w:eastAsia="Arial"/>
                <w:b w:val="0"/>
                <w:sz w:val="18"/>
              </w:rPr>
              <w:t>7</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left"/>
            </w:pPr>
            <w:r>
              <w:rPr>
                <w:rFonts w:ascii="Arial" w:hAnsi="Arial" w:eastAsia="Arial"/>
                <w:b/>
                <w:color w:val="1F2937"/>
                <w:sz w:val="18"/>
              </w:rPr>
              <w:t>Tài liệu bàn giao &amp; hướng dẫn sử dụng</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left"/>
            </w:pPr>
            <w:r>
              <w:rPr>
                <w:rFonts w:ascii="Arial" w:hAnsi="Arial" w:eastAsia="Arial"/>
                <w:b w:val="0"/>
                <w:sz w:val="17"/>
              </w:rPr>
              <w:t>Tài liệu kỹ thuật, hướng dẫn chạy hệ thống và ghi chú vận hành cho khách hàng.</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center"/>
            </w:pPr>
            <w:r>
              <w:rPr>
                <w:rFonts w:ascii="Arial" w:hAnsi="Arial" w:eastAsia="Arial"/>
                <w:b w:val="0"/>
                <w:sz w:val="18"/>
              </w:rPr>
              <w:t>4 - 7 triệu VND</w:t>
            </w:r>
          </w:p>
        </w:tc>
        <w:tc>
          <w:tcPr>
            <w:tcW w:type="dxa" w:w="3062"/>
            <w:tcBorders>
              <w:top w:val="single" w:sz="6" w:space="0" w:color="D5DEE8"/>
              <w:left w:val="single" w:sz="6" w:space="0" w:color="D5DEE8"/>
              <w:bottom w:val="single" w:sz="6" w:space="0" w:color="D5DEE8"/>
              <w:right w:val="single" w:sz="6" w:space="0" w:color="D5DEE8"/>
            </w:tcBorders>
            <w:tcMar>
              <w:top w:w="105" w:type="dxa"/>
              <w:start w:w="115" w:type="dxa"/>
              <w:bottom w:w="105" w:type="dxa"/>
              <w:end w:w="115" w:type="dxa"/>
            </w:tcMar>
            <w:vAlign w:val="center"/>
          </w:tcPr>
          <w:p>
            <w:pPr>
              <w:spacing w:before="0" w:after="0" w:line="252" w:lineRule="auto"/>
              <w:jc w:val="center"/>
            </w:pPr>
            <w:r>
              <w:rPr>
                <w:rFonts w:ascii="Arial" w:hAnsi="Arial" w:eastAsia="Arial"/>
                <w:b/>
                <w:color w:val="2F6F5E"/>
                <w:sz w:val="18"/>
              </w:rPr>
              <w:t>5%</w:t>
            </w:r>
          </w:p>
        </w:tc>
      </w:tr>
      <w:tr>
        <w:tc>
          <w:tcPr>
            <w:tcW w:type="dxa" w:w="3062"/>
            <w:shd w:fill="EAF7F0"/>
            <w:tcBorders>
              <w:top w:val="single" w:sz="6" w:space="0" w:color="B7DBC8"/>
              <w:left w:val="single" w:sz="6" w:space="0" w:color="B7DBC8"/>
              <w:bottom w:val="single" w:sz="6" w:space="0" w:color="B7DBC8"/>
              <w:right w:val="single" w:sz="6" w:space="0" w:color="B7DBC8"/>
            </w:tcBorders>
            <w:tcMar>
              <w:top w:w="110" w:type="dxa"/>
              <w:start w:w="115" w:type="dxa"/>
              <w:bottom w:w="110" w:type="dxa"/>
              <w:end w:w="115" w:type="dxa"/>
            </w:tcMar>
            <w:vAlign w:val="center"/>
          </w:tcPr>
          <w:p>
            <w:pPr>
              <w:spacing w:before="0" w:after="0" w:line="252" w:lineRule="auto"/>
              <w:jc w:val="left"/>
            </w:pPr>
            <w:r>
              <w:rPr>
                <w:rFonts w:ascii="Arial" w:hAnsi="Arial" w:eastAsia="Arial"/>
                <w:b w:val="0"/>
                <w:color w:val="1F5E46"/>
                <w:sz w:val="18"/>
              </w:rPr>
            </w:r>
          </w:p>
        </w:tc>
        <w:tc>
          <w:tcPr>
            <w:tcW w:type="dxa" w:w="3062"/>
            <w:shd w:fill="EAF7F0"/>
            <w:tcBorders>
              <w:top w:val="single" w:sz="6" w:space="0" w:color="B7DBC8"/>
              <w:left w:val="single" w:sz="6" w:space="0" w:color="B7DBC8"/>
              <w:bottom w:val="single" w:sz="6" w:space="0" w:color="B7DBC8"/>
              <w:right w:val="single" w:sz="6" w:space="0" w:color="B7DBC8"/>
            </w:tcBorders>
            <w:tcMar>
              <w:top w:w="110" w:type="dxa"/>
              <w:start w:w="115" w:type="dxa"/>
              <w:bottom w:w="110" w:type="dxa"/>
              <w:end w:w="115" w:type="dxa"/>
            </w:tcMar>
            <w:vAlign w:val="center"/>
          </w:tcPr>
          <w:p>
            <w:pPr>
              <w:spacing w:before="0" w:after="0" w:line="252" w:lineRule="auto"/>
              <w:jc w:val="left"/>
            </w:pPr>
            <w:r>
              <w:rPr>
                <w:rFonts w:ascii="Arial" w:hAnsi="Arial" w:eastAsia="Arial"/>
                <w:b/>
                <w:color w:val="1F5E46"/>
                <w:sz w:val="18"/>
              </w:rPr>
              <w:t>Tổng cộng tham chiếu</w:t>
            </w:r>
          </w:p>
        </w:tc>
        <w:tc>
          <w:tcPr>
            <w:tcW w:type="dxa" w:w="3062"/>
            <w:shd w:fill="EAF7F0"/>
            <w:tcBorders>
              <w:top w:val="single" w:sz="6" w:space="0" w:color="B7DBC8"/>
              <w:left w:val="single" w:sz="6" w:space="0" w:color="B7DBC8"/>
              <w:bottom w:val="single" w:sz="6" w:space="0" w:color="B7DBC8"/>
              <w:right w:val="single" w:sz="6" w:space="0" w:color="B7DBC8"/>
            </w:tcBorders>
            <w:tcMar>
              <w:top w:w="110" w:type="dxa"/>
              <w:start w:w="115" w:type="dxa"/>
              <w:bottom w:w="110" w:type="dxa"/>
              <w:end w:w="115" w:type="dxa"/>
            </w:tcMar>
            <w:vAlign w:val="center"/>
          </w:tcPr>
          <w:p>
            <w:pPr>
              <w:spacing w:before="0" w:after="0" w:line="252" w:lineRule="auto"/>
              <w:jc w:val="left"/>
            </w:pPr>
            <w:r>
              <w:rPr>
                <w:rFonts w:ascii="Arial" w:hAnsi="Arial" w:eastAsia="Arial"/>
                <w:b w:val="0"/>
                <w:color w:val="1F5E46"/>
                <w:sz w:val="18"/>
              </w:rPr>
              <w:t>Tổng mức chi phí dùng để quy đổi theo hợp đồng thực tế.</w:t>
            </w:r>
          </w:p>
        </w:tc>
        <w:tc>
          <w:tcPr>
            <w:tcW w:type="dxa" w:w="3062"/>
            <w:shd w:fill="EAF7F0"/>
            <w:tcBorders>
              <w:top w:val="single" w:sz="6" w:space="0" w:color="B7DBC8"/>
              <w:left w:val="single" w:sz="6" w:space="0" w:color="B7DBC8"/>
              <w:bottom w:val="single" w:sz="6" w:space="0" w:color="B7DBC8"/>
              <w:right w:val="single" w:sz="6" w:space="0" w:color="B7DBC8"/>
            </w:tcBorders>
            <w:tcMar>
              <w:top w:w="110" w:type="dxa"/>
              <w:start w:w="115" w:type="dxa"/>
              <w:bottom w:w="110" w:type="dxa"/>
              <w:end w:w="115" w:type="dxa"/>
            </w:tcMar>
            <w:vAlign w:val="center"/>
          </w:tcPr>
          <w:p>
            <w:pPr>
              <w:spacing w:before="0" w:after="0" w:line="252" w:lineRule="auto"/>
              <w:jc w:val="center"/>
            </w:pPr>
            <w:r>
              <w:rPr>
                <w:rFonts w:ascii="Arial" w:hAnsi="Arial" w:eastAsia="Arial"/>
                <w:b/>
                <w:color w:val="1F5E46"/>
                <w:sz w:val="18"/>
              </w:rPr>
              <w:t>100 triệu VND</w:t>
            </w:r>
          </w:p>
        </w:tc>
        <w:tc>
          <w:tcPr>
            <w:tcW w:type="dxa" w:w="3062"/>
            <w:shd w:fill="EAF7F0"/>
            <w:tcBorders>
              <w:top w:val="single" w:sz="6" w:space="0" w:color="B7DBC8"/>
              <w:left w:val="single" w:sz="6" w:space="0" w:color="B7DBC8"/>
              <w:bottom w:val="single" w:sz="6" w:space="0" w:color="B7DBC8"/>
              <w:right w:val="single" w:sz="6" w:space="0" w:color="B7DBC8"/>
            </w:tcBorders>
            <w:tcMar>
              <w:top w:w="110" w:type="dxa"/>
              <w:start w:w="115" w:type="dxa"/>
              <w:bottom w:w="110" w:type="dxa"/>
              <w:end w:w="115" w:type="dxa"/>
            </w:tcMar>
            <w:vAlign w:val="center"/>
          </w:tcPr>
          <w:p>
            <w:pPr>
              <w:spacing w:before="0" w:after="0" w:line="252" w:lineRule="auto"/>
              <w:jc w:val="center"/>
            </w:pPr>
            <w:r>
              <w:rPr>
                <w:rFonts w:ascii="Arial" w:hAnsi="Arial" w:eastAsia="Arial"/>
                <w:b/>
                <w:color w:val="1F5E46"/>
                <w:sz w:val="18"/>
              </w:rPr>
              <w:t>100%</w:t>
            </w:r>
          </w:p>
        </w:tc>
      </w:tr>
    </w:tbl>
    <w:p>
      <w:pPr>
        <w:spacing w:before="160" w:after="40"/>
      </w:pPr>
      <w:r>
        <w:rPr>
          <w:rFonts w:ascii="Arial" w:hAnsi="Arial" w:eastAsia="Arial"/>
          <w:b/>
          <w:sz w:val="18"/>
        </w:rPr>
        <w:t xml:space="preserve">Ghi chú: </w:t>
      </w:r>
      <w:r>
        <w:rPr>
          <w:rFonts w:ascii="Arial" w:hAnsi="Arial" w:eastAsia="Arial"/>
          <w:sz w:val="18"/>
        </w:rPr>
        <w:t>Các khoảng tiền trên là mức chung để trình bày với khách hàng. Khi tổng ngân sách thay đổi, nhân từng tỉ lệ phần trăm với tổng giá trị hợp đồng để có mức tiền tương ứng.</w:t>
      </w:r>
    </w:p>
    <w:p>
      <w:pPr>
        <w:jc w:val="right"/>
      </w:pPr>
      <w:r>
        <w:rPr>
          <w:rFonts w:ascii="Arial" w:hAnsi="Arial" w:eastAsia="Arial"/>
          <w:color w:val="5A646E"/>
          <w:sz w:val="17"/>
        </w:rPr>
        <w:t>Ngày lập: 27/04/2026</w:t>
      </w:r>
    </w:p>
    <w:sectPr w:rsidR="00FC693F" w:rsidRPr="0006063C" w:rsidSect="00034616">
      <w:footerReference w:type="default" r:id="rId9"/>
      <w:pgSz w:w="16838" w:h="11906" w:orient="landscape"/>
      <w:pgMar w:top="709" w:right="765" w:bottom="709"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748B"/>
        <w:sz w:val="16"/>
      </w:rPr>
      <w:t>Sonic Math Runner | Bảng thống kê chi phí tổng hợp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