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eastAsia="Arial"/>
          <w:b/>
          <w:color w:val="1F4E79"/>
          <w:sz w:val="32"/>
        </w:rPr>
        <w:t>BẢNG THỐNG KÊ CHI PHÍ DỰ ÁN SONIC MATH RUNNER</w:t>
      </w:r>
    </w:p>
    <w:p>
      <w:pPr>
        <w:spacing w:before="0" w:after="160" w:line="240" w:lineRule="auto"/>
        <w:jc w:val="center"/>
      </w:pPr>
      <w:r>
        <w:rPr>
          <w:rFonts w:ascii="Arial" w:hAnsi="Arial" w:eastAsia="Arial"/>
          <w:b w:val="0"/>
          <w:color w:val="5B6776"/>
          <w:sz w:val="20"/>
        </w:rPr>
        <w:t>Tổng ngân sách thực hiện: 3.500.000đ | Cơ cấu phân bổ theo hướng ưu tiên phát triển phần mềm</w:t>
      </w:r>
    </w:p>
    <w:tbl>
      <w:tblPr>
        <w:tblStyle w:val="TableGrid"/>
        <w:tblW w:type="dxa" w:w="13250"/>
        <w:jc w:val="center"/>
        <w:tblLayout w:type="fixed"/>
        <w:tblLook w:firstColumn="1" w:firstRow="1" w:lastColumn="0" w:lastRow="0" w:noHBand="0" w:noVBand="1" w:val="04A0"/>
        <w:tblBorders>
          <w:top w:val="single" w:sz="6" w:space="0" w:color="AFC1D3"/>
          <w:left w:val="single" w:sz="6" w:space="0" w:color="AFC1D3"/>
          <w:bottom w:val="single" w:sz="6" w:space="0" w:color="AFC1D3"/>
          <w:right w:val="single" w:sz="6" w:space="0" w:color="AFC1D3"/>
          <w:insideH w:val="single" w:sz="6" w:space="0" w:color="AFC1D3"/>
          <w:insideV w:val="single" w:sz="6" w:space="0" w:color="AFC1D3"/>
        </w:tblBorders>
      </w:tblPr>
      <w:tblGrid>
        <w:gridCol w:w="650"/>
        <w:gridCol w:w="3300"/>
        <w:gridCol w:w="6800"/>
        <w:gridCol w:w="1650"/>
        <w:gridCol w:w="850"/>
      </w:tblGrid>
      <w:tr>
        <w:tc>
          <w:tcPr>
            <w:tcW w:type="dxa" w:w="650"/>
            <w:shd w:fill="1F4E79"/>
            <w:tcMar>
              <w:top w:w="115" w:type="dxa"/>
              <w:start w:w="110" w:type="dxa"/>
              <w:bottom w:w="115" w:type="dxa"/>
              <w:end w:w="110" w:type="dxa"/>
            </w:tcMar>
            <w:vAlign w:val="center"/>
          </w:tcPr>
          <w:p>
            <w:pPr>
              <w:spacing w:before="0" w:after="0" w:line="240" w:lineRule="auto"/>
              <w:jc w:val="center"/>
            </w:pPr>
            <w:r>
              <w:rPr>
                <w:rFonts w:ascii="Arial" w:hAnsi="Arial" w:eastAsia="Arial"/>
                <w:b/>
                <w:color w:val="FFFFFF"/>
                <w:sz w:val="18"/>
              </w:rPr>
              <w:t>STT</w:t>
            </w:r>
          </w:p>
        </w:tc>
        <w:tc>
          <w:tcPr>
            <w:tcW w:type="dxa" w:w="3300"/>
            <w:shd w:fill="1F4E79"/>
            <w:tcMar>
              <w:top w:w="115" w:type="dxa"/>
              <w:start w:w="110" w:type="dxa"/>
              <w:bottom w:w="115" w:type="dxa"/>
              <w:end w:w="110" w:type="dxa"/>
            </w:tcMar>
            <w:vAlign w:val="center"/>
          </w:tcPr>
          <w:p>
            <w:pPr>
              <w:spacing w:before="0" w:after="0" w:line="240" w:lineRule="auto"/>
              <w:jc w:val="center"/>
            </w:pPr>
            <w:r>
              <w:rPr>
                <w:rFonts w:ascii="Arial" w:hAnsi="Arial" w:eastAsia="Arial"/>
                <w:b/>
                <w:color w:val="FFFFFF"/>
                <w:sz w:val="18"/>
              </w:rPr>
              <w:t>Khoản mục chi phí</w:t>
            </w:r>
          </w:p>
        </w:tc>
        <w:tc>
          <w:tcPr>
            <w:tcW w:type="dxa" w:w="6800"/>
            <w:shd w:fill="1F4E79"/>
            <w:tcMar>
              <w:top w:w="115" w:type="dxa"/>
              <w:start w:w="110" w:type="dxa"/>
              <w:bottom w:w="115" w:type="dxa"/>
              <w:end w:w="110" w:type="dxa"/>
            </w:tcMar>
            <w:vAlign w:val="center"/>
          </w:tcPr>
          <w:p>
            <w:pPr>
              <w:spacing w:before="0" w:after="0" w:line="240" w:lineRule="auto"/>
              <w:jc w:val="center"/>
            </w:pPr>
            <w:r>
              <w:rPr>
                <w:rFonts w:ascii="Arial" w:hAnsi="Arial" w:eastAsia="Arial"/>
                <w:b/>
                <w:color w:val="FFFFFF"/>
                <w:sz w:val="18"/>
              </w:rPr>
              <w:t>Nội dung sử dụng</w:t>
            </w:r>
          </w:p>
        </w:tc>
        <w:tc>
          <w:tcPr>
            <w:tcW w:type="dxa" w:w="1650"/>
            <w:shd w:fill="1F4E79"/>
            <w:tcMar>
              <w:top w:w="115" w:type="dxa"/>
              <w:start w:w="110" w:type="dxa"/>
              <w:bottom w:w="115" w:type="dxa"/>
              <w:end w:w="110" w:type="dxa"/>
            </w:tcMar>
            <w:vAlign w:val="center"/>
          </w:tcPr>
          <w:p>
            <w:pPr>
              <w:spacing w:before="0" w:after="0" w:line="240" w:lineRule="auto"/>
              <w:jc w:val="center"/>
            </w:pPr>
            <w:r>
              <w:rPr>
                <w:rFonts w:ascii="Arial" w:hAnsi="Arial" w:eastAsia="Arial"/>
                <w:b/>
                <w:color w:val="FFFFFF"/>
                <w:sz w:val="18"/>
              </w:rPr>
              <w:t>Số tiền</w:t>
            </w:r>
          </w:p>
        </w:tc>
        <w:tc>
          <w:tcPr>
            <w:tcW w:type="dxa" w:w="850"/>
            <w:shd w:fill="1F4E79"/>
            <w:tcMar>
              <w:top w:w="115" w:type="dxa"/>
              <w:start w:w="110" w:type="dxa"/>
              <w:bottom w:w="115" w:type="dxa"/>
              <w:end w:w="110" w:type="dxa"/>
            </w:tcMar>
            <w:vAlign w:val="center"/>
          </w:tcPr>
          <w:p>
            <w:pPr>
              <w:spacing w:before="0" w:after="0" w:line="240" w:lineRule="auto"/>
              <w:jc w:val="center"/>
            </w:pPr>
            <w:r>
              <w:rPr>
                <w:rFonts w:ascii="Arial" w:hAnsi="Arial" w:eastAsia="Arial"/>
                <w:b/>
                <w:color w:val="FFFFFF"/>
                <w:sz w:val="18"/>
              </w:rPr>
              <w:t>Tỉ lệ</w:t>
            </w:r>
          </w:p>
        </w:tc>
      </w:tr>
      <w:tr>
        <w:tc>
          <w:tcPr>
            <w:tcW w:type="dxa" w:w="6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1</w:t>
            </w:r>
          </w:p>
        </w:tc>
        <w:tc>
          <w:tcPr>
            <w:tcW w:type="dxa" w:w="33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Phân tích yêu cầu &amp; quản lý dự án</w:t>
            </w:r>
          </w:p>
        </w:tc>
        <w:tc>
          <w:tcPr>
            <w:tcW w:type="dxa" w:w="68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Khảo sát yêu cầu, xác định phạm vi, lập kế hoạch triển khai và nghiệm thu.</w:t>
            </w:r>
          </w:p>
        </w:tc>
        <w:tc>
          <w:tcPr>
            <w:tcW w:type="dxa" w:w="1650"/>
            <w:tcMar>
              <w:top w:w="90" w:type="dxa"/>
              <w:start w:w="110" w:type="dxa"/>
              <w:bottom w:w="90" w:type="dxa"/>
              <w:end w:w="110" w:type="dxa"/>
            </w:tcMar>
            <w:vAlign w:val="center"/>
          </w:tcPr>
          <w:p>
            <w:pPr>
              <w:spacing w:before="0" w:after="0" w:line="240" w:lineRule="auto"/>
              <w:jc w:val="right"/>
            </w:pPr>
            <w:r>
              <w:rPr>
                <w:rFonts w:ascii="Arial" w:hAnsi="Arial" w:eastAsia="Arial"/>
                <w:b w:val="0"/>
                <w:color w:val="1F2933"/>
                <w:sz w:val="17"/>
              </w:rPr>
              <w:t>350.000đ</w:t>
            </w:r>
          </w:p>
        </w:tc>
        <w:tc>
          <w:tcPr>
            <w:tcW w:type="dxa" w:w="8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10%</w:t>
            </w:r>
          </w:p>
        </w:tc>
      </w:tr>
      <w:tr>
        <w:tc>
          <w:tcPr>
            <w:tcW w:type="dxa" w:w="6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2</w:t>
            </w:r>
          </w:p>
        </w:tc>
        <w:tc>
          <w:tcPr>
            <w:tcW w:type="dxa" w:w="33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Thiết kế giao diện &amp; trải nghiệm game</w:t>
            </w:r>
          </w:p>
        </w:tc>
        <w:tc>
          <w:tcPr>
            <w:tcW w:type="dxa" w:w="68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Thiết kế luồng chơi, màn hình game, overlay câu hỏi, trang vào và giao diện quản trị.</w:t>
            </w:r>
          </w:p>
        </w:tc>
        <w:tc>
          <w:tcPr>
            <w:tcW w:type="dxa" w:w="1650"/>
            <w:tcMar>
              <w:top w:w="90" w:type="dxa"/>
              <w:start w:w="110" w:type="dxa"/>
              <w:bottom w:w="90" w:type="dxa"/>
              <w:end w:w="110" w:type="dxa"/>
            </w:tcMar>
            <w:vAlign w:val="center"/>
            <w:shd w:fill="F5F9FC"/>
          </w:tcPr>
          <w:p>
            <w:pPr>
              <w:spacing w:before="0" w:after="0" w:line="240" w:lineRule="auto"/>
              <w:jc w:val="right"/>
            </w:pPr>
            <w:r>
              <w:rPr>
                <w:rFonts w:ascii="Arial" w:hAnsi="Arial" w:eastAsia="Arial"/>
                <w:b w:val="0"/>
                <w:color w:val="1F2933"/>
                <w:sz w:val="17"/>
              </w:rPr>
              <w:t>420.000đ</w:t>
            </w:r>
          </w:p>
        </w:tc>
        <w:tc>
          <w:tcPr>
            <w:tcW w:type="dxa" w:w="8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12%</w:t>
            </w:r>
          </w:p>
        </w:tc>
      </w:tr>
      <w:tr>
        <w:tc>
          <w:tcPr>
            <w:tcW w:type="dxa" w:w="6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3</w:t>
            </w:r>
          </w:p>
        </w:tc>
        <w:tc>
          <w:tcPr>
            <w:tcW w:type="dxa" w:w="33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Phát triển gameplay/frontend</w:t>
            </w:r>
          </w:p>
        </w:tc>
        <w:tc>
          <w:tcPr>
            <w:tcW w:type="dxa" w:w="68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Lập trình game 3D, điều khiển nhân vật, vật cản, điểm số, âm thanh và tương tác người chơi.</w:t>
            </w:r>
          </w:p>
        </w:tc>
        <w:tc>
          <w:tcPr>
            <w:tcW w:type="dxa" w:w="1650"/>
            <w:tcMar>
              <w:top w:w="90" w:type="dxa"/>
              <w:start w:w="110" w:type="dxa"/>
              <w:bottom w:w="90" w:type="dxa"/>
              <w:end w:w="110" w:type="dxa"/>
            </w:tcMar>
            <w:vAlign w:val="center"/>
          </w:tcPr>
          <w:p>
            <w:pPr>
              <w:spacing w:before="0" w:after="0" w:line="240" w:lineRule="auto"/>
              <w:jc w:val="right"/>
            </w:pPr>
            <w:r>
              <w:rPr>
                <w:rFonts w:ascii="Arial" w:hAnsi="Arial" w:eastAsia="Arial"/>
                <w:b w:val="0"/>
                <w:color w:val="1F2933"/>
                <w:sz w:val="17"/>
              </w:rPr>
              <w:t>1.225.000đ</w:t>
            </w:r>
          </w:p>
        </w:tc>
        <w:tc>
          <w:tcPr>
            <w:tcW w:type="dxa" w:w="8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35%</w:t>
            </w:r>
          </w:p>
        </w:tc>
      </w:tr>
      <w:tr>
        <w:tc>
          <w:tcPr>
            <w:tcW w:type="dxa" w:w="6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4</w:t>
            </w:r>
          </w:p>
        </w:tc>
        <w:tc>
          <w:tcPr>
            <w:tcW w:type="dxa" w:w="33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Backend, dữ liệu &amp; trang quản trị</w:t>
            </w:r>
          </w:p>
        </w:tc>
        <w:tc>
          <w:tcPr>
            <w:tcW w:type="dxa" w:w="68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Xây dựng API Node.js/Express, SQLite, xác thực admin và chức năng quản lý câu hỏi/cấu hình.</w:t>
            </w:r>
          </w:p>
        </w:tc>
        <w:tc>
          <w:tcPr>
            <w:tcW w:type="dxa" w:w="1650"/>
            <w:tcMar>
              <w:top w:w="90" w:type="dxa"/>
              <w:start w:w="110" w:type="dxa"/>
              <w:bottom w:w="90" w:type="dxa"/>
              <w:end w:w="110" w:type="dxa"/>
            </w:tcMar>
            <w:vAlign w:val="center"/>
            <w:shd w:fill="F5F9FC"/>
          </w:tcPr>
          <w:p>
            <w:pPr>
              <w:spacing w:before="0" w:after="0" w:line="240" w:lineRule="auto"/>
              <w:jc w:val="right"/>
            </w:pPr>
            <w:r>
              <w:rPr>
                <w:rFonts w:ascii="Arial" w:hAnsi="Arial" w:eastAsia="Arial"/>
                <w:b w:val="0"/>
                <w:color w:val="1F2933"/>
                <w:sz w:val="17"/>
              </w:rPr>
              <w:t>700.000đ</w:t>
            </w:r>
          </w:p>
        </w:tc>
        <w:tc>
          <w:tcPr>
            <w:tcW w:type="dxa" w:w="8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20%</w:t>
            </w:r>
          </w:p>
        </w:tc>
      </w:tr>
      <w:tr>
        <w:tc>
          <w:tcPr>
            <w:tcW w:type="dxa" w:w="6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5</w:t>
            </w:r>
          </w:p>
        </w:tc>
        <w:tc>
          <w:tcPr>
            <w:tcW w:type="dxa" w:w="33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Biên soạn/chuyển đổi ngân hàng câu hỏi</w:t>
            </w:r>
          </w:p>
        </w:tc>
        <w:tc>
          <w:tcPr>
            <w:tcW w:type="dxa" w:w="68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Chuẩn hóa dữ liệu câu hỏi lớp 6, 7, 8; kiểm tra cấu trúc đáp án và độ khó.</w:t>
            </w:r>
          </w:p>
        </w:tc>
        <w:tc>
          <w:tcPr>
            <w:tcW w:type="dxa" w:w="1650"/>
            <w:tcMar>
              <w:top w:w="90" w:type="dxa"/>
              <w:start w:w="110" w:type="dxa"/>
              <w:bottom w:w="90" w:type="dxa"/>
              <w:end w:w="110" w:type="dxa"/>
            </w:tcMar>
            <w:vAlign w:val="center"/>
          </w:tcPr>
          <w:p>
            <w:pPr>
              <w:spacing w:before="0" w:after="0" w:line="240" w:lineRule="auto"/>
              <w:jc w:val="right"/>
            </w:pPr>
            <w:r>
              <w:rPr>
                <w:rFonts w:ascii="Arial" w:hAnsi="Arial" w:eastAsia="Arial"/>
                <w:b w:val="0"/>
                <w:color w:val="1F2933"/>
                <w:sz w:val="17"/>
              </w:rPr>
              <w:t>280.000đ</w:t>
            </w:r>
          </w:p>
        </w:tc>
        <w:tc>
          <w:tcPr>
            <w:tcW w:type="dxa" w:w="8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8%</w:t>
            </w:r>
          </w:p>
        </w:tc>
      </w:tr>
      <w:tr>
        <w:tc>
          <w:tcPr>
            <w:tcW w:type="dxa" w:w="6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6</w:t>
            </w:r>
          </w:p>
        </w:tc>
        <w:tc>
          <w:tcPr>
            <w:tcW w:type="dxa" w:w="33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Kiểm thử &amp; tối ưu</w:t>
            </w:r>
          </w:p>
        </w:tc>
        <w:tc>
          <w:tcPr>
            <w:tcW w:type="dxa" w:w="68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Kiểm thử gameplay, API, dữ liệu, PWA/offline, tối ưu trải nghiệm và sửa lỗi.</w:t>
            </w:r>
          </w:p>
        </w:tc>
        <w:tc>
          <w:tcPr>
            <w:tcW w:type="dxa" w:w="1650"/>
            <w:tcMar>
              <w:top w:w="90" w:type="dxa"/>
              <w:start w:w="110" w:type="dxa"/>
              <w:bottom w:w="90" w:type="dxa"/>
              <w:end w:w="110" w:type="dxa"/>
            </w:tcMar>
            <w:vAlign w:val="center"/>
            <w:shd w:fill="F5F9FC"/>
          </w:tcPr>
          <w:p>
            <w:pPr>
              <w:spacing w:before="0" w:after="0" w:line="240" w:lineRule="auto"/>
              <w:jc w:val="right"/>
            </w:pPr>
            <w:r>
              <w:rPr>
                <w:rFonts w:ascii="Arial" w:hAnsi="Arial" w:eastAsia="Arial"/>
                <w:b w:val="0"/>
                <w:color w:val="1F2933"/>
                <w:sz w:val="17"/>
              </w:rPr>
              <w:t>350.000đ</w:t>
            </w:r>
          </w:p>
        </w:tc>
        <w:tc>
          <w:tcPr>
            <w:tcW w:type="dxa" w:w="8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10%</w:t>
            </w:r>
          </w:p>
        </w:tc>
      </w:tr>
      <w:tr>
        <w:tc>
          <w:tcPr>
            <w:tcW w:type="dxa" w:w="6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7</w:t>
            </w:r>
          </w:p>
        </w:tc>
        <w:tc>
          <w:tcPr>
            <w:tcW w:type="dxa" w:w="33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Tài liệu bàn giao</w:t>
            </w:r>
          </w:p>
        </w:tc>
        <w:tc>
          <w:tcPr>
            <w:tcW w:type="dxa" w:w="6800"/>
            <w:tcMar>
              <w:top w:w="90" w:type="dxa"/>
              <w:start w:w="110" w:type="dxa"/>
              <w:bottom w:w="90" w:type="dxa"/>
              <w:end w:w="110" w:type="dxa"/>
            </w:tcMar>
            <w:vAlign w:val="center"/>
          </w:tcPr>
          <w:p>
            <w:pPr>
              <w:spacing w:before="0" w:after="0" w:line="240" w:lineRule="auto"/>
              <w:jc w:val="left"/>
            </w:pPr>
            <w:r>
              <w:rPr>
                <w:rFonts w:ascii="Arial" w:hAnsi="Arial" w:eastAsia="Arial"/>
                <w:b w:val="0"/>
                <w:color w:val="1F2933"/>
                <w:sz w:val="17"/>
              </w:rPr>
              <w:t>Soạn tài liệu kỹ thuật, hướng dẫn chạy hệ thống và ghi chú vận hành.</w:t>
            </w:r>
          </w:p>
        </w:tc>
        <w:tc>
          <w:tcPr>
            <w:tcW w:type="dxa" w:w="1650"/>
            <w:tcMar>
              <w:top w:w="90" w:type="dxa"/>
              <w:start w:w="110" w:type="dxa"/>
              <w:bottom w:w="90" w:type="dxa"/>
              <w:end w:w="110" w:type="dxa"/>
            </w:tcMar>
            <w:vAlign w:val="center"/>
          </w:tcPr>
          <w:p>
            <w:pPr>
              <w:spacing w:before="0" w:after="0" w:line="240" w:lineRule="auto"/>
              <w:jc w:val="right"/>
            </w:pPr>
            <w:r>
              <w:rPr>
                <w:rFonts w:ascii="Arial" w:hAnsi="Arial" w:eastAsia="Arial"/>
                <w:b w:val="0"/>
                <w:color w:val="1F2933"/>
                <w:sz w:val="17"/>
              </w:rPr>
              <w:t>175.000đ</w:t>
            </w:r>
          </w:p>
        </w:tc>
        <w:tc>
          <w:tcPr>
            <w:tcW w:type="dxa" w:w="850"/>
            <w:tcMar>
              <w:top w:w="90" w:type="dxa"/>
              <w:start w:w="110" w:type="dxa"/>
              <w:bottom w:w="90" w:type="dxa"/>
              <w:end w:w="110" w:type="dxa"/>
            </w:tcMar>
            <w:vAlign w:val="center"/>
          </w:tcPr>
          <w:p>
            <w:pPr>
              <w:spacing w:before="0" w:after="0" w:line="240" w:lineRule="auto"/>
              <w:jc w:val="center"/>
            </w:pPr>
            <w:r>
              <w:rPr>
                <w:rFonts w:ascii="Arial" w:hAnsi="Arial" w:eastAsia="Arial"/>
                <w:b w:val="0"/>
                <w:color w:val="1F2933"/>
                <w:sz w:val="17"/>
              </w:rPr>
              <w:t>5%</w:t>
            </w:r>
          </w:p>
        </w:tc>
      </w:tr>
      <w:tr>
        <w:tc>
          <w:tcPr>
            <w:tcW w:type="dxa" w:w="6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8</w:t>
            </w:r>
          </w:p>
        </w:tc>
        <w:tc>
          <w:tcPr>
            <w:tcW w:type="dxa" w:w="33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Deploy/triển khai hosting</w:t>
            </w:r>
          </w:p>
        </w:tc>
        <w:tc>
          <w:tcPr>
            <w:tcW w:type="dxa" w:w="6800"/>
            <w:tcMar>
              <w:top w:w="90" w:type="dxa"/>
              <w:start w:w="110" w:type="dxa"/>
              <w:bottom w:w="90" w:type="dxa"/>
              <w:end w:w="110" w:type="dxa"/>
            </w:tcMar>
            <w:vAlign w:val="center"/>
            <w:shd w:fill="F5F9FC"/>
          </w:tcPr>
          <w:p>
            <w:pPr>
              <w:spacing w:before="0" w:after="0" w:line="240" w:lineRule="auto"/>
              <w:jc w:val="left"/>
            </w:pPr>
            <w:r>
              <w:rPr>
                <w:rFonts w:ascii="Arial" w:hAnsi="Arial" w:eastAsia="Arial"/>
                <w:b w:val="0"/>
                <w:color w:val="1F2933"/>
                <w:sz w:val="17"/>
              </w:rPr>
              <w:t>Chưa phát sinh chi phí triển khai/hosting trong phạm vi ngân sách hiện tại.</w:t>
            </w:r>
          </w:p>
        </w:tc>
        <w:tc>
          <w:tcPr>
            <w:tcW w:type="dxa" w:w="1650"/>
            <w:tcMar>
              <w:top w:w="90" w:type="dxa"/>
              <w:start w:w="110" w:type="dxa"/>
              <w:bottom w:w="90" w:type="dxa"/>
              <w:end w:w="110" w:type="dxa"/>
            </w:tcMar>
            <w:vAlign w:val="center"/>
            <w:shd w:fill="F5F9FC"/>
          </w:tcPr>
          <w:p>
            <w:pPr>
              <w:spacing w:before="0" w:after="0" w:line="240" w:lineRule="auto"/>
              <w:jc w:val="right"/>
            </w:pPr>
            <w:r>
              <w:rPr>
                <w:rFonts w:ascii="Arial" w:hAnsi="Arial" w:eastAsia="Arial"/>
                <w:b w:val="0"/>
                <w:color w:val="1F2933"/>
                <w:sz w:val="17"/>
              </w:rPr>
              <w:t>0đ</w:t>
            </w:r>
          </w:p>
        </w:tc>
        <w:tc>
          <w:tcPr>
            <w:tcW w:type="dxa" w:w="850"/>
            <w:tcMar>
              <w:top w:w="90" w:type="dxa"/>
              <w:start w:w="110" w:type="dxa"/>
              <w:bottom w:w="90" w:type="dxa"/>
              <w:end w:w="110" w:type="dxa"/>
            </w:tcMar>
            <w:vAlign w:val="center"/>
            <w:shd w:fill="F5F9FC"/>
          </w:tcPr>
          <w:p>
            <w:pPr>
              <w:spacing w:before="0" w:after="0" w:line="240" w:lineRule="auto"/>
              <w:jc w:val="center"/>
            </w:pPr>
            <w:r>
              <w:rPr>
                <w:rFonts w:ascii="Arial" w:hAnsi="Arial" w:eastAsia="Arial"/>
                <w:b w:val="0"/>
                <w:color w:val="1F2933"/>
                <w:sz w:val="17"/>
              </w:rPr>
              <w:t>0%</w:t>
            </w:r>
          </w:p>
        </w:tc>
      </w:tr>
      <w:tr>
        <w:tc>
          <w:tcPr>
            <w:tcW w:type="dxa" w:w="650"/>
            <w:tcMar>
              <w:top w:w="90" w:type="dxa"/>
              <w:start w:w="110" w:type="dxa"/>
              <w:bottom w:w="90" w:type="dxa"/>
              <w:end w:w="110" w:type="dxa"/>
            </w:tcMar>
            <w:vAlign w:val="center"/>
            <w:shd w:fill="D9EAF7"/>
          </w:tcPr>
          <w:p>
            <w:pPr>
              <w:spacing w:before="0" w:after="0" w:line="240" w:lineRule="auto"/>
              <w:jc w:val="center"/>
            </w:pPr>
            <w:r>
              <w:rPr>
                <w:rFonts w:ascii="Arial" w:hAnsi="Arial" w:eastAsia="Arial"/>
                <w:b/>
                <w:color w:val="1F4E79"/>
                <w:sz w:val="17"/>
              </w:rPr>
            </w:r>
          </w:p>
        </w:tc>
        <w:tc>
          <w:tcPr>
            <w:tcW w:type="dxa" w:w="3300"/>
            <w:tcMar>
              <w:top w:w="90" w:type="dxa"/>
              <w:start w:w="110" w:type="dxa"/>
              <w:bottom w:w="90" w:type="dxa"/>
              <w:end w:w="110" w:type="dxa"/>
            </w:tcMar>
            <w:vAlign w:val="center"/>
            <w:shd w:fill="D9EAF7"/>
          </w:tcPr>
          <w:p>
            <w:pPr>
              <w:spacing w:before="0" w:after="0" w:line="240" w:lineRule="auto"/>
              <w:jc w:val="left"/>
            </w:pPr>
            <w:r>
              <w:rPr>
                <w:rFonts w:ascii="Arial" w:hAnsi="Arial" w:eastAsia="Arial"/>
                <w:b/>
                <w:color w:val="1F4E79"/>
                <w:sz w:val="17"/>
              </w:rPr>
              <w:t>Tổng cộng</w:t>
            </w:r>
          </w:p>
        </w:tc>
        <w:tc>
          <w:tcPr>
            <w:tcW w:type="dxa" w:w="6800"/>
            <w:tcMar>
              <w:top w:w="90" w:type="dxa"/>
              <w:start w:w="110" w:type="dxa"/>
              <w:bottom w:w="90" w:type="dxa"/>
              <w:end w:w="110" w:type="dxa"/>
            </w:tcMar>
            <w:vAlign w:val="center"/>
            <w:shd w:fill="D9EAF7"/>
          </w:tcPr>
          <w:p>
            <w:pPr>
              <w:spacing w:before="0" w:after="0" w:line="240" w:lineRule="auto"/>
              <w:jc w:val="left"/>
            </w:pPr>
            <w:r>
              <w:rPr>
                <w:rFonts w:ascii="Arial" w:hAnsi="Arial" w:eastAsia="Arial"/>
                <w:b/>
                <w:color w:val="1F4E79"/>
                <w:sz w:val="17"/>
              </w:rPr>
              <w:t>Tổng chi phí đã phân bổ cho dự án.</w:t>
            </w:r>
          </w:p>
        </w:tc>
        <w:tc>
          <w:tcPr>
            <w:tcW w:type="dxa" w:w="1650"/>
            <w:tcMar>
              <w:top w:w="90" w:type="dxa"/>
              <w:start w:w="110" w:type="dxa"/>
              <w:bottom w:w="90" w:type="dxa"/>
              <w:end w:w="110" w:type="dxa"/>
            </w:tcMar>
            <w:vAlign w:val="center"/>
            <w:shd w:fill="D9EAF7"/>
          </w:tcPr>
          <w:p>
            <w:pPr>
              <w:spacing w:before="0" w:after="0" w:line="240" w:lineRule="auto"/>
              <w:jc w:val="right"/>
            </w:pPr>
            <w:r>
              <w:rPr>
                <w:rFonts w:ascii="Arial" w:hAnsi="Arial" w:eastAsia="Arial"/>
                <w:b/>
                <w:color w:val="1F4E79"/>
                <w:sz w:val="17"/>
              </w:rPr>
              <w:t>3.500.000đ</w:t>
            </w:r>
          </w:p>
        </w:tc>
        <w:tc>
          <w:tcPr>
            <w:tcW w:type="dxa" w:w="850"/>
            <w:tcMar>
              <w:top w:w="90" w:type="dxa"/>
              <w:start w:w="110" w:type="dxa"/>
              <w:bottom w:w="90" w:type="dxa"/>
              <w:end w:w="110" w:type="dxa"/>
            </w:tcMar>
            <w:vAlign w:val="center"/>
            <w:shd w:fill="D9EAF7"/>
          </w:tcPr>
          <w:p>
            <w:pPr>
              <w:spacing w:before="0" w:after="0" w:line="240" w:lineRule="auto"/>
              <w:jc w:val="center"/>
            </w:pPr>
            <w:r>
              <w:rPr>
                <w:rFonts w:ascii="Arial" w:hAnsi="Arial" w:eastAsia="Arial"/>
                <w:b/>
                <w:color w:val="1F4E79"/>
                <w:sz w:val="17"/>
              </w:rPr>
              <w:t>100%</w:t>
            </w:r>
          </w:p>
        </w:tc>
      </w:tr>
    </w:tbl>
    <w:p>
      <w:pPr>
        <w:spacing w:before="140" w:after="0" w:line="240" w:lineRule="auto"/>
        <w:jc w:val="left"/>
      </w:pPr>
      <w:r>
        <w:rPr>
          <w:rFonts w:ascii="Arial" w:hAnsi="Arial" w:eastAsia="Arial"/>
          <w:b/>
          <w:color w:val="1F4E79"/>
          <w:sz w:val="17"/>
        </w:rPr>
        <w:t xml:space="preserve">Ghi chú: </w:t>
      </w:r>
      <w:r>
        <w:rPr>
          <w:rFonts w:ascii="Arial" w:hAnsi="Arial" w:eastAsia="Arial"/>
          <w:b w:val="0"/>
          <w:color w:val="5B6776"/>
          <w:sz w:val="17"/>
        </w:rPr>
        <w:t>Khoản deploy/triển khai hosting được ghi nhận 0đ vì chưa phát sinh chi phí trong phạm vi ngân sách hiện tại. Các khoản mục còn lại được phân bổ theo tỉ lệ ưu tiên phần phát triển phần mềm.</w:t>
      </w:r>
    </w:p>
    <w:p>
      <w:pPr>
        <w:spacing w:before="80" w:after="0" w:line="240" w:lineRule="auto"/>
        <w:jc w:val="right"/>
      </w:pPr>
      <w:r>
        <w:rPr>
          <w:rFonts w:ascii="Arial" w:hAnsi="Arial" w:eastAsia="Arial"/>
          <w:b w:val="0"/>
          <w:color w:val="5B6776"/>
          <w:sz w:val="17"/>
        </w:rPr>
        <w:t>Ngày lập: 27/04/2026</w:t>
      </w:r>
    </w:p>
    <w:sectPr w:rsidR="00FC693F" w:rsidRPr="0006063C" w:rsidSect="00034616">
      <w:pgSz w:w="16834" w:h="11909"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