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jc w:val="center"/>
        <w:rPr>
          <w:rFonts w:ascii="Times" w:hAnsi="Times" w:eastAsia="Times" w:cs="Times"/>
          <w:b/>
          <w:bCs/>
          <w:sz w:val="44"/>
          <w:szCs w:val="44"/>
        </w:rPr>
      </w:pPr>
      <w:r>
        <w:rPr>
          <w:rFonts w:ascii="Times"/>
          <w:b/>
          <w:bCs/>
          <w:sz w:val="44"/>
          <w:szCs w:val="44"/>
          <w:lang w:val="zh-CN" w:eastAsia="zh-CN"/>
        </w:rPr>
        <w:t>XLP</w:t>
      </w:r>
      <w:r>
        <w:rPr>
          <w:rFonts w:hint="eastAsia" w:eastAsia="Times"/>
          <w:b/>
          <w:bCs/>
          <w:sz w:val="44"/>
          <w:szCs w:val="44"/>
          <w:lang w:val="zh-CN" w:eastAsia="zh-CN"/>
        </w:rPr>
        <w:t>法院</w:t>
      </w:r>
    </w:p>
    <w:p>
      <w:pPr>
        <w:pStyle w:val="5"/>
        <w:jc w:val="center"/>
        <w:rPr>
          <w:rFonts w:ascii="Times" w:hAnsi="Times" w:eastAsia="Times" w:cs="Times"/>
          <w:b/>
          <w:bCs/>
          <w:sz w:val="52"/>
          <w:szCs w:val="52"/>
        </w:rPr>
      </w:pPr>
      <w:r>
        <w:rPr>
          <w:rFonts w:hint="eastAsia" w:eastAsia="Times"/>
          <w:b/>
          <w:bCs/>
          <w:sz w:val="52"/>
          <w:szCs w:val="52"/>
          <w:lang w:val="zh-CN" w:eastAsia="zh-CN"/>
        </w:rPr>
        <w:t>行政判决书</w:t>
      </w:r>
    </w:p>
    <w:p>
      <w:pPr>
        <w:pStyle w:val="5"/>
        <w:spacing w:line="360" w:lineRule="auto"/>
        <w:rPr>
          <w:b/>
          <w:bCs/>
        </w:rPr>
      </w:pPr>
      <w:r>
        <w:rPr>
          <w:rFonts w:hint="eastAsia" w:eastAsia="Helvetica"/>
          <w:b/>
          <w:bCs/>
          <w:lang w:val="zh-CN" w:eastAsia="zh-CN"/>
        </w:rPr>
        <w:t>案卷号：</w:t>
      </w:r>
      <w:r>
        <w:rPr>
          <w:b/>
          <w:bCs/>
          <w:lang w:val="zh-CN" w:eastAsia="zh-CN"/>
        </w:rPr>
        <w:t>A01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原告：XLP第五组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法定代表人：黄馨仪，小组组长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委托代理律师：孙文凯，XLP律师事务所律师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被告：XLP交易所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法定代表人：关鑫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委托代理律师：吕佰树，XLP律师事务所律师</w:t>
      </w:r>
    </w:p>
    <w:p>
      <w:pPr>
        <w:pStyle w:val="5"/>
        <w:rPr>
          <w:rFonts w:hint="eastAsia" w:ascii="黑体" w:hAnsi="黑体" w:eastAsia="黑体" w:cs="黑体"/>
          <w:sz w:val="32"/>
          <w:szCs w:val="32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原告XLP第五组（以下简称第五组）要求被告XLP交易所（以下简称交易所）撤销行政处罚，并返还违规罚款共计50元一案，于2015年01月26日向本院提起诉讼。本院受理后，于2015年01月26日向被告交易所送达了起诉状副本、应诉通知书、举证责任通知书等法律文书。当日，被告向本院提供相应证据和依据。本院依法组成合议庭，于2015年01月26日公开开庭进行了审理。原告第五组法定代表人黄馨怡、原告代理律师孙文凯、被告交易所法定代表人关鑫、被告代理律师吕佰树到庭参加诉讼。本案现已审理终结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原告第五组诉称，因为遗落ID卡在交易所，未能及时看到交易所发布的领卡通知，而遭到交易所罚款50元（5名小组成员每人罚款10元）。交易所在Teambition上发布了领卡通知，并要求在发布之后5分钟内去领取。但是由于发布领卡的时间5分钟过于仓促，且当时正值git课程刚结束，小组成员均在忙于完成4点钟要提交的任务，没有充足的时间看到Teambition上的通知。随后，交易所就此事开出了罚单，罚款第五组的5名成员每人10元。在缴纳了罚款之后，第五组找交易所理论，要求交易所撤回处罚，但被交易所拒绝。第五组认为交易所发布的通知不合理，且交易所没有权利收取罚款，交易所的行为已经侵犯了自己的合法权益，故请求责令被告返还第五组所支付的50元罚款，并判令本案诉讼费由被告承担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原告第五组在法定期限内提供并经庭审质证的证据有：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1、用手机拍摄的git课程照片：上面显示了照相的时间在15：25。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2、证人唐蔚（计分组人员）证言：当时所有同学都在参加课程活动。当被告发布了公告的时候，原告正在听讲座，时间大概是15：50，具体是什么时候也记不清了。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原告补充提交的证据有：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3、证人交易所工作人员证言：当时原告确实有把卡放在了交易所人员的手中。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4、书证：课程时间排表。</w:t>
      </w:r>
    </w:p>
    <w:p>
      <w:pPr>
        <w:pStyle w:val="5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被告交易所辩称，在2015年01月26日下午，原告方持ID卡到银行存款，并到达交易所录入信息，之后就把卡留在了交易所。交易所工作人员由于事情繁杂，为了持卡人的利益考虑，于1月26日下午3：47分在Teambition上发布了领卡通知，通知中称第五组在通知发布5分钟后未来领卡的，则收取10货币/人。被告的代理律师辩称，收取的该笔费用的性质为管理费，是交易所帮忙保管ID卡所产生的费用，而不是罚款，收据上写着的“罚款”是交易所工作人员的笔误所致。交易所认为，原告第五组完全有时间和能力看到Teambition上面的通知并及时过来领取自己的ID卡，而交易所并没有义务为第五组保管5张ID卡，因此收取的50元费用是合情合理的。综上，交易所收取原告的费用的事实清楚，证据确凿，费用适当，不存在履行法定职责不当的情况，请求人民法院依法公正裁判。</w:t>
      </w:r>
    </w:p>
    <w:p>
      <w:pPr>
        <w:pStyle w:val="5"/>
        <w:rPr>
          <w:rFonts w:hint="eastAsia" w:ascii="黑体" w:hAnsi="黑体" w:eastAsia="黑体" w:cs="黑体"/>
          <w:sz w:val="32"/>
          <w:szCs w:val="32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被告在法定期限内提供并经庭审质证的证据有：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1、Teambition界面截图：显示通知内容“小组在5分钟之内到交易所领取ID卡，5分钟之后将收取10货币（每人）”。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2、Teambition界面截图：显示通知发送时间为2015年01月26日下午3：47分。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3、收据：收取项目写为“罚款”，费用总计50元。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4、证人关京晶（政府人员）证言：当天大概下午3：45到3：50的时候教室里的同学应该是在刷Teambition。而同学们在学习git的时候，也是可以同时观察到Teambition上的信息，这是不影响的。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被告对原告的2号证据有异议，认为该证人并不能明确的说出具体的时间，其证言的真实性值得怀疑。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原告对被告的3号证据缺乏关联性，认为该份证据并不能证明被告收取的50元费用是管理费，而应该证明被告收取的是罚款。原告对被告的4号证人证言提出异议，并认为该份证言与实际情况不符。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经庭审质证，本院对原、被告双方提供的上述证据作如下认定：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原告提供的1号证据为手机拍摄的照片，拍照时间很难在短时间内改动；3号证据为证人证言，被告方没有异议；4号证据为课程时间安排表，是属于课程安排的官方文件，以上3份证据具有关联性、；真实性，且来源形式合法，本院予以确认。原告提供的2号证人证言，经过被告的质证以及审判员提问，证人唐某并不能确切讲出真正的时间，最后也明确表示自己确实是记得不太清楚，证人向法院作的陈述前后存在矛盾，故对于该份证人证言，本院不予采信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被告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提供的1号和2号证据为Teambition界面截图，原告对此并无异议，本院予以确认。被告提供的第4号证人证言与课程时间安排相矛盾，且无法证明原告有较大可能尽到合理注意义务，本院不予采信。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经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审理查明，2015年1月26日13点47分，被告交易所在Teambition上发布了领卡通知，而第五组并未在5分钟的期限内领走ID卡。交易所随后依照通知上的规定对第五组的每名同学罚款10元，第五组对罚款不服，诉至本院。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 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本院认为，依据《XLP规则》的有关规定，交易所的罚款行为违法，侵犯了第五组的财产权。首先，交易所收取50块钱的性质是罚款，被告律师辩称交易所开具的收据上写着“罚款”两个字为工作人员笔误这一说法不能成立。其次，《XLP规则》中并没有赋予交易所罚款的权力，其私自罚款，属于越权行为，侵犯了原告的合法权益。再次，被告选择在原告忙于完成课程任务的时间点在Teambition上发布领卡通知，且预留的时间仅为5分钟，这严重的扩大了原告的注意义务，使其准时过来领卡的可能性大大降低。最后，原告把卡放在了交易所，交易所对其进行了保管并专门发布了领卡公告，产生了一定管理费用应由原告承担。依照《XLP规则》之规定，判决如下：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1、被告返还原告已经收取的罚款50元，原告支付被告管理费5元。</w:t>
      </w: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2、案件诉讼费20元，由被告承担。</w:t>
      </w:r>
    </w:p>
    <w:p>
      <w:pPr>
        <w:pStyle w:val="5"/>
        <w:rPr>
          <w:rFonts w:hint="eastAsia" w:ascii="黑体" w:hAnsi="黑体" w:eastAsia="黑体" w:cs="黑体"/>
          <w:sz w:val="20"/>
          <w:szCs w:val="20"/>
        </w:rPr>
      </w:pPr>
    </w:p>
    <w:p>
      <w:pPr>
        <w:pStyle w:val="5"/>
        <w:spacing w:line="360" w:lineRule="auto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本案判决为终审判决，自判决之日起生效。</w:t>
      </w:r>
    </w:p>
    <w:p>
      <w:pPr>
        <w:pStyle w:val="5"/>
        <w:jc w:val="right"/>
        <w:rPr>
          <w:rFonts w:hint="eastAsia" w:ascii="黑体" w:hAnsi="黑体" w:eastAsia="黑体" w:cs="黑体"/>
          <w:sz w:val="32"/>
          <w:szCs w:val="32"/>
        </w:rPr>
      </w:pPr>
    </w:p>
    <w:p>
      <w:pPr>
        <w:pStyle w:val="5"/>
        <w:spacing w:line="360" w:lineRule="auto"/>
        <w:jc w:val="righ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 xml:space="preserve"> 审判长：刘夏欣</w:t>
      </w:r>
    </w:p>
    <w:p>
      <w:pPr>
        <w:pStyle w:val="5"/>
        <w:spacing w:line="360" w:lineRule="auto"/>
        <w:jc w:val="righ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审判员：闫翼骎</w:t>
      </w:r>
    </w:p>
    <w:p>
      <w:pPr>
        <w:pStyle w:val="5"/>
        <w:spacing w:line="360" w:lineRule="auto"/>
        <w:jc w:val="righ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审判员：梁尧</w:t>
      </w:r>
    </w:p>
    <w:p>
      <w:pPr>
        <w:pStyle w:val="5"/>
        <w:spacing w:line="360" w:lineRule="auto"/>
        <w:jc w:val="righ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书记员：谭梅丽</w:t>
      </w:r>
    </w:p>
    <w:p>
      <w:pPr>
        <w:pStyle w:val="5"/>
        <w:spacing w:line="360" w:lineRule="auto"/>
        <w:jc w:val="right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zh-TW" w:eastAsia="zh-TW"/>
        </w:rPr>
        <w:t>二〇一五年一月</w:t>
      </w:r>
      <w:r>
        <w:rPr>
          <w:rFonts w:hint="eastAsia" w:ascii="黑体" w:hAnsi="黑体" w:eastAsia="黑体" w:cs="黑体"/>
          <w:sz w:val="32"/>
          <w:szCs w:val="32"/>
          <w:lang w:val="zh-CN" w:eastAsia="zh-CN"/>
        </w:rPr>
        <w:t>二十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七</w:t>
      </w:r>
      <w:bookmarkStart w:id="0" w:name="_GoBack"/>
      <w:bookmarkEnd w:id="0"/>
      <w:r>
        <w:rPr>
          <w:rFonts w:hint="eastAsia" w:ascii="黑体" w:hAnsi="黑体" w:eastAsia="黑体" w:cs="黑体"/>
          <w:sz w:val="32"/>
          <w:szCs w:val="32"/>
        </w:rPr>
        <w:t>日</w:t>
      </w:r>
    </w:p>
    <w:p>
      <w:pPr>
        <w:pStyle w:val="5"/>
        <w:spacing w:line="360" w:lineRule="auto"/>
        <w:jc w:val="right"/>
        <w:rPr>
          <w:rFonts w:ascii="Courier" w:hAnsi="Courier" w:eastAsia="Courier" w:cs="Courier"/>
          <w:sz w:val="32"/>
          <w:szCs w:val="32"/>
        </w:rPr>
      </w:pPr>
    </w:p>
    <w:p>
      <w:pPr>
        <w:pStyle w:val="5"/>
        <w:rPr>
          <w:rFonts w:ascii="Courier" w:hAnsi="Courier" w:eastAsia="Courier" w:cs="Courier"/>
        </w:rPr>
      </w:pPr>
    </w:p>
    <w:p>
      <w:pPr>
        <w:pStyle w:val="5"/>
      </w:pP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3C62CB2"/>
    <w:rsid w:val="19A459AE"/>
    <w:rsid w:val="1A220158"/>
    <w:rsid w:val="240A7386"/>
    <w:rsid w:val="2C952DB1"/>
    <w:rsid w:val="53251284"/>
    <w:rsid w:val="6CC5648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Hyperlink"/>
    <w:uiPriority w:val="0"/>
    <w:rPr>
      <w:u w:val="single"/>
    </w:rPr>
  </w:style>
  <w:style w:type="paragraph" w:customStyle="1" w:styleId="5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zh-CN" w:eastAsia="zh-CN" w:bidi="ar-SA"/>
    </w:rPr>
  </w:style>
  <w:style w:type="table" w:customStyle="1" w:styleId="6">
    <w:name w:val="Table Normal"/>
    <w:uiPriority w:val="0"/>
    <w:tblPr>
      <w:tblStyle w:val="4"/>
      <w:tblLayout w:type="fixed"/>
    </w:tblPr>
    <w:tcPr>
      <w:textDirection w:val="lrTb"/>
    </w:tcPr>
    <w:tblStylePr w:type="firstRow">
      <w:tblPr>
        <w:tblStyle w:val="4"/>
        <w:tblLayout w:type="fixed"/>
      </w:tblPr>
      <w:tcPr>
        <w:textDirection w:val="lrTb"/>
      </w:tc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2015-01-27T08:39:00Z</dcterms:created>
  <cp:lastModifiedBy>somnus_ks</cp:lastModifiedBy>
  <dcterms:modified xsi:type="dcterms:W3CDTF">2015-01-27T10:37:50Z</dcterms:modified>
  <dc:title>XLP法院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