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40"/>
        </w:rPr>
        <w:t>中期报告</w:t>
      </w:r>
    </w:p>
    <w:p>
      <w:pPr>
        <w:pStyle w:val="Heading1"/>
      </w:pPr>
      <w:r>
        <w:rPr>
          <w:rFonts w:ascii="Arial" w:hAnsi="Arial"/>
          <w:b/>
          <w:sz w:val="28"/>
        </w:rPr>
        <w:t>一、选题</w:t>
      </w:r>
    </w:p>
    <w:p>
      <w:pPr>
        <w:spacing w:after="80" w:line="360" w:lineRule="auto"/>
        <w:ind w:firstLine="420"/>
      </w:pPr>
      <w:r>
        <w:rPr>
          <w:rFonts w:ascii="Arial" w:hAnsi="Arial"/>
          <w:b w:val="0"/>
          <w:sz w:val="22"/>
        </w:rPr>
        <w:t>我们在严格控制信息泄漏的前提下系统量化网络拓扑先验对癌症驱动基因优先级排序的独立贡献。</w:t>
      </w:r>
    </w:p>
    <w:p>
      <w:pPr>
        <w:pStyle w:val="Heading1"/>
      </w:pPr>
      <w:r>
        <w:rPr>
          <w:rFonts w:ascii="Arial" w:hAnsi="Arial"/>
          <w:b/>
          <w:sz w:val="28"/>
        </w:rPr>
        <w:t>二、科学问题与假设</w:t>
      </w:r>
    </w:p>
    <w:p>
      <w:pPr>
        <w:spacing w:after="80" w:line="360" w:lineRule="auto"/>
        <w:ind w:firstLine="420"/>
      </w:pPr>
      <w:r>
        <w:rPr>
          <w:rFonts w:ascii="Arial" w:hAnsi="Arial"/>
          <w:b w:val="0"/>
          <w:sz w:val="22"/>
        </w:rPr>
        <w:t>在癌症驱动基因排序中，被广泛使用的“网络邻近性”特征究竟贡献了多少独立于节点度（degree）的判别信息？换言之，已发表方法获得的提升是真实的拓扑信号，还是仅仅是高度基因本身更可能成为驱动基因这一度效应的副产品？</w:t>
      </w:r>
    </w:p>
    <w:p>
      <w:pPr>
        <w:spacing w:after="80" w:line="360" w:lineRule="auto"/>
        <w:ind w:firstLine="420"/>
      </w:pPr>
      <w:r>
        <w:rPr>
          <w:rFonts w:ascii="Arial" w:hAnsi="Arial"/>
          <w:b w:val="0"/>
          <w:sz w:val="22"/>
        </w:rPr>
        <w:t>围绕该问题，我们提出了三条假设：</w:t>
      </w:r>
    </w:p>
    <w:p>
      <w:pPr>
        <w:pStyle w:val="ListBullet"/>
        <w:spacing w:after="40" w:line="336" w:lineRule="auto"/>
      </w:pPr>
      <w:r>
        <w:rPr>
          <w:rFonts w:ascii="Arial" w:hAnsi="Arial"/>
          <w:sz w:val="22"/>
        </w:rPr>
        <w:t>H1：网络拓扑先验相对节点度能提供独立判别力。若成立，ΔAUROC 在所有网络与标签组合下均显著为正；若失败，则表明过去十年基于网络先验的驱动基因排序工作基本建立在一个度效应上。</w:t>
      </w:r>
    </w:p>
    <w:p>
      <w:pPr>
        <w:pStyle w:val="ListBullet"/>
        <w:spacing w:after="40" w:line="336" w:lineRule="auto"/>
      </w:pPr>
      <w:r>
        <w:rPr>
          <w:rFonts w:ascii="Arial" w:hAnsi="Arial"/>
          <w:sz w:val="22"/>
        </w:rPr>
        <w:t>H2：该贡献在不同网络来源之间具有不变性。即不论网络是 RNA 共表达、蛋白质相互作用还是文献策展，网络的边际贡献接近，provenance 解释不了跨网络差异。</w:t>
      </w:r>
    </w:p>
    <w:p>
      <w:pPr>
        <w:pStyle w:val="ListBullet"/>
        <w:spacing w:after="40" w:line="336" w:lineRule="auto"/>
      </w:pPr>
      <w:r>
        <w:rPr>
          <w:rFonts w:ascii="Arial" w:hAnsi="Arial"/>
          <w:sz w:val="22"/>
        </w:rPr>
        <w:t>H3：网络之间的表观差异可被文献关注度解释。在控制 per-gene PubCount 后，文献策展网络的“优势”应当塌缩。</w:t>
      </w:r>
    </w:p>
    <w:p>
      <w:pPr>
        <w:spacing w:after="80" w:line="360" w:lineRule="auto"/>
        <w:ind w:firstLine="420"/>
      </w:pPr>
      <w:r>
        <w:rPr>
          <w:rFonts w:ascii="Arial" w:hAnsi="Arial"/>
          <w:b w:val="0"/>
          <w:sz w:val="22"/>
        </w:rPr>
        <w:t>三条假设均在确认任何结果前预注册并锁定。</w:t>
      </w:r>
    </w:p>
    <w:p>
      <w:pPr>
        <w:pStyle w:val="Heading1"/>
      </w:pPr>
      <w:r>
        <w:rPr>
          <w:rFonts w:ascii="Arial" w:hAnsi="Arial"/>
          <w:b/>
          <w:sz w:val="28"/>
        </w:rPr>
        <w:t>三、验证方法</w:t>
      </w:r>
    </w:p>
    <w:p>
      <w:pPr>
        <w:spacing w:after="80" w:line="360" w:lineRule="auto"/>
        <w:ind w:firstLine="420"/>
      </w:pPr>
      <w:r>
        <w:rPr>
          <w:rFonts w:ascii="Arial" w:hAnsi="Arial"/>
          <w:b w:val="0"/>
          <w:sz w:val="22"/>
        </w:rPr>
        <w:t>为验证上述假设，我们构建了一个包含以下要素的基准测试：</w:t>
      </w:r>
    </w:p>
    <w:p>
      <w:pPr>
        <w:pStyle w:val="ListBullet"/>
        <w:spacing w:after="40" w:line="336" w:lineRule="auto"/>
      </w:pPr>
      <w:r>
        <w:rPr>
          <w:rFonts w:ascii="Arial" w:hAnsi="Arial"/>
          <w:sz w:val="22"/>
        </w:rPr>
        <w:t>六个独立网络：FunMap、IntAct、Reactome、TCGA 多队列 RNA 共表达、STRING v12.0 物理子网（≥700 分）、STRING v12.0 全网（≥700 分），覆盖 RNA / 蛋白质 / 文献三种 provenance。</w:t>
      </w:r>
    </w:p>
    <w:p>
      <w:pPr>
        <w:pStyle w:val="ListBullet"/>
        <w:spacing w:after="40" w:line="336" w:lineRule="auto"/>
      </w:pPr>
      <w:r>
        <w:rPr>
          <w:rFonts w:ascii="Arial" w:hAnsi="Arial"/>
          <w:sz w:val="22"/>
        </w:rPr>
        <w:t>四套驱动基因标签集：IntOGen 2024.09.20 主标签、Open Targets 26.06 全证据与去文献两个变体、IntOGen 2020→2024 时间窗新增的 152 个驱动基因（用于时间外推测试）；外加 ClinGen 作为第五个验证标签。</w:t>
      </w:r>
    </w:p>
    <w:p>
      <w:pPr>
        <w:pStyle w:val="ListBullet"/>
        <w:spacing w:after="40" w:line="336" w:lineRule="auto"/>
      </w:pPr>
      <w:r>
        <w:rPr>
          <w:rFonts w:ascii="Arial" w:hAnsi="Arial"/>
          <w:sz w:val="22"/>
        </w:rPr>
        <w:t>固定学习器：带重启的随机游走（RWR），α=0.5，tol=1e-8，max_iter=200，权重统一为无权边。</w:t>
      </w:r>
    </w:p>
    <w:p>
      <w:pPr>
        <w:pStyle w:val="ListBullet"/>
        <w:spacing w:after="40" w:line="336" w:lineRule="auto"/>
      </w:pPr>
      <w:r>
        <w:rPr>
          <w:rFonts w:ascii="Arial" w:hAnsi="Arial"/>
          <w:sz w:val="22"/>
        </w:rPr>
        <w:t>固定交叉验证：5-fold × 10-repeat StratifiedKFold，基种子 20260926，splits 作为正式产物发布以确保逐折可复现。</w:t>
      </w:r>
    </w:p>
    <w:p>
      <w:pPr>
        <w:pStyle w:val="ListBullet"/>
        <w:spacing w:after="40" w:line="336" w:lineRule="auto"/>
      </w:pPr>
      <w:r>
        <w:rPr>
          <w:rFonts w:ascii="Arial" w:hAnsi="Arial"/>
          <w:sz w:val="22"/>
        </w:rPr>
        <w:t>七项对照：度基线、度匹配种子零分布、构型模型边重置零分布、共享基因宇宙、跨目录标签迁移、时间窗切分、PubCount 回归调整，分别排查拓扑效应、度效应、拓扑-边效应、覆盖差异、标签定义差异、时间漂移和文献偏倚。</w:t>
      </w:r>
    </w:p>
    <w:p>
      <w:pPr>
        <w:pStyle w:val="ListBullet"/>
        <w:spacing w:after="40" w:line="336" w:lineRule="auto"/>
      </w:pPr>
      <w:r>
        <w:rPr>
          <w:rFonts w:ascii="Arial" w:hAnsi="Arial"/>
          <w:sz w:val="22"/>
        </w:rPr>
        <w:t>四项统计输出：混合效应模型方差分解（network / label / fold 三个随机效应）、cluster bootstrap 95% 置信区间、TOST 等价检验（margin=0.05）、BH-FDR 多重检验校正。</w:t>
      </w:r>
    </w:p>
    <w:p>
      <w:pPr>
        <w:pStyle w:val="ListBullet"/>
        <w:spacing w:after="40" w:line="336" w:lineRule="auto"/>
      </w:pPr>
      <w:r>
        <w:rPr>
          <w:rFonts w:ascii="Arial" w:hAnsi="Arial"/>
          <w:sz w:val="22"/>
        </w:rPr>
        <w:t>一项图神经网络验证：把 Node2Vec 作为“现代方法下限”塞进同一 harness 重跑 72 个 cell，验证我们的结论不是 learner 偏弱造成的。</w:t>
      </w:r>
    </w:p>
    <w:p>
      <w:pPr>
        <w:spacing w:after="80" w:line="360" w:lineRule="auto"/>
        <w:ind w:firstLine="420"/>
      </w:pPr>
      <w:r>
        <w:rPr>
          <w:rFonts w:ascii="Arial" w:hAnsi="Arial"/>
          <w:b w:val="0"/>
          <w:sz w:val="22"/>
        </w:rPr>
        <w:t>整套工作覆盖数据、统计、对照与第三方审计的全链路。</w:t>
      </w:r>
    </w:p>
    <w:p>
      <w:pPr>
        <w:pStyle w:val="Heading1"/>
      </w:pPr>
      <w:r>
        <w:rPr>
          <w:rFonts w:ascii="Arial" w:hAnsi="Arial"/>
          <w:b/>
          <w:sz w:val="28"/>
        </w:rPr>
        <w:t>四、现有数据</w:t>
      </w:r>
    </w:p>
    <w:p>
      <w:pPr>
        <w:spacing w:after="80" w:line="360" w:lineRule="auto"/>
        <w:ind w:firstLine="420"/>
      </w:pPr>
      <w:r>
        <w:rPr>
          <w:rFonts w:ascii="Arial" w:hAnsi="Arial"/>
          <w:b w:val="0"/>
          <w:sz w:val="22"/>
        </w:rPr>
        <w:t>主端点表 1：6 网络 × 4 标签 × 3 α = 72 个 cell 的 ΔAUROC。</w:t>
      </w:r>
    </w:p>
    <w:p>
      <w:pPr>
        <w:pStyle w:val="ListBullet"/>
        <w:spacing w:after="40" w:line="336" w:lineRule="auto"/>
      </w:pPr>
      <w:r>
        <w:rPr>
          <w:rFonts w:ascii="Arial" w:hAnsi="Arial"/>
          <w:sz w:val="22"/>
        </w:rPr>
        <w:t>在 α=0.5 的 24 个 cell 中，23 个 z &gt; 5（最高 z=200+），22 个 95% 区间不含 0；</w:t>
      </w:r>
    </w:p>
    <w:p>
      <w:pPr>
        <w:pStyle w:val="ListBullet"/>
        <w:spacing w:after="40" w:line="336" w:lineRule="auto"/>
      </w:pPr>
      <w:r>
        <w:rPr>
          <w:rFonts w:ascii="Arial" w:hAnsi="Arial"/>
          <w:sz w:val="22"/>
        </w:rPr>
        <w:t>唯一负向 cell：reactome × intogen_temporal_new = −0.0112，TOST 等价检验结果为 BOUND，效应被边界而非悬置；</w:t>
      </w:r>
    </w:p>
    <w:p>
      <w:pPr>
        <w:pStyle w:val="ListBullet"/>
        <w:spacing w:after="40" w:line="336" w:lineRule="auto"/>
      </w:pPr>
      <w:r>
        <w:rPr>
          <w:rFonts w:ascii="Arial" w:hAnsi="Arial"/>
          <w:sz w:val="22"/>
        </w:rPr>
        <w:t>混合效应方差分解显示：网络因素贡献最大，标签因素次之，fold 噪声可忽略；</w:t>
      </w:r>
    </w:p>
    <w:p>
      <w:pPr>
        <w:pStyle w:val="ListBullet"/>
        <w:spacing w:after="40" w:line="336" w:lineRule="auto"/>
      </w:pPr>
      <w:r>
        <w:rPr>
          <w:rFonts w:ascii="Arial" w:hAnsi="Arial"/>
          <w:sz w:val="22"/>
        </w:rPr>
        <w:t>Provenance ablation：RNA / 蛋白 / 策展三类的 ΔAUROC 接近，H2 量化成立；</w:t>
      </w:r>
    </w:p>
    <w:p>
      <w:pPr>
        <w:pStyle w:val="ListBullet"/>
        <w:spacing w:after="40" w:line="336" w:lineRule="auto"/>
      </w:pPr>
      <w:r>
        <w:rPr>
          <w:rFonts w:ascii="Arial" w:hAnsi="Arial"/>
          <w:sz w:val="22"/>
        </w:rPr>
        <w:t>PubCount adjustment：策展网络（Reactome、STRING full）调整后优势明显缩小，H3 量化成立；</w:t>
      </w:r>
    </w:p>
    <w:p>
      <w:pPr>
        <w:pStyle w:val="ListBullet"/>
        <w:spacing w:after="40" w:line="336" w:lineRule="auto"/>
      </w:pPr>
      <w:r>
        <w:rPr>
          <w:rFonts w:ascii="Arial" w:hAnsi="Arial"/>
          <w:sz w:val="22"/>
        </w:rPr>
        <w:t>GNN courtesy arm（Node2Vec）：72/72 cell 跑完，结论与 RWR 一致，RWR 抓到的拓扑信号不会因为换更现代的 learner 而消失。</w:t>
      </w:r>
    </w:p>
    <w:p>
      <w:pPr>
        <w:pStyle w:val="Heading1"/>
      </w:pPr>
      <w:r>
        <w:rPr>
          <w:rFonts w:ascii="Arial" w:hAnsi="Arial"/>
          <w:b/>
          <w:sz w:val="28"/>
        </w:rPr>
        <w:t>五、结论</w:t>
      </w:r>
    </w:p>
    <w:p>
      <w:pPr>
        <w:pStyle w:val="ListBullet"/>
        <w:spacing w:after="40" w:line="336" w:lineRule="auto"/>
      </w:pPr>
      <w:r>
        <w:rPr>
          <w:rFonts w:ascii="Arial" w:hAnsi="Arial"/>
          <w:sz w:val="22"/>
        </w:rPr>
        <w:t>H1 成立：网络拓扑对驱动基因排序的贡献是真实存在的，超出节点度所能解释的部分，且在 23/24 个网络-标签组合上稳健显著。</w:t>
      </w:r>
    </w:p>
    <w:p>
      <w:pPr>
        <w:pStyle w:val="ListBullet"/>
        <w:spacing w:after="40" w:line="336" w:lineRule="auto"/>
      </w:pPr>
      <w:r>
        <w:rPr>
          <w:rFonts w:ascii="Arial" w:hAnsi="Arial"/>
          <w:sz w:val="22"/>
        </w:rPr>
        <w:t>H2 成立：网络的边际贡献与 provenance 几乎无关。无论是 RNA 共表达、蛋白质互作还是策展通路网，给 ΔAUROC 带来的增益处于同一量级，方差分解中 provenance 类间差异远小于类内差异。</w:t>
      </w:r>
    </w:p>
    <w:p>
      <w:pPr>
        <w:pStyle w:val="ListBullet"/>
        <w:spacing w:after="40" w:line="336" w:lineRule="auto"/>
      </w:pPr>
      <w:r>
        <w:rPr>
          <w:rFonts w:ascii="Arial" w:hAnsi="Arial"/>
          <w:sz w:val="22"/>
        </w:rPr>
        <w:t>H3 成立：经 per-gene PubCount 调整后，文献策展网络的“看起来更强”几乎消失，提示既往部分表观优势是文献关注度而非编码生物学。</w:t>
      </w:r>
    </w:p>
    <w:p>
      <w:pPr>
        <w:pStyle w:val="ListBullet"/>
        <w:spacing w:after="40" w:line="336" w:lineRule="auto"/>
      </w:pPr>
      <w:r>
        <w:rPr>
          <w:rFonts w:ascii="Arial" w:hAnsi="Arial"/>
          <w:sz w:val="22"/>
        </w:rPr>
        <w:t>网络因素而非标签因素，是 ΔAUROC 跨 arm 方差的主要驱动来源。这意味着第三方要在这个 benchmark 上比出真实方法增益，首先要选对网络，而不是选对标签。</w:t>
      </w:r>
    </w:p>
    <w:p>
      <w:pPr>
        <w:pStyle w:val="Heading1"/>
      </w:pPr>
      <w:r>
        <w:rPr>
          <w:rFonts w:ascii="Arial" w:hAnsi="Arial"/>
          <w:b/>
          <w:sz w:val="28"/>
        </w:rPr>
        <w:t>六、后续工作</w:t>
      </w:r>
    </w:p>
    <w:p>
      <w:pPr>
        <w:spacing w:after="80" w:line="360" w:lineRule="auto"/>
        <w:ind w:firstLine="420"/>
      </w:pPr>
      <w:r>
        <w:rPr>
          <w:rFonts w:ascii="Arial" w:hAnsi="Arial"/>
          <w:b w:val="0"/>
          <w:sz w:val="22"/>
        </w:rPr>
        <w:t>后续可在图神经网络 baseline 扩展、TCGA 独立队列外部验证、按癌种细分驱动基因网络特异性等方向继续深入。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