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5EC8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Homework for week 2, submission deadline 23:59 on Sunday night.</w:t>
      </w:r>
    </w:p>
    <w:p w14:paraId="10C2C3D8">
      <w:pPr>
        <w:pStyle w:val="29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Choose your own topics from following list or your own.</w:t>
      </w:r>
    </w:p>
    <w:p w14:paraId="1C14C77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Gut microbiota and metabolic disease</w:t>
      </w:r>
    </w:p>
    <w:p w14:paraId="3AD53869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Single-cell transcriptomics in cancer immunology</w:t>
      </w:r>
    </w:p>
    <w:p w14:paraId="0D468A7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Antibiotic resistance genomics</w:t>
      </w:r>
    </w:p>
    <w:p w14:paraId="65F7708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Epigenetic regulation in neurological disorders</w:t>
      </w:r>
    </w:p>
    <w:p w14:paraId="4B5EB8B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Muscle regeneration and aging</w:t>
      </w:r>
    </w:p>
    <w:p w14:paraId="268A5EA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Proteomic biomarkers in MAFLD/MASH</w:t>
      </w:r>
    </w:p>
    <w:p w14:paraId="6E335793">
      <w:pPr>
        <w:numPr>
          <w:numId w:val="0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Finish the following question section we covered in the class</w:t>
      </w:r>
    </w:p>
    <w:p w14:paraId="78C7B36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drawing>
          <wp:inline distT="0" distB="0" distL="0" distR="0">
            <wp:extent cx="3317875" cy="2087245"/>
            <wp:effectExtent l="0" t="0" r="0" b="0"/>
            <wp:docPr id="113836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6895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9786" cy="211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4"/>
        <w:tblW w:w="0" w:type="auto"/>
        <w:tblInd w:w="0" w:type="dxa"/>
        <w:tbl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9"/>
        <w:gridCol w:w="2038"/>
        <w:gridCol w:w="6003"/>
      </w:tblGrid>
      <w:tr w14:paraId="1059F2EE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vAlign w:val="top"/>
          </w:tcPr>
          <w:p w14:paraId="1045524D">
            <w:pPr>
              <w:spacing w:after="0" w:line="240" w:lineRule="auto"/>
            </w:pPr>
            <w:r>
              <w:t>1</w:t>
            </w:r>
          </w:p>
        </w:tc>
        <w:tc>
          <w:tcPr>
            <w:tcW w:w="2038" w:type="dxa"/>
            <w:vAlign w:val="top"/>
          </w:tcPr>
          <w:p w14:paraId="11934C41">
            <w:pPr>
              <w:spacing w:after="0" w:line="240" w:lineRule="auto"/>
            </w:pPr>
            <w:r>
              <w:t>Write a broad topic</w:t>
            </w:r>
          </w:p>
        </w:tc>
        <w:tc>
          <w:tcPr>
            <w:tcW w:w="6003" w:type="dxa"/>
            <w:vAlign w:val="top"/>
          </w:tcPr>
          <w:p w14:paraId="166BF966">
            <w:pPr>
              <w:spacing w:after="0" w:line="240" w:lineRule="auto"/>
            </w:pPr>
            <w:r>
              <w:t>Single-cell transcriptomics in cancer immunology</w:t>
            </w:r>
          </w:p>
        </w:tc>
      </w:tr>
      <w:tr w14:paraId="70295BCA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vAlign w:val="top"/>
          </w:tcPr>
          <w:p w14:paraId="77949FB3">
            <w:pPr>
              <w:spacing w:after="0" w:line="240" w:lineRule="auto"/>
            </w:pPr>
            <w:r>
              <w:t>2</w:t>
            </w:r>
          </w:p>
        </w:tc>
        <w:tc>
          <w:tcPr>
            <w:tcW w:w="2038" w:type="dxa"/>
            <w:vAlign w:val="top"/>
          </w:tcPr>
          <w:p w14:paraId="2AA00D96">
            <w:pPr>
              <w:spacing w:after="0" w:line="240" w:lineRule="auto"/>
            </w:pPr>
            <w:r>
              <w:t>Narrow to a phenomenon</w:t>
            </w:r>
          </w:p>
        </w:tc>
        <w:tc>
          <w:tcPr>
            <w:tcW w:w="6003" w:type="dxa"/>
            <w:vAlign w:val="top"/>
          </w:tcPr>
          <w:p w14:paraId="1BA7FFAF">
            <w:pPr>
              <w:spacing w:after="0" w:line="240" w:lineRule="auto"/>
            </w:pPr>
            <w:r>
              <w:t>实体瘤微环境是一个由恶性上皮细胞、基质细胞和多种免疫细胞(CD8+ T 细胞、Treg、髓系细胞、B 细胞、NK 等)组成的异质性生态;在免疫检查点治疗背景下,恶性细胞与 T 细胞之间的功能状态转换(尤其是耗竭性 CD8+ T 细胞群)被认为是决定抗 PD-1 / PD-L1 治疗响应的关键变量</w:t>
            </w:r>
          </w:p>
        </w:tc>
      </w:tr>
      <w:tr w14:paraId="53734064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vAlign w:val="top"/>
          </w:tcPr>
          <w:p w14:paraId="72039770">
            <w:pPr>
              <w:spacing w:after="0" w:line="240" w:lineRule="auto"/>
            </w:pPr>
            <w:r>
              <w:t>3</w:t>
            </w:r>
          </w:p>
        </w:tc>
        <w:tc>
          <w:tcPr>
            <w:tcW w:w="2038" w:type="dxa"/>
            <w:vAlign w:val="top"/>
          </w:tcPr>
          <w:p w14:paraId="5535DA2B">
            <w:pPr>
              <w:spacing w:after="0" w:line="240" w:lineRule="auto"/>
            </w:pPr>
            <w:r>
              <w:t>State a testable hypothesis</w:t>
            </w:r>
          </w:p>
        </w:tc>
        <w:tc>
          <w:tcPr>
            <w:tcW w:w="6003" w:type="dxa"/>
            <w:vAlign w:val="top"/>
          </w:tcPr>
          <w:p w14:paraId="6D335C6A">
            <w:pPr>
              <w:spacing w:after="0" w:line="240" w:lineRule="auto"/>
            </w:pPr>
            <w:r>
              <w:t>在公开的人类肿瘤单细胞 RNA-seq 数据集中,肿瘤内 CD8+ T 细胞的耗竭评分(exhaustion module score,如 PDCD1、LAG3、HAVCR2、TIGIT、TOX 等标记)与髓系炎症评分(CD68、CD163、IL6、CXCL8 等标记)呈正相关;且该相关性在免疫hot tumor与cold tumor之间显著不同</w:t>
            </w:r>
          </w:p>
        </w:tc>
      </w:tr>
      <w:tr w14:paraId="01E8AA44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vAlign w:val="top"/>
          </w:tcPr>
          <w:p w14:paraId="1C7DA360">
            <w:pPr>
              <w:spacing w:after="0" w:line="240" w:lineRule="auto"/>
            </w:pPr>
            <w:r>
              <w:t>4</w:t>
            </w:r>
          </w:p>
        </w:tc>
        <w:tc>
          <w:tcPr>
            <w:tcW w:w="2038" w:type="dxa"/>
            <w:vAlign w:val="top"/>
          </w:tcPr>
          <w:p w14:paraId="14A80A05">
            <w:pPr>
              <w:spacing w:after="0" w:line="240" w:lineRule="auto"/>
            </w:pPr>
            <w:r>
              <w:t>Apply PICO/PECO</w:t>
            </w:r>
          </w:p>
        </w:tc>
        <w:tc>
          <w:tcPr>
            <w:tcW w:w="6003" w:type="dxa"/>
            <w:vAlign w:val="top"/>
          </w:tcPr>
          <w:p w14:paraId="61B82063">
            <w:pPr>
              <w:spacing w:after="0" w:line="240" w:lineRule="auto"/>
            </w:pPr>
            <w:r>
              <w:t>P = 公共数据库(GEO/Single Cell Portal)收录的人类实体瘤单细胞 RNA-seq 样本(至少 30 例原发性肿瘤,覆盖至少 2 种 cancer type,例如 CRC 与 NSCLC);</w:t>
            </w:r>
          </w:p>
          <w:p w14:paraId="6FDDAC72">
            <w:pPr>
              <w:spacing w:after="0" w:line="240" w:lineRule="auto"/>
            </w:pPr>
            <w:r>
              <w:t>I = 按样本计算 CD8+ T 耗竭评分与髓系炎症评分(模块打分,GSVA / AddModuleScore);</w:t>
            </w:r>
          </w:p>
          <w:p w14:paraId="1E29BC7B">
            <w:pPr>
              <w:spacing w:after="0" w:line="240" w:lineRule="auto"/>
            </w:pPr>
            <w:r>
              <w:t>C = (a) high vs low 髓系炎症评分; (b) hot vs cold tumor;</w:t>
            </w:r>
          </w:p>
          <w:p w14:paraId="7702EB1A">
            <w:pPr>
              <w:spacing w:after="0" w:line="240" w:lineRule="auto"/>
            </w:pPr>
            <w:r>
              <w:t>O = (i) exhaustion module score 的差异与相关系数; (ii) CD8+ T 细胞亚群占比变化;</w:t>
            </w:r>
          </w:p>
          <w:p w14:paraId="2EC06BE2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t>Key covariates = cancer type、采样部位、TME 组成、性别、年龄、TNM 分期</w:t>
            </w:r>
            <w:r>
              <w:rPr>
                <w:rFonts w:hint="eastAsia"/>
                <w:lang w:val="en-US" w:eastAsia="zh-CN"/>
              </w:rPr>
              <w:t>...</w:t>
            </w:r>
          </w:p>
        </w:tc>
      </w:tr>
      <w:tr w14:paraId="6FD050B6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vAlign w:val="top"/>
          </w:tcPr>
          <w:p w14:paraId="4D76EE1A">
            <w:pPr>
              <w:spacing w:after="0" w:line="240" w:lineRule="auto"/>
            </w:pPr>
            <w:r>
              <w:t>5</w:t>
            </w:r>
          </w:p>
        </w:tc>
        <w:tc>
          <w:tcPr>
            <w:tcW w:w="2038" w:type="dxa"/>
            <w:vAlign w:val="top"/>
          </w:tcPr>
          <w:p w14:paraId="7A751EE7">
            <w:pPr>
              <w:spacing w:after="0" w:line="240" w:lineRule="auto"/>
            </w:pPr>
            <w:r>
              <w:t>Identify a dataset or data type</w:t>
            </w:r>
          </w:p>
        </w:tc>
        <w:tc>
          <w:tcPr>
            <w:tcW w:w="6003" w:type="dxa"/>
            <w:vAlign w:val="top"/>
          </w:tcPr>
          <w:p w14:paraId="4F771B8D">
            <w:pPr>
              <w:spacing w:after="0" w:line="240" w:lineRule="auto"/>
            </w:pPr>
            <w:r>
              <w:t xml:space="preserve">首选数据集类型 </w:t>
            </w:r>
            <w:r>
              <w:rPr>
                <w:rFonts w:hint="eastAsia"/>
                <w:lang w:val="en-US" w:eastAsia="zh-CN"/>
              </w:rPr>
              <w:t>:</w:t>
            </w:r>
            <w:r>
              <w:t>人肿瘤单细胞 RNA-seq(count matrix, 含细胞类型注释)GEO、Single Cell Portal、ArrayExpress 与 dbGaP 数据库;</w:t>
            </w:r>
          </w:p>
        </w:tc>
      </w:tr>
      <w:tr w14:paraId="24D36326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vAlign w:val="top"/>
          </w:tcPr>
          <w:p w14:paraId="287C67A2">
            <w:pPr>
              <w:spacing w:after="0" w:line="240" w:lineRule="auto"/>
            </w:pPr>
            <w:r>
              <w:t>6</w:t>
            </w:r>
          </w:p>
        </w:tc>
        <w:tc>
          <w:tcPr>
            <w:tcW w:w="2038" w:type="dxa"/>
            <w:vAlign w:val="top"/>
          </w:tcPr>
          <w:p w14:paraId="4341C57A">
            <w:pPr>
              <w:spacing w:after="0" w:line="240" w:lineRule="auto"/>
            </w:pPr>
            <w:r>
              <w:t>Draft a minimal analysis plan</w:t>
            </w:r>
          </w:p>
        </w:tc>
        <w:tc>
          <w:tcPr>
            <w:tcW w:w="6003" w:type="dxa"/>
            <w:vAlign w:val="top"/>
          </w:tcPr>
          <w:p w14:paraId="5F02279B">
            <w:pPr>
              <w:spacing w:after="0" w:line="240" w:lineRule="auto"/>
            </w:pPr>
            <w:r>
              <w:t>Dataset:从 GEO / Single Cell Portal 选 1–2 个有 cell type annotation 的人肿瘤单细胞数据集</w:t>
            </w:r>
          </w:p>
          <w:p w14:paraId="498EF1D0">
            <w:pPr>
              <w:spacing w:after="0" w:line="240" w:lineRule="auto"/>
            </w:pPr>
            <w:r>
              <w:t>Method:(1) Scanpy / Seurat 标准流程 — QC、normalization、batch correction(Harmony / Scanorama)、聚类、注释;(2) 提取 CD8+ T 细胞亚群,计算耗竭 module score(PDCD1、LAG3、HAVCR2、TIGIT、TOX、ENTPD1 等);(3) 提取髓系 / 单核–巨噬细胞亚群,计算炎症 module score(IL6、TNF、CXCL8、CD68、CD163 等);(4) 在样本水平做 pseudobulk aggregation,做两组比较(high vs low 髓系炎症),对 CD8+ T exhaustion score 做 Wilcoxon 检验与线性回归(校正 cancer type / stage);(5) CellChat / NicheNet 评估 CD8+ T ↔ 髓系细胞通讯。</w:t>
            </w:r>
          </w:p>
          <w:p w14:paraId="2559087E">
            <w:pPr>
              <w:spacing w:after="0" w:line="240" w:lineRule="auto"/>
            </w:pPr>
            <w:r>
              <w:t>Output figure:(a) UMAP / t-SNE 着色 CD8+ T 耗竭评分; (b) violin plot 对比 high vs low 髓系炎症组;(c) 散点图 exhaustion score vs myeloid score + 拟合线; (d) ligand–receptor 热图。</w:t>
            </w:r>
          </w:p>
          <w:p w14:paraId="0C90C48C">
            <w:pPr>
              <w:spacing w:after="0" w:line="240" w:lineRule="auto"/>
            </w:pPr>
            <w:bookmarkStart w:id="0" w:name="_GoBack"/>
            <w:bookmarkEnd w:id="0"/>
            <w:r>
              <w:t>Validation / Limitation:(a) 独立数据集二次验证; (b) 局限性 = 单细胞 cluster 与 annotation 依赖 marker 列表,耗竭状态的连续性与离散性需谨慎解释; (c) 不能仅凭 cross-sectional 单细胞数据得出因果,需扰动实验 / 空间转录组学验证。</w:t>
            </w:r>
          </w:p>
        </w:tc>
      </w:tr>
    </w:tbl>
    <w:p w14:paraId="608F5521">
      <w:pPr>
        <w:rPr>
          <w:rFonts w:ascii="Times New Roman" w:hAnsi="Times New Roman" w:cs="Times New Roman"/>
          <w:lang w:val="en-US"/>
        </w:rPr>
      </w:pPr>
    </w:p>
    <w:p w14:paraId="06567ED5">
      <w:pPr>
        <w:pStyle w:val="29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Find and read two research papers in the folder and answer following question based on these two papers.</w:t>
      </w:r>
    </w:p>
    <w:p w14:paraId="3E83A421">
      <w:pPr>
        <w:pStyle w:val="29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1: Use the PICO/PECO, what are they for these two papers?</w:t>
      </w:r>
    </w:p>
    <w:p w14:paraId="73697F72">
      <w:pPr>
        <w:pStyle w:val="4"/>
      </w:pPr>
      <w:r>
        <w:rPr>
          <w:rFonts w:hint="eastAsia" w:ascii="Times New Roman" w:hAnsi="Times New Roman" w:cs="Times New Roman"/>
          <w:lang w:val="en-US" w:eastAsia="zh-CN"/>
        </w:rPr>
        <w:t>Huang:</w:t>
      </w:r>
    </w:p>
    <w:tbl>
      <w:tblPr>
        <w:tblStyle w:val="14"/>
        <w:tblW w:w="0" w:type="auto"/>
        <w:tblInd w:w="0" w:type="dxa"/>
        <w:tbl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87A9BC3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DFF893">
            <w:pPr>
              <w:spacing w:after="0" w:line="240" w:lineRule="auto"/>
            </w:pPr>
            <w:r>
              <w:rPr>
                <w:b/>
              </w:rPr>
              <w:t>PECO 元素</w:t>
            </w:r>
          </w:p>
        </w:tc>
        <w:tc>
          <w:tcPr>
            <w:tcW w:w="4320" w:type="dxa"/>
          </w:tcPr>
          <w:p w14:paraId="755CC7F1">
            <w:pPr>
              <w:spacing w:after="0" w:line="240" w:lineRule="auto"/>
            </w:pPr>
            <w:r>
              <w:rPr>
                <w:b/>
              </w:rPr>
              <w:t>本文定义</w:t>
            </w:r>
          </w:p>
        </w:tc>
      </w:tr>
      <w:tr w14:paraId="34FA67D8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A343AD">
            <w:pPr>
              <w:spacing w:after="0" w:line="240" w:lineRule="auto"/>
            </w:pPr>
            <w:r>
              <w:t>Population (P)</w:t>
            </w:r>
          </w:p>
        </w:tc>
        <w:tc>
          <w:tcPr>
            <w:tcW w:w="4320" w:type="dxa"/>
          </w:tcPr>
          <w:p w14:paraId="47143DA5">
            <w:pPr>
              <w:spacing w:after="0" w:line="240" w:lineRule="auto"/>
            </w:pPr>
            <w:r>
              <w:t>足月新生儿 (n=34), 按子代 3 月龄是否诊断湿疹分为对照组 / 病例组</w:t>
            </w:r>
          </w:p>
        </w:tc>
      </w:tr>
      <w:tr w14:paraId="263E5554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D68D9B">
            <w:pPr>
              <w:spacing w:after="0" w:line="240" w:lineRule="auto"/>
            </w:pPr>
            <w:r>
              <w:t>Exposure (E)</w:t>
            </w:r>
          </w:p>
        </w:tc>
        <w:tc>
          <w:tcPr>
            <w:tcW w:w="4320" w:type="dxa"/>
          </w:tcPr>
          <w:p w14:paraId="28090AF3">
            <w:pPr>
              <w:spacing w:after="0" w:line="240" w:lineRule="auto"/>
            </w:pPr>
            <w:r>
              <w:t>生命前 100 天的肠道菌群早期定植模式:胎粪 + 出生后第 1/2/3 月的纵向 16S rRNA 谱;以及母亲孕前 / 产前 BMI 与产前甘油三酯</w:t>
            </w:r>
          </w:p>
        </w:tc>
      </w:tr>
      <w:tr w14:paraId="530809D0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E81873">
            <w:pPr>
              <w:spacing w:after="0" w:line="240" w:lineRule="auto"/>
            </w:pPr>
            <w:r>
              <w:t>Comparison (C)</w:t>
            </w:r>
          </w:p>
        </w:tc>
        <w:tc>
          <w:tcPr>
            <w:tcW w:w="4320" w:type="dxa"/>
          </w:tcPr>
          <w:p w14:paraId="6FAE269A">
            <w:pPr>
              <w:spacing w:after="0" w:line="240" w:lineRule="auto"/>
            </w:pPr>
            <w:r>
              <w:t>对照组 vs 病例组</w:t>
            </w:r>
            <w:r>
              <w:rPr>
                <w:rFonts w:hint="eastAsia"/>
                <w:lang w:val="en-US" w:eastAsia="zh-CN"/>
              </w:rPr>
              <w:t>.</w:t>
            </w:r>
            <w:r>
              <w:t>组间按母亲孕前 / 产前 BMI 进一步分层</w:t>
            </w:r>
          </w:p>
        </w:tc>
      </w:tr>
      <w:tr w14:paraId="206F188C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618604">
            <w:pPr>
              <w:spacing w:after="0" w:line="240" w:lineRule="auto"/>
            </w:pPr>
            <w:r>
              <w:t>Outcome (O)</w:t>
            </w:r>
          </w:p>
        </w:tc>
        <w:tc>
          <w:tcPr>
            <w:tcW w:w="4320" w:type="dxa"/>
          </w:tcPr>
          <w:p w14:paraId="0E0161AE">
            <w:pPr>
              <w:spacing w:after="0" w:line="240" w:lineRule="auto"/>
            </w:pPr>
            <w:r>
              <w:t>婴儿胎粪与三个时间点粪便样本的 α 多样性 (InvSimpson 指数)、β 多样性 (PCoA 距离) 与微生物共现网络 (节点度 / 模块化等);以及子代湿疹的发生</w:t>
            </w:r>
          </w:p>
        </w:tc>
      </w:tr>
      <w:tr w14:paraId="36333BA4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3" w:hRule="atLeast"/>
        </w:trPr>
        <w:tc>
          <w:tcPr>
            <w:tcW w:w="4320" w:type="dxa"/>
          </w:tcPr>
          <w:p w14:paraId="00FEC339">
            <w:pPr>
              <w:spacing w:after="0" w:line="240" w:lineRule="auto"/>
            </w:pPr>
            <w:r>
              <w:t>Key covariates</w:t>
            </w:r>
          </w:p>
        </w:tc>
        <w:tc>
          <w:tcPr>
            <w:tcW w:w="4320" w:type="dxa"/>
          </w:tcPr>
          <w:p w14:paraId="5AA5B49D">
            <w:pPr>
              <w:spacing w:after="0" w:line="240" w:lineRule="auto"/>
            </w:pPr>
            <w:r>
              <w:t>婴儿性别、出生体重、身长、头围、分娩方式、Apgar 评分、纯母乳 / 混合喂养、采样期内是否使用抗生素;母亲产前 BMI 与产前甘油三酯。</w:t>
            </w:r>
          </w:p>
        </w:tc>
      </w:tr>
    </w:tbl>
    <w:p w14:paraId="239006FF">
      <w:pPr>
        <w:pStyle w:val="29"/>
        <w:numPr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Priya:</w:t>
      </w:r>
    </w:p>
    <w:tbl>
      <w:tblPr>
        <w:tblStyle w:val="14"/>
        <w:tblW w:w="0" w:type="auto"/>
        <w:tblInd w:w="0" w:type="dxa"/>
        <w:tbl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6E6DA93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E37508">
            <w:pPr>
              <w:spacing w:after="0" w:line="240" w:lineRule="auto"/>
            </w:pPr>
            <w:r>
              <w:rPr>
                <w:b/>
              </w:rPr>
              <w:t>PECO 元素</w:t>
            </w:r>
          </w:p>
        </w:tc>
        <w:tc>
          <w:tcPr>
            <w:tcW w:w="4320" w:type="dxa"/>
          </w:tcPr>
          <w:p w14:paraId="4C4A7A8C">
            <w:pPr>
              <w:spacing w:after="0" w:line="240" w:lineRule="auto"/>
            </w:pPr>
            <w:r>
              <w:rPr>
                <w:b/>
              </w:rPr>
              <w:t>本文定义</w:t>
            </w:r>
          </w:p>
        </w:tc>
      </w:tr>
      <w:tr w14:paraId="03C7FF8C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0330E0">
            <w:pPr>
              <w:spacing w:after="0" w:line="240" w:lineRule="auto"/>
            </w:pPr>
            <w:r>
              <w:t>Population (P)</w:t>
            </w:r>
          </w:p>
        </w:tc>
        <w:tc>
          <w:tcPr>
            <w:tcW w:w="4320" w:type="dxa"/>
          </w:tcPr>
          <w:p w14:paraId="4886CC46">
            <w:pPr>
              <w:spacing w:after="0" w:line="240" w:lineRule="auto"/>
            </w:pPr>
            <w:r>
              <w:t>三种胃肠道疾病患者:结直肠癌 (CRC)、炎症性肠病 (IBD)、肠易激综合征 (IBS);每名患者提供结肠黏膜活检的两份配对样本 (一份微生物组、一份宿主转录组)</w:t>
            </w:r>
          </w:p>
        </w:tc>
      </w:tr>
      <w:tr w14:paraId="7931C69A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766CCF">
            <w:pPr>
              <w:spacing w:after="0" w:line="240" w:lineRule="auto"/>
            </w:pPr>
            <w:r>
              <w:t>Exposure (E)</w:t>
            </w:r>
          </w:p>
        </w:tc>
        <w:tc>
          <w:tcPr>
            <w:tcW w:w="4320" w:type="dxa"/>
          </w:tcPr>
          <w:p w14:paraId="1E66E7FB">
            <w:pPr>
              <w:spacing w:after="0" w:line="240" w:lineRule="auto"/>
            </w:pPr>
            <w:r>
              <w:t>病人来源结肠黏膜的微生物组组成 + 宿主黏膜基因表达</w:t>
            </w:r>
          </w:p>
        </w:tc>
      </w:tr>
      <w:tr w14:paraId="29AA38C3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B119E1">
            <w:pPr>
              <w:spacing w:after="0" w:line="240" w:lineRule="auto"/>
            </w:pPr>
            <w:r>
              <w:t>Comparison (C)</w:t>
            </w:r>
          </w:p>
        </w:tc>
        <w:tc>
          <w:tcPr>
            <w:tcW w:w="4320" w:type="dxa"/>
          </w:tcPr>
          <w:p w14:paraId="0C0D9A39">
            <w:pPr>
              <w:spacing w:after="0" w:line="240" w:lineRule="auto"/>
            </w:pPr>
            <w:r>
              <w:t>三种疾病两两比较,以及与同队列内部已有单研究的对比</w:t>
            </w:r>
          </w:p>
        </w:tc>
      </w:tr>
      <w:tr w14:paraId="1FB46863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8CCAB3">
            <w:pPr>
              <w:spacing w:after="0" w:line="240" w:lineRule="auto"/>
            </w:pPr>
            <w:r>
              <w:t>Outcome (O)</w:t>
            </w:r>
          </w:p>
        </w:tc>
        <w:tc>
          <w:tcPr>
            <w:tcW w:w="4320" w:type="dxa"/>
          </w:tcPr>
          <w:p w14:paraId="23C1945B">
            <w:pPr>
              <w:spacing w:after="0" w:line="240" w:lineRule="auto"/>
            </w:pPr>
            <w:r>
              <w:t xml:space="preserve">(i) 整体 host gene–microbiome 关联显著性 (Procrustes、Mantel);(ii) 组级关联 鉴定疾病特异与跨疾病共享的 host gene–microbe 关联;(iii) 单基因水平的 lasso + stability selection 关联对数量 </w:t>
            </w:r>
          </w:p>
        </w:tc>
      </w:tr>
    </w:tbl>
    <w:p w14:paraId="6A04B842">
      <w:pPr>
        <w:pStyle w:val="29"/>
        <w:numPr>
          <w:numId w:val="0"/>
        </w:numPr>
        <w:rPr>
          <w:rFonts w:hint="default" w:ascii="Times New Roman" w:hAnsi="Times New Roman" w:cs="Times New Roman"/>
          <w:lang w:val="en-US" w:eastAsia="zh-CN"/>
        </w:rPr>
      </w:pPr>
    </w:p>
    <w:p w14:paraId="1B129C00">
      <w:pPr>
        <w:pStyle w:val="29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2: What kind of dataset or data type these two papers use?</w:t>
      </w:r>
    </w:p>
    <w:p w14:paraId="62E608FD">
      <w:pPr>
        <w:pStyle w:val="29"/>
        <w:numPr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Huang:</w:t>
      </w:r>
    </w:p>
    <w:tbl>
      <w:tblPr>
        <w:tblStyle w:val="14"/>
        <w:tblW w:w="0" w:type="auto"/>
        <w:tblInd w:w="0" w:type="dxa"/>
        <w:tbl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62B9736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91F8EF">
            <w:pPr>
              <w:spacing w:after="0" w:line="240" w:lineRule="auto"/>
            </w:pPr>
            <w:r>
              <w:rPr>
                <w:b/>
              </w:rPr>
              <w:t>Data element</w:t>
            </w:r>
          </w:p>
        </w:tc>
        <w:tc>
          <w:tcPr>
            <w:tcW w:w="4320" w:type="dxa"/>
          </w:tcPr>
          <w:p w14:paraId="321397EC">
            <w:pPr>
              <w:spacing w:after="0" w:line="240" w:lineRule="auto"/>
            </w:pPr>
            <w:r>
              <w:rPr>
                <w:b/>
              </w:rPr>
              <w:t xml:space="preserve">类型 </w:t>
            </w:r>
          </w:p>
        </w:tc>
      </w:tr>
      <w:tr w14:paraId="2850CC3B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2EBA36">
            <w:pPr>
              <w:spacing w:after="0" w:line="240" w:lineRule="auto"/>
            </w:pPr>
            <w:r>
              <w:t>样本类型</w:t>
            </w:r>
          </w:p>
        </w:tc>
        <w:tc>
          <w:tcPr>
            <w:tcW w:w="4320" w:type="dxa"/>
          </w:tcPr>
          <w:p w14:paraId="60D32965">
            <w:pPr>
              <w:spacing w:after="0" w:line="240" w:lineRule="auto"/>
            </w:pPr>
            <w:r>
              <w:t>母-婴对胎粪 + 出生后第 1/2/3 月粪便;婴儿湿疹表型诊断;母亲孕产期临床指标。</w:t>
            </w:r>
          </w:p>
        </w:tc>
      </w:tr>
      <w:tr w14:paraId="2F54EA05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79D6F5">
            <w:pPr>
              <w:spacing w:after="0" w:line="240" w:lineRule="auto"/>
            </w:pPr>
            <w:r>
              <w:t>组学数据类型</w:t>
            </w:r>
          </w:p>
        </w:tc>
        <w:tc>
          <w:tcPr>
            <w:tcW w:w="4320" w:type="dxa"/>
          </w:tcPr>
          <w:p w14:paraId="18258D7F">
            <w:pPr>
              <w:spacing w:after="0" w:line="240" w:lineRule="auto"/>
            </w:pPr>
            <w:r>
              <w:t>16S rRNA amplicon sequencing</w:t>
            </w:r>
            <w:r>
              <w:rPr>
                <w:rFonts w:hint="eastAsia"/>
                <w:lang w:val="en-US" w:eastAsia="zh-CN"/>
              </w:rPr>
              <w:t>,</w:t>
            </w:r>
            <w:r>
              <w:t>ASV / OTU 相对丰度。</w:t>
            </w:r>
          </w:p>
        </w:tc>
      </w:tr>
      <w:tr w14:paraId="2C8B2A0E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2BF182">
            <w:pPr>
              <w:spacing w:after="0" w:line="240" w:lineRule="auto"/>
            </w:pPr>
            <w:r>
              <w:t>临床数据</w:t>
            </w:r>
          </w:p>
        </w:tc>
        <w:tc>
          <w:tcPr>
            <w:tcW w:w="4320" w:type="dxa"/>
          </w:tcPr>
          <w:p w14:paraId="357EAFC5">
            <w:pPr>
              <w:spacing w:after="0" w:line="240" w:lineRule="auto"/>
            </w:pPr>
            <w:r>
              <w:t>婴儿喂养方式、抗生素使用、性别、出生体重、身长、头围、Apgar 评分、分娩方式;母亲孕前 BMI、产前 BMI、孕期增重、产前甘油三酯、肌酐等。</w:t>
            </w:r>
          </w:p>
        </w:tc>
      </w:tr>
      <w:tr w14:paraId="51945D1E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40C63A">
            <w:pPr>
              <w:spacing w:after="0" w:line="240" w:lineRule="auto"/>
            </w:pPr>
            <w:r>
              <w:t>分析类型</w:t>
            </w:r>
          </w:p>
        </w:tc>
        <w:tc>
          <w:tcPr>
            <w:tcW w:w="4320" w:type="dxa"/>
          </w:tcPr>
          <w:p w14:paraId="32F3B205">
            <w:pPr>
              <w:spacing w:after="0" w:line="240" w:lineRule="auto"/>
            </w:pPr>
            <w:r>
              <w:t>α 多样性 (InvSimpson)、β 多样性 (PCoA)、network algorithms and graph theory</w:t>
            </w:r>
          </w:p>
        </w:tc>
      </w:tr>
    </w:tbl>
    <w:p w14:paraId="5511E266">
      <w:pPr>
        <w:pStyle w:val="29"/>
        <w:numPr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Priya:</w:t>
      </w:r>
    </w:p>
    <w:tbl>
      <w:tblPr>
        <w:tblStyle w:val="14"/>
        <w:tblW w:w="0" w:type="auto"/>
        <w:tblInd w:w="0" w:type="dxa"/>
        <w:tbl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49D74BA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C22624">
            <w:pPr>
              <w:spacing w:after="0" w:line="240" w:lineRule="auto"/>
            </w:pPr>
            <w:r>
              <w:rPr>
                <w:b/>
              </w:rPr>
              <w:t>Data element</w:t>
            </w:r>
          </w:p>
        </w:tc>
        <w:tc>
          <w:tcPr>
            <w:tcW w:w="4320" w:type="dxa"/>
          </w:tcPr>
          <w:p w14:paraId="27366A4E">
            <w:pPr>
              <w:spacing w:after="0" w:line="240" w:lineRule="auto"/>
            </w:pPr>
            <w:r>
              <w:rPr>
                <w:b/>
              </w:rPr>
              <w:t>类型 / 数量 / 备注</w:t>
            </w:r>
          </w:p>
        </w:tc>
      </w:tr>
      <w:tr w14:paraId="2CB1AA1A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28ABF1">
            <w:pPr>
              <w:spacing w:after="0" w:line="240" w:lineRule="auto"/>
            </w:pPr>
            <w:r>
              <w:t>样本类型</w:t>
            </w:r>
          </w:p>
        </w:tc>
        <w:tc>
          <w:tcPr>
            <w:tcW w:w="4320" w:type="dxa"/>
          </w:tcPr>
          <w:p w14:paraId="6F95D934">
            <w:pPr>
              <w:spacing w:after="0" w:line="240" w:lineRule="auto"/>
            </w:pPr>
            <w:r>
              <w:t>人结肠黏膜活检;每位受试者同时提供微生物组样本和宿主 RNA-seq 样本。</w:t>
            </w:r>
          </w:p>
        </w:tc>
      </w:tr>
      <w:tr w14:paraId="6EB3D0E3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8F58B7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4320" w:type="dxa"/>
          </w:tcPr>
          <w:p w14:paraId="5251A06B">
            <w:pPr>
              <w:spacing w:after="0" w:line="240" w:lineRule="auto"/>
            </w:pPr>
            <w:r>
              <w:t>RNA-seq 表达矩阵</w:t>
            </w:r>
          </w:p>
        </w:tc>
      </w:tr>
      <w:tr w14:paraId="00FA85FD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E8C291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4320" w:type="dxa"/>
          </w:tcPr>
          <w:p w14:paraId="063A73E6">
            <w:pPr>
              <w:spacing w:after="0" w:line="240" w:lineRule="auto"/>
            </w:pPr>
            <w:r>
              <w:t>16S rRNA 测序得到的菌群相对丰度</w:t>
            </w:r>
          </w:p>
        </w:tc>
      </w:tr>
      <w:tr w14:paraId="141A5E24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F7FACC">
            <w:pPr>
              <w:spacing w:after="0" w:line="240" w:lineRule="auto"/>
            </w:pPr>
            <w:r>
              <w:t>下游分析类型</w:t>
            </w:r>
          </w:p>
        </w:tc>
        <w:tc>
          <w:tcPr>
            <w:tcW w:w="4320" w:type="dxa"/>
          </w:tcPr>
          <w:p w14:paraId="2C765ECB">
            <w:pPr>
              <w:spacing w:after="0" w:line="240" w:lineRule="auto"/>
            </w:pPr>
            <w:r>
              <w:t>多变量机器学习框架 (应对高维、稀疏、多重共线性);Procrustes / Mantel 整体检验;组级整合;per-gene lasso 惩罚回归 + stability selection;通路富集 (Fisher / BH FDR)。</w:t>
            </w:r>
          </w:p>
        </w:tc>
      </w:tr>
    </w:tbl>
    <w:p w14:paraId="0F25BDA9">
      <w:pPr>
        <w:pStyle w:val="29"/>
        <w:numPr>
          <w:numId w:val="0"/>
        </w:numPr>
        <w:rPr>
          <w:rFonts w:hint="default" w:ascii="Times New Roman" w:hAnsi="Times New Roman" w:cs="Times New Roman"/>
          <w:lang w:val="en-US" w:eastAsia="zh-CN"/>
        </w:rPr>
      </w:pPr>
    </w:p>
    <w:p w14:paraId="7C2C74A6">
      <w:pPr>
        <w:pStyle w:val="29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3: What is the hypothesis of these two research?</w:t>
      </w:r>
    </w:p>
    <w:p w14:paraId="3DE71154">
      <w:pPr>
        <w:pStyle w:val="29"/>
        <w:numPr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Huang:</w:t>
      </w:r>
    </w:p>
    <w:p w14:paraId="3C2D8314">
      <w:pPr>
        <w:pStyle w:val="29"/>
        <w:numPr>
          <w:numId w:val="0"/>
        </w:numP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  <w14:ligatures w14:val="standardContextual"/>
        </w:rPr>
        <w:t>湿疹婴儿与健康婴儿在生命前 100 天内的肠道微生物网络结构(网络拓扑、关键节点 / 模块、菌间共现关系)存在显著差异;且这种差异受母亲孕前/产前 BMI 与产前甘油三酯水平等母方代谢状态的调节。因此,使用 16S rRNA + network algorithms and graph theory对胎粪与出生后第 1/2/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  <w14:ligatures w14:val="standardContextual"/>
        </w:rPr>
        <w:t>3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  <w14:ligatures w14:val="standardContextual"/>
        </w:rPr>
        <w:t>月的纵向粪便进行刻画,可揭示早期定植生态位的结构差异,从而为子代湿疹的发生寻找生态位层面的病因线索</w:t>
      </w:r>
    </w:p>
    <w:p w14:paraId="5B3168E3">
      <w:pPr>
        <w:pStyle w:val="29"/>
        <w:ind w:left="0" w:leftChars="0" w:firstLine="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Priya:</w:t>
      </w:r>
    </w:p>
    <w:p w14:paraId="725F422B">
      <w:pPr>
        <w:pStyle w:val="29"/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在 CRC、IBD、IBS 三种胃肠道疾病中,结肠黏膜宿主基因表达(RNA-seq)与微生物组丰度(16S rRNA)之间存在疾病特异性 + 跨疾病共享的 host gene–microbe 关联模式;并且这些关联可以通过多变量机器学习框架(应对高维、稀疏、多重共线性)系统、稳定地发现而不是只能依赖 Spearman / Pearson 成对相关的传统做法</w:t>
      </w:r>
    </w:p>
    <w:p w14:paraId="536A24BC">
      <w:pPr>
        <w:pStyle w:val="29"/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</w:p>
    <w:p w14:paraId="2961E6B7">
      <w:pPr>
        <w:pStyle w:val="29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Based on your research interest, refine the search in PUBMED, and sort, identify the latest and the most important studies in your field. Read this paper and answer three question</w:t>
      </w:r>
      <w:r>
        <w:rPr>
          <w:rFonts w:hint="eastAsia"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  <w:lang w:val="en-US"/>
        </w:rPr>
        <w:t>:</w:t>
      </w:r>
    </w:p>
    <w:p w14:paraId="69A5FDB1">
      <w:pPr>
        <w:keepNext w:val="0"/>
        <w:keepLines w:val="0"/>
        <w:widowControl/>
        <w:suppressLineNumbers w:val="0"/>
        <w:jc w:val="left"/>
      </w:pPr>
      <w:r>
        <w:rPr>
          <w:rFonts w:ascii="Times-Roman" w:hAnsi="Times-Roman" w:eastAsia="Times-Roman" w:cs="Times-Roman"/>
          <w:i/>
          <w:iCs/>
          <w:color w:val="000000"/>
          <w:kern w:val="0"/>
          <w:sz w:val="20"/>
          <w:szCs w:val="20"/>
          <w:lang w:val="en-US" w:eastAsia="zh-CN" w:bidi="ar"/>
          <w14:ligatures w14:val="standardContextual"/>
        </w:rPr>
        <w:t>Nat Aging</w:t>
      </w:r>
      <w:r>
        <w:rPr>
          <w:rFonts w:hint="default" w:ascii="Times-Roman" w:hAnsi="Times-Roman" w:eastAsia="Times-Roman" w:cs="Times-Roman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>. 2026 May ; 6(5): 1007–1020. doi:10.1038/s43587-026-01120-3.</w:t>
      </w:r>
    </w:p>
    <w:p w14:paraId="1673E8E4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 w:eastAsiaTheme="minorEastAsia"/>
          <w:i/>
          <w:iCs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Times New Roman" w:hAnsi="Times New Roman" w:cs="Times New Roman" w:eastAsiaTheme="minorEastAsia"/>
          <w:i/>
          <w:iCs/>
          <w:kern w:val="2"/>
          <w:sz w:val="24"/>
          <w:szCs w:val="24"/>
          <w:lang w:val="en-US" w:eastAsia="zh-CN" w:bidi="ar-SA"/>
          <w14:ligatures w14:val="standardContextual"/>
        </w:rPr>
        <w:t xml:space="preserve">Glutamine-driven Reductive TCA cycle metabolism supports </w:t>
      </w:r>
      <w:r>
        <w:rPr>
          <w:rFonts w:hint="default" w:ascii="Times New Roman" w:hAnsi="Times New Roman" w:cs="Times New Roman" w:eastAsiaTheme="minorEastAsia"/>
          <w:i/>
          <w:iCs/>
          <w:kern w:val="2"/>
          <w:sz w:val="24"/>
          <w:szCs w:val="24"/>
          <w:lang w:val="en-US" w:eastAsia="zh-CN" w:bidi="ar-SA"/>
          <w14:ligatures w14:val="standardContextual"/>
        </w:rPr>
        <w:t>aged muscle stem cell function via de novo lipogenesis</w:t>
      </w:r>
    </w:p>
    <w:p w14:paraId="471BCEFE">
      <w:pPr>
        <w:pStyle w:val="29"/>
        <w:numPr>
          <w:numId w:val="0"/>
        </w:numPr>
        <w:ind w:leftChars="0"/>
        <w:rPr>
          <w:rFonts w:ascii="Times New Roman" w:hAnsi="Times New Roman" w:cs="Times New Roman"/>
          <w:lang w:val="en-US"/>
        </w:rPr>
      </w:pPr>
    </w:p>
    <w:p w14:paraId="689332A8">
      <w:pPr>
        <w:pStyle w:val="29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1: Use the PICO/PECO, what are they for these two papers?</w:t>
      </w:r>
    </w:p>
    <w:tbl>
      <w:tblPr>
        <w:tblStyle w:val="14"/>
        <w:tblW w:w="0" w:type="auto"/>
        <w:tblInd w:w="0" w:type="dxa"/>
        <w:tbl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660F75F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754489">
            <w:pPr>
              <w:spacing w:after="0" w:line="240" w:lineRule="auto"/>
            </w:pPr>
            <w:r>
              <w:rPr>
                <w:b/>
              </w:rPr>
              <w:t>PICO 元素</w:t>
            </w:r>
          </w:p>
        </w:tc>
        <w:tc>
          <w:tcPr>
            <w:tcW w:w="4320" w:type="dxa"/>
          </w:tcPr>
          <w:p w14:paraId="068055EB">
            <w:pPr>
              <w:spacing w:after="0" w:line="240" w:lineRule="auto"/>
            </w:pPr>
            <w:r>
              <w:rPr>
                <w:b/>
              </w:rPr>
              <w:t>本文定义</w:t>
            </w:r>
          </w:p>
        </w:tc>
      </w:tr>
      <w:tr w14:paraId="5D548C0D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547B4B">
            <w:pPr>
              <w:spacing w:after="0" w:line="240" w:lineRule="auto"/>
            </w:pPr>
            <w:r>
              <w:t>Population (P)</w:t>
            </w:r>
          </w:p>
        </w:tc>
        <w:tc>
          <w:tcPr>
            <w:tcW w:w="4320" w:type="dxa"/>
          </w:tcPr>
          <w:p w14:paraId="2307291D">
            <w:pPr>
              <w:spacing w:after="0" w:line="240" w:lineRule="auto"/>
            </w:pPr>
            <w:r>
              <w:t>C57BL/6J 小鼠骨骼肌来源的肌肉干细胞, 分年轻 (2–6 月龄) 与年老 (20–24 月龄及以上) 两组;含 FACS 分离纯化的原代 MuSC、移植受体鼠,以及体外培养 young / aged MuSC。</w:t>
            </w:r>
          </w:p>
        </w:tc>
      </w:tr>
      <w:tr w14:paraId="4244CF24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63682D">
            <w:pPr>
              <w:spacing w:after="0" w:line="240" w:lineRule="auto"/>
            </w:pPr>
            <w:r>
              <w:t>Intervention (I)</w:t>
            </w:r>
          </w:p>
        </w:tc>
        <w:tc>
          <w:tcPr>
            <w:tcW w:w="4320" w:type="dxa"/>
          </w:tcPr>
          <w:p w14:paraId="04D7214C">
            <w:pPr>
              <w:spacing w:after="0" w:line="240" w:lineRule="auto"/>
            </w:pPr>
            <w:r>
              <w:t>(i) 体外 / 体内 谷氨酰胺酶功能抑制 / 敲低; (ii) 外源补充 α-酮戊二酸或谷氨酰胺; (iii) 外源补充棕榈酸 / 油酸 (P:O) 替代 de novo 脂质合成产物。</w:t>
            </w:r>
          </w:p>
        </w:tc>
      </w:tr>
      <w:tr w14:paraId="5AB07638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64867D">
            <w:pPr>
              <w:spacing w:after="0" w:line="240" w:lineRule="auto"/>
            </w:pPr>
            <w:r>
              <w:t>Comparison (C)</w:t>
            </w:r>
          </w:p>
        </w:tc>
        <w:tc>
          <w:tcPr>
            <w:tcW w:w="4320" w:type="dxa"/>
          </w:tcPr>
          <w:p w14:paraId="09FA0F8B">
            <w:pPr>
              <w:spacing w:after="0" w:line="240" w:lineRule="auto"/>
            </w:pPr>
            <w:r>
              <w:t>年轻 vs 年老 MuSC; GLS 干预 vs 载体对照; α-KG / Gln / P:O 补救 vs 不补救。</w:t>
            </w:r>
          </w:p>
        </w:tc>
      </w:tr>
      <w:tr w14:paraId="34E611A5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E11884">
            <w:pPr>
              <w:spacing w:after="0" w:line="240" w:lineRule="auto"/>
            </w:pPr>
            <w:r>
              <w:t>Outcome (O)</w:t>
            </w:r>
          </w:p>
        </w:tc>
        <w:tc>
          <w:tcPr>
            <w:tcW w:w="4320" w:type="dxa"/>
          </w:tcPr>
          <w:p w14:paraId="6FD50751">
            <w:pPr>
              <w:spacing w:after="0" w:line="240" w:lineRule="auto"/>
            </w:pPr>
            <w:r>
              <w:t>(i) MuSC 激活率 (EdU / Ki67)、自我更新 (BrdU 标记保留)、成肌分化; (ii) 13C-glutamine 示踪测得的 reductive carboxylation 通量 (iii) 体内损伤后肌纤维横截面积、再生肌力 (RotaRod、Open field、后肢步态)。</w:t>
            </w:r>
          </w:p>
        </w:tc>
      </w:tr>
      <w:tr w14:paraId="7299A659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AD4DC3">
            <w:pPr>
              <w:spacing w:after="0" w:line="240" w:lineRule="auto"/>
            </w:pPr>
            <w:r>
              <w:t>Key covariates</w:t>
            </w:r>
          </w:p>
        </w:tc>
        <w:tc>
          <w:tcPr>
            <w:tcW w:w="4320" w:type="dxa"/>
          </w:tcPr>
          <w:p w14:paraId="58622A01">
            <w:pPr>
              <w:spacing w:after="0" w:line="240" w:lineRule="auto"/>
            </w:pPr>
            <w:r>
              <w:t>小鼠年龄 (主要暴露)、性别、采食状态、移植实验的供 / 受体配对;同位素示踪计算涉及示踪剂富集率与代谢池稀释。</w:t>
            </w:r>
          </w:p>
        </w:tc>
      </w:tr>
    </w:tbl>
    <w:p w14:paraId="1D80959F">
      <w:pPr>
        <w:pStyle w:val="29"/>
        <w:numPr>
          <w:numId w:val="0"/>
        </w:numPr>
        <w:rPr>
          <w:rFonts w:ascii="Times New Roman" w:hAnsi="Times New Roman" w:cs="Times New Roman"/>
          <w:lang w:val="en-US"/>
        </w:rPr>
      </w:pPr>
    </w:p>
    <w:p w14:paraId="2AF84D88">
      <w:pPr>
        <w:pStyle w:val="29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2: What kind of dataset or data type these two papers use?</w:t>
      </w:r>
    </w:p>
    <w:tbl>
      <w:tblPr>
        <w:tblStyle w:val="14"/>
        <w:tblW w:w="0" w:type="auto"/>
        <w:tblInd w:w="0" w:type="dxa"/>
        <w:tbl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45AE5C9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DA9D56">
            <w:pPr>
              <w:spacing w:after="0" w:line="240" w:lineRule="auto"/>
            </w:pPr>
            <w:r>
              <w:rPr>
                <w:b/>
              </w:rPr>
              <w:t>Data element</w:t>
            </w:r>
          </w:p>
        </w:tc>
        <w:tc>
          <w:tcPr>
            <w:tcW w:w="4320" w:type="dxa"/>
          </w:tcPr>
          <w:p w14:paraId="3E76FE82">
            <w:pPr>
              <w:spacing w:after="0" w:line="240" w:lineRule="auto"/>
            </w:pPr>
            <w:r>
              <w:rPr>
                <w:b/>
              </w:rPr>
              <w:t xml:space="preserve">类型 </w:t>
            </w:r>
          </w:p>
        </w:tc>
      </w:tr>
      <w:tr w14:paraId="5465EF10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FCA0D3">
            <w:pPr>
              <w:spacing w:after="0" w:line="240" w:lineRule="auto"/>
            </w:pPr>
            <w:r>
              <w:t>组学数据</w:t>
            </w:r>
          </w:p>
        </w:tc>
        <w:tc>
          <w:tcPr>
            <w:tcW w:w="4320" w:type="dxa"/>
          </w:tcPr>
          <w:p w14:paraId="22812AD0">
            <w:pPr>
              <w:spacing w:after="0" w:line="240" w:lineRule="auto"/>
            </w:pPr>
            <w:r>
              <w:t>targeted metabolomics;稳定同位素示踪 (13C-glutamine ) 追踪 TCA 流向与 de novo lipogenesis;RNA-seq / qPCR (MuSC 激活标志物 Pax7、MyoD、MyoG、Myh3 )</w:t>
            </w:r>
          </w:p>
        </w:tc>
      </w:tr>
      <w:tr w14:paraId="39B343F5">
        <w:tblPrEx>
          <w:tblBorders>
            <w:top w:val="single" w:color="4472C4" w:themeColor="accent1" w:sz="8" w:space="0"/>
            <w:left w:val="single" w:color="4472C4" w:themeColor="accent1" w:sz="8" w:space="0"/>
            <w:bottom w:val="single" w:color="4472C4" w:themeColor="accent1" w:sz="8" w:space="0"/>
            <w:right w:val="single" w:color="4472C4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087A1D">
            <w:pPr>
              <w:spacing w:after="0" w:line="240" w:lineRule="auto"/>
            </w:pPr>
            <w:r>
              <w:t>表型数据</w:t>
            </w:r>
          </w:p>
        </w:tc>
        <w:tc>
          <w:tcPr>
            <w:tcW w:w="4320" w:type="dxa"/>
          </w:tcPr>
          <w:p w14:paraId="4C55D524">
            <w:pPr>
              <w:spacing w:after="0" w:line="240" w:lineRule="auto"/>
            </w:pPr>
            <w:r>
              <w:t>肌肉湿重、肌纤维 CSA (免疫荧光 Laminin / Dystrophin)、抓力 / 疲劳、EdU / BrdU / Ki67;FACS 测 MuSC 数量与活化。</w:t>
            </w:r>
          </w:p>
        </w:tc>
      </w:tr>
    </w:tbl>
    <w:p w14:paraId="011C468D">
      <w:pPr>
        <w:pStyle w:val="29"/>
        <w:numPr>
          <w:numId w:val="0"/>
        </w:numPr>
        <w:rPr>
          <w:rFonts w:ascii="Times New Roman" w:hAnsi="Times New Roman" w:cs="Times New Roman"/>
          <w:lang w:val="en-US"/>
        </w:rPr>
      </w:pPr>
    </w:p>
    <w:p w14:paraId="2432BA6A">
      <w:pPr>
        <w:pStyle w:val="29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3: What is the hypothesis of these two research?</w:t>
      </w:r>
    </w:p>
    <w:p w14:paraId="38CA3D23">
      <w:pPr>
        <w:ind w:left="454" w:right="454"/>
      </w:pPr>
      <w:r>
        <w:rPr>
          <w:i/>
          <w:color w:val="333333"/>
        </w:rPr>
        <w:t>“In this study, we utilize in vitro and in vivo approaches in mice to demonstrate the function of glutaminase (GLS) for age-related changes in MuSC function. By combining FACS-isolation with metabolomics and stable-isotope tracing, we show an age-related decline in reductive (“counterclock-wise”) flux of glutamine through the TCA-cycle, a pathway by which MuSCs build cellular fatty acid stores as necessary biomass for MuSC cell function.”</w:t>
      </w:r>
    </w:p>
    <w:p w14:paraId="59BE8676">
      <w:pPr>
        <w:pStyle w:val="29"/>
        <w:ind w:left="360"/>
        <w:rPr>
          <w:rFonts w:ascii="Times New Roman" w:hAnsi="Times New Roman" w:cs="Times New Roman"/>
          <w:lang w:val="en-US"/>
        </w:rPr>
      </w:pPr>
    </w:p>
    <w:p w14:paraId="50D963D8">
      <w:pPr>
        <w:rPr>
          <w:rFonts w:ascii="Times New Roman" w:hAnsi="Times New Roman" w:cs="Times New Roman"/>
          <w:lang w:val="en-US"/>
        </w:rPr>
      </w:pPr>
    </w:p>
    <w:p w14:paraId="298617AC">
      <w:pPr>
        <w:rPr>
          <w:rFonts w:ascii="Times New Roman" w:hAnsi="Times New Roman" w:cs="Times New Roman"/>
          <w:lang w:val="en-US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-Roman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893EB9"/>
    <w:multiLevelType w:val="multilevel"/>
    <w:tmpl w:val="12893EB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7C13D04"/>
    <w:multiLevelType w:val="multilevel"/>
    <w:tmpl w:val="57C13D0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E73"/>
    <w:rsid w:val="0040633A"/>
    <w:rsid w:val="00651052"/>
    <w:rsid w:val="00680E65"/>
    <w:rsid w:val="00880E73"/>
    <w:rsid w:val="008C5ACE"/>
    <w:rsid w:val="00F917DF"/>
    <w:rsid w:val="1718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Light List Accent 1"/>
    <w:basedOn w:val="13"/>
    <w:qFormat/>
    <w:uiPriority w:val="61"/>
    <w:pPr>
      <w:spacing w:after="0" w:line="240" w:lineRule="auto"/>
    </w:p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</w:style>
  <w:style w:type="character" w:customStyle="1" w:styleId="16">
    <w:name w:val="Heading 1 Char"/>
    <w:basedOn w:val="1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5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5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5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5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5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5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5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5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5"/>
    <w:link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5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174</Words>
  <Characters>911</Characters>
  <Lines>7</Lines>
  <Paragraphs>2</Paragraphs>
  <TotalTime>4</TotalTime>
  <ScaleCrop>false</ScaleCrop>
  <LinksUpToDate>false</LinksUpToDate>
  <CharactersWithSpaces>1068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2026-08-22T08:22:00Z</dcterms:created>
  <dc:creator>mac</dc:creator>
  <cp:lastModifiedBy>绥梁</cp:lastModifiedBy>
  <dcterms:modified xsi:type="dcterms:W3CDTF">2026-09-03T08:32:33Z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eyJoZGlkIjoiYTFjYjk2ODdhYWUxZWZiMmNmZjkxZTNjM2ExNDdjMzQiLCJ1c2VySWQiOiI1ODYxNjIzNTMifQ==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24F92AB6E9304FC0BB493EF63CAD8F51_12</vt:lpwstr>
  </property>
</Properties>
</file>