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D233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ERCOT-DAM 电价期预测结果</w:t>
      </w:r>
    </w:p>
    <w:p w14:paraId="5E4F1DA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数据源</w:t>
      </w:r>
      <w:bookmarkStart w:id="0" w:name="_GoBack"/>
      <w:bookmarkEnd w:id="0"/>
    </w:p>
    <w:p w14:paraId="4EE92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ERCOT官网</w:t>
      </w:r>
    </w:p>
    <w:p w14:paraId="50086E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选用LZ_HOUSTON电价数据</w:t>
      </w:r>
    </w:p>
    <w:p w14:paraId="21F6EA7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DAM 电价数据 2015年1月1日- 2025年12月10日</w:t>
      </w:r>
    </w:p>
    <w:p w14:paraId="1910997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数据选择和划分</w:t>
      </w:r>
    </w:p>
    <w:p w14:paraId="742EF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经测试，发现较早的历史数据（2022年之前）会降低模型的预测精度，这可能和ERCOT市场的改革有关，根据调研，在2022年前后的变化主要如下：</w:t>
      </w:r>
    </w:p>
    <w:p w14:paraId="1D20C98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市场规则变了</w:t>
      </w:r>
      <w:r>
        <w:rPr>
          <w:rFonts w:hint="eastAsia"/>
          <w:lang w:val="en-US" w:eastAsia="zh-CN"/>
        </w:rPr>
        <w:t xml:space="preserve"> (2021</w:t>
      </w:r>
      <w:r>
        <w:rPr>
          <w:rFonts w:ascii="宋体" w:hAnsi="宋体" w:eastAsia="宋体" w:cs="宋体"/>
          <w:sz w:val="24"/>
          <w:szCs w:val="24"/>
        </w:rPr>
        <w:t>年改革</w:t>
      </w:r>
      <w:r>
        <w:rPr>
          <w:rFonts w:ascii="宋体" w:hAnsi="宋体" w:eastAsia="宋体" w:cs="宋体"/>
          <w:color w:val="ABB2BF"/>
          <w:sz w:val="24"/>
          <w:szCs w:val="24"/>
        </w:rPr>
        <w:t>)</w:t>
      </w:r>
    </w:p>
    <w:p w14:paraId="401CFA4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电源结构变了 </w:t>
      </w:r>
      <w:r>
        <w:rPr>
          <w:rFonts w:ascii="宋体" w:hAnsi="宋体" w:eastAsia="宋体" w:cs="宋体"/>
          <w:color w:val="ABB2BF"/>
          <w:sz w:val="24"/>
          <w:szCs w:val="24"/>
        </w:rPr>
        <w:t>(</w:t>
      </w:r>
      <w:r>
        <w:rPr>
          <w:rFonts w:ascii="宋体" w:hAnsi="宋体" w:eastAsia="宋体" w:cs="宋体"/>
          <w:sz w:val="24"/>
          <w:szCs w:val="24"/>
        </w:rPr>
        <w:t>风光大增，煤电退役</w:t>
      </w:r>
      <w:r>
        <w:rPr>
          <w:rFonts w:ascii="宋体" w:hAnsi="宋体" w:eastAsia="宋体" w:cs="宋体"/>
          <w:color w:val="ABB2BF"/>
          <w:sz w:val="24"/>
          <w:szCs w:val="24"/>
        </w:rPr>
        <w:t>)</w:t>
      </w:r>
    </w:p>
    <w:p w14:paraId="6E51CCF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价格模式变了 </w:t>
      </w:r>
      <w:r>
        <w:rPr>
          <w:rFonts w:ascii="宋体" w:hAnsi="宋体" w:eastAsia="宋体" w:cs="宋体"/>
          <w:color w:val="ABB2BF"/>
          <w:sz w:val="24"/>
          <w:szCs w:val="24"/>
        </w:rPr>
        <w:t>(</w:t>
      </w:r>
      <w:r>
        <w:rPr>
          <w:rFonts w:ascii="宋体" w:hAnsi="宋体" w:eastAsia="宋体" w:cs="宋体"/>
          <w:sz w:val="24"/>
          <w:szCs w:val="24"/>
        </w:rPr>
        <w:t>鸭子曲线，负电价</w:t>
      </w:r>
      <w:r>
        <w:rPr>
          <w:rFonts w:ascii="宋体" w:hAnsi="宋体" w:eastAsia="宋体" w:cs="宋体"/>
          <w:color w:val="ABB2BF"/>
          <w:sz w:val="24"/>
          <w:szCs w:val="24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CD6288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旧数据稀释了近期有效信息 </w:t>
      </w:r>
    </w:p>
    <w:p w14:paraId="09FF8A78">
      <w:pPr>
        <w:bidi w:val="0"/>
      </w:pPr>
    </w:p>
    <w:p w14:paraId="12606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结论: 用2022年后的数据训练效果最好</w:t>
      </w:r>
    </w:p>
    <w:p w14:paraId="09229726">
      <w:pPr>
        <w:rPr>
          <w:rFonts w:hint="eastAsia"/>
          <w:lang w:val="en-US" w:eastAsia="zh-CN"/>
        </w:rPr>
      </w:pPr>
    </w:p>
    <w:p w14:paraId="3E3A3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本次使用2022年-2024年3年的数据训练，使用2025年的数据作为测试</w:t>
      </w:r>
    </w:p>
    <w:p w14:paraId="43905B3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常规测试结果</w:t>
      </w:r>
    </w:p>
    <w:p w14:paraId="5582F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主要测试指标：mae、rmse</w:t>
      </w:r>
    </w:p>
    <w:p w14:paraId="2113D2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主要测试对象：未来一天24小时电价（01:00 - 24:00）</w:t>
      </w:r>
    </w:p>
    <w:p w14:paraId="24965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主要测试模型：XGBoost、LightGBM、CatBoost</w:t>
      </w:r>
    </w:p>
    <w:p w14:paraId="035CC4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最佳模型：LightGBM</w:t>
      </w:r>
    </w:p>
    <w:p w14:paraId="344D1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结果如下：</w:t>
      </w:r>
    </w:p>
    <w:p w14:paraId="5936A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7165" cy="1615440"/>
            <wp:effectExtent l="0" t="0" r="635" b="3810"/>
            <wp:docPr id="2" name="图片 2" descr="b378f1c8-f189-4c39-8a43-0ab684842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378f1c8-f189-4c39-8a43-0ab6848421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63BA">
      <w:pPr>
        <w:rPr>
          <w:rFonts w:hint="eastAsia"/>
          <w:lang w:val="en-US" w:eastAsia="zh-CN"/>
        </w:rPr>
      </w:pPr>
    </w:p>
    <w:p w14:paraId="0D0BA685">
      <w:pPr>
        <w:rPr>
          <w:rFonts w:hint="eastAsia"/>
          <w:lang w:val="en-US" w:eastAsia="zh-CN"/>
        </w:rPr>
      </w:pPr>
    </w:p>
    <w:p w14:paraId="01B22875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按月效果分析</w:t>
      </w:r>
    </w:p>
    <w:p w14:paraId="24A20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2089150"/>
            <wp:effectExtent l="0" t="0" r="0" b="6350"/>
            <wp:docPr id="3" name="图片 3" descr="a201ca84-eb53-4afa-9a25-b509a459e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201ca84-eb53-4afa-9a25-b509a459e6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218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1"/>
        <w:gridCol w:w="1949"/>
        <w:gridCol w:w="2079"/>
        <w:gridCol w:w="1949"/>
      </w:tblGrid>
      <w:tr w14:paraId="2A4A1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96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46727C5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季节</w:t>
            </w:r>
          </w:p>
        </w:tc>
        <w:tc>
          <w:tcPr>
            <w:tcW w:w="191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2406A67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月份</w:t>
            </w:r>
          </w:p>
        </w:tc>
        <w:tc>
          <w:tcPr>
            <w:tcW w:w="2049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39A03E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平均MAE</w:t>
            </w:r>
          </w:p>
        </w:tc>
        <w:tc>
          <w:tcPr>
            <w:tcW w:w="190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4A8546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表现</w:t>
            </w:r>
          </w:p>
        </w:tc>
      </w:tr>
      <w:tr w14:paraId="6FA46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96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C580F9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Style w:val="6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秋季</w:t>
            </w:r>
          </w:p>
        </w:tc>
        <w:tc>
          <w:tcPr>
            <w:tcW w:w="191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2CBC5F8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Sep-Oct</w:t>
            </w:r>
          </w:p>
        </w:tc>
        <w:tc>
          <w:tcPr>
            <w:tcW w:w="2049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9A304B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$6.15</w:t>
            </w:r>
          </w:p>
        </w:tc>
        <w:tc>
          <w:tcPr>
            <w:tcW w:w="190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DC6BAF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最佳</w:t>
            </w:r>
          </w:p>
        </w:tc>
      </w:tr>
      <w:tr w14:paraId="14EF0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96" w:type="dxa"/>
            <w:shd w:val="clear" w:color="auto" w:fill="FFFFFF"/>
            <w:vAlign w:val="center"/>
          </w:tcPr>
          <w:p w14:paraId="458E7C2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Style w:val="6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夏季</w:t>
            </w:r>
          </w:p>
        </w:tc>
        <w:tc>
          <w:tcPr>
            <w:tcW w:w="1919" w:type="dxa"/>
            <w:shd w:val="clear" w:color="auto" w:fill="FFFFFF"/>
            <w:vAlign w:val="center"/>
          </w:tcPr>
          <w:p w14:paraId="28B1695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Jun-Aug</w:t>
            </w:r>
          </w:p>
        </w:tc>
        <w:tc>
          <w:tcPr>
            <w:tcW w:w="2049" w:type="dxa"/>
            <w:shd w:val="clear" w:color="auto" w:fill="FFFFFF"/>
            <w:vAlign w:val="center"/>
          </w:tcPr>
          <w:p w14:paraId="54CD095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$7.23</w:t>
            </w:r>
          </w:p>
        </w:tc>
        <w:tc>
          <w:tcPr>
            <w:tcW w:w="1904" w:type="dxa"/>
            <w:shd w:val="clear" w:color="auto" w:fill="FFFFFF"/>
            <w:vAlign w:val="center"/>
          </w:tcPr>
          <w:p w14:paraId="1BFCED1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较好</w:t>
            </w:r>
          </w:p>
        </w:tc>
      </w:tr>
      <w:tr w14:paraId="4D7CC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96" w:type="dxa"/>
            <w:shd w:val="clear" w:color="auto" w:fill="FFFFFF"/>
            <w:vAlign w:val="center"/>
          </w:tcPr>
          <w:p w14:paraId="46817C6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Style w:val="6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春季</w:t>
            </w:r>
          </w:p>
        </w:tc>
        <w:tc>
          <w:tcPr>
            <w:tcW w:w="1919" w:type="dxa"/>
            <w:shd w:val="clear" w:color="auto" w:fill="FFFFFF"/>
            <w:vAlign w:val="center"/>
          </w:tcPr>
          <w:p w14:paraId="0CB36C2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Mar-May</w:t>
            </w:r>
          </w:p>
        </w:tc>
        <w:tc>
          <w:tcPr>
            <w:tcW w:w="2049" w:type="dxa"/>
            <w:shd w:val="clear" w:color="auto" w:fill="FFFFFF"/>
            <w:vAlign w:val="center"/>
          </w:tcPr>
          <w:p w14:paraId="7A453E5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$10.04</w:t>
            </w:r>
          </w:p>
        </w:tc>
        <w:tc>
          <w:tcPr>
            <w:tcW w:w="1904" w:type="dxa"/>
            <w:shd w:val="clear" w:color="auto" w:fill="FFFFFF"/>
            <w:vAlign w:val="center"/>
          </w:tcPr>
          <w:p w14:paraId="1F0997D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较差</w:t>
            </w:r>
          </w:p>
        </w:tc>
      </w:tr>
      <w:tr w14:paraId="47655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96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C235B9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Style w:val="6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冬季过渡</w:t>
            </w:r>
          </w:p>
        </w:tc>
        <w:tc>
          <w:tcPr>
            <w:tcW w:w="1919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476964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Nov-Dec</w:t>
            </w:r>
          </w:p>
        </w:tc>
        <w:tc>
          <w:tcPr>
            <w:tcW w:w="2049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5E4B2E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$11.10</w:t>
            </w:r>
          </w:p>
        </w:tc>
        <w:tc>
          <w:tcPr>
            <w:tcW w:w="1904" w:type="dxa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6F5121E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最差</w:t>
            </w:r>
          </w:p>
        </w:tc>
      </w:tr>
    </w:tbl>
    <w:p w14:paraId="21746313">
      <w:pPr>
        <w:rPr>
          <w:rFonts w:hint="default"/>
          <w:lang w:val="en-US" w:eastAsia="zh-CN"/>
        </w:rPr>
      </w:pPr>
    </w:p>
    <w:p w14:paraId="50AEFDAF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按小时效果分析</w:t>
      </w:r>
    </w:p>
    <w:p w14:paraId="44E38F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7800" cy="2084070"/>
            <wp:effectExtent l="0" t="0" r="0" b="1905"/>
            <wp:docPr id="4" name="图片 4" descr="de735693-1d25-43b8-a0c2-5e67a413de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735693-1d25-43b8-a0c2-5e67a413def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2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0655" cy="3321685"/>
            <wp:effectExtent l="0" t="0" r="7620" b="2540"/>
            <wp:docPr id="6" name="图片 6" descr="c75d8d6c-3388-46bd-ba2a-4b634a8b3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75d8d6c-3388-46bd-ba2a-4b634a8b35d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065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31EB">
      <w:pPr>
        <w:bidi w:val="0"/>
        <w:rPr>
          <w:rFonts w:hint="default"/>
          <w:lang w:val="en-US" w:eastAsia="zh-CN"/>
        </w:rPr>
      </w:pP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1768"/>
        <w:gridCol w:w="1486"/>
        <w:gridCol w:w="1939"/>
        <w:gridCol w:w="1600"/>
      </w:tblGrid>
      <w:tr w14:paraId="1F37A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55" w:type="dxa"/>
            <w:shd w:val="clear"/>
            <w:vAlign w:val="center"/>
          </w:tcPr>
          <w:p w14:paraId="6AAA20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时段</w:t>
            </w:r>
          </w:p>
        </w:tc>
        <w:tc>
          <w:tcPr>
            <w:tcW w:w="1738" w:type="dxa"/>
            <w:shd w:val="clear"/>
            <w:vAlign w:val="center"/>
          </w:tcPr>
          <w:p w14:paraId="44FD4A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小时范围</w:t>
            </w:r>
          </w:p>
        </w:tc>
        <w:tc>
          <w:tcPr>
            <w:tcW w:w="1456" w:type="dxa"/>
            <w:shd w:val="clear"/>
            <w:vAlign w:val="center"/>
          </w:tcPr>
          <w:p w14:paraId="5AC735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平均MAE</w:t>
            </w:r>
          </w:p>
        </w:tc>
        <w:tc>
          <w:tcPr>
            <w:tcW w:w="1909" w:type="dxa"/>
            <w:shd w:val="clear"/>
            <w:vAlign w:val="center"/>
          </w:tcPr>
          <w:p w14:paraId="7B0129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预测难度</w:t>
            </w:r>
          </w:p>
        </w:tc>
        <w:tc>
          <w:tcPr>
            <w:tcW w:w="1555" w:type="dxa"/>
            <w:shd w:val="clear"/>
            <w:vAlign w:val="center"/>
          </w:tcPr>
          <w:p w14:paraId="1DD237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2F48A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55" w:type="dxa"/>
            <w:shd w:val="clear"/>
            <w:vAlign w:val="center"/>
          </w:tcPr>
          <w:p w14:paraId="52CDAE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凌晨谷时</w:t>
            </w:r>
          </w:p>
        </w:tc>
        <w:tc>
          <w:tcPr>
            <w:tcW w:w="1738" w:type="dxa"/>
            <w:shd w:val="clear"/>
            <w:vAlign w:val="center"/>
          </w:tcPr>
          <w:p w14:paraId="674D8A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HE1-HE5</w:t>
            </w:r>
          </w:p>
        </w:tc>
        <w:tc>
          <w:tcPr>
            <w:tcW w:w="1456" w:type="dxa"/>
            <w:shd w:val="clear"/>
            <w:vAlign w:val="center"/>
          </w:tcPr>
          <w:p w14:paraId="59E591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$4.64</w:t>
            </w:r>
          </w:p>
        </w:tc>
        <w:tc>
          <w:tcPr>
            <w:tcW w:w="1909" w:type="dxa"/>
            <w:shd w:val="clear"/>
            <w:vAlign w:val="center"/>
          </w:tcPr>
          <w:p w14:paraId="172CDF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★☆☆☆☆</w:t>
            </w:r>
          </w:p>
        </w:tc>
        <w:tc>
          <w:tcPr>
            <w:tcW w:w="1555" w:type="dxa"/>
            <w:shd w:val="clear"/>
            <w:vAlign w:val="center"/>
          </w:tcPr>
          <w:p w14:paraId="2D3FA4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负荷稳定</w:t>
            </w:r>
          </w:p>
        </w:tc>
      </w:tr>
      <w:tr w14:paraId="1B86A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55" w:type="dxa"/>
            <w:shd w:val="clear"/>
            <w:vAlign w:val="center"/>
          </w:tcPr>
          <w:p w14:paraId="5EE065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早间过渡</w:t>
            </w:r>
          </w:p>
        </w:tc>
        <w:tc>
          <w:tcPr>
            <w:tcW w:w="1738" w:type="dxa"/>
            <w:shd w:val="clear"/>
            <w:vAlign w:val="center"/>
          </w:tcPr>
          <w:p w14:paraId="7D3529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HE6-HE9</w:t>
            </w:r>
          </w:p>
        </w:tc>
        <w:tc>
          <w:tcPr>
            <w:tcW w:w="1456" w:type="dxa"/>
            <w:shd w:val="clear"/>
            <w:vAlign w:val="center"/>
          </w:tcPr>
          <w:p w14:paraId="48D860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$7.45</w:t>
            </w:r>
          </w:p>
        </w:tc>
        <w:tc>
          <w:tcPr>
            <w:tcW w:w="1909" w:type="dxa"/>
            <w:shd w:val="clear"/>
            <w:vAlign w:val="center"/>
          </w:tcPr>
          <w:p w14:paraId="09372F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★★★☆☆</w:t>
            </w:r>
          </w:p>
        </w:tc>
        <w:tc>
          <w:tcPr>
            <w:tcW w:w="1555" w:type="dxa"/>
            <w:shd w:val="clear"/>
            <w:vAlign w:val="center"/>
          </w:tcPr>
          <w:p w14:paraId="57470A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负荷爬升</w:t>
            </w:r>
          </w:p>
        </w:tc>
      </w:tr>
      <w:tr w14:paraId="6308F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55" w:type="dxa"/>
            <w:shd w:val="clear"/>
            <w:vAlign w:val="center"/>
          </w:tcPr>
          <w:p w14:paraId="17BF9F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白天平稳</w:t>
            </w:r>
          </w:p>
        </w:tc>
        <w:tc>
          <w:tcPr>
            <w:tcW w:w="1738" w:type="dxa"/>
            <w:shd w:val="clear"/>
            <w:vAlign w:val="center"/>
          </w:tcPr>
          <w:p w14:paraId="51E312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HE10-HE14</w:t>
            </w:r>
          </w:p>
        </w:tc>
        <w:tc>
          <w:tcPr>
            <w:tcW w:w="1456" w:type="dxa"/>
            <w:shd w:val="clear"/>
            <w:vAlign w:val="center"/>
          </w:tcPr>
          <w:p w14:paraId="1B4F19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$5.92</w:t>
            </w:r>
          </w:p>
        </w:tc>
        <w:tc>
          <w:tcPr>
            <w:tcW w:w="1909" w:type="dxa"/>
            <w:shd w:val="clear"/>
            <w:vAlign w:val="center"/>
          </w:tcPr>
          <w:p w14:paraId="3D96D5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★★☆☆☆</w:t>
            </w:r>
          </w:p>
        </w:tc>
        <w:tc>
          <w:tcPr>
            <w:tcW w:w="1555" w:type="dxa"/>
            <w:shd w:val="clear"/>
            <w:vAlign w:val="center"/>
          </w:tcPr>
          <w:p w14:paraId="7970BF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光伏出力</w:t>
            </w:r>
          </w:p>
        </w:tc>
      </w:tr>
      <w:tr w14:paraId="3258C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55" w:type="dxa"/>
            <w:shd w:val="clear"/>
            <w:vAlign w:val="center"/>
          </w:tcPr>
          <w:p w14:paraId="32D6AE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下午过渡</w:t>
            </w:r>
          </w:p>
        </w:tc>
        <w:tc>
          <w:tcPr>
            <w:tcW w:w="1738" w:type="dxa"/>
            <w:shd w:val="clear"/>
            <w:vAlign w:val="center"/>
          </w:tcPr>
          <w:p w14:paraId="1BD311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HE15-HE17</w:t>
            </w:r>
          </w:p>
        </w:tc>
        <w:tc>
          <w:tcPr>
            <w:tcW w:w="1456" w:type="dxa"/>
            <w:shd w:val="clear"/>
            <w:vAlign w:val="center"/>
          </w:tcPr>
          <w:p w14:paraId="16D4A8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$8.64</w:t>
            </w:r>
          </w:p>
        </w:tc>
        <w:tc>
          <w:tcPr>
            <w:tcW w:w="1909" w:type="dxa"/>
            <w:shd w:val="clear"/>
            <w:vAlign w:val="center"/>
          </w:tcPr>
          <w:p w14:paraId="637134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★★★☆☆</w:t>
            </w:r>
          </w:p>
        </w:tc>
        <w:tc>
          <w:tcPr>
            <w:tcW w:w="1555" w:type="dxa"/>
            <w:shd w:val="clear"/>
            <w:vAlign w:val="center"/>
          </w:tcPr>
          <w:p w14:paraId="5F9821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负荷上升</w:t>
            </w:r>
          </w:p>
        </w:tc>
      </w:tr>
      <w:tr w14:paraId="67848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55" w:type="dxa"/>
            <w:shd w:val="clear"/>
            <w:vAlign w:val="center"/>
          </w:tcPr>
          <w:p w14:paraId="5DDD31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傍晚峰时</w:t>
            </w:r>
          </w:p>
        </w:tc>
        <w:tc>
          <w:tcPr>
            <w:tcW w:w="1738" w:type="dxa"/>
            <w:shd w:val="clear"/>
            <w:vAlign w:val="center"/>
          </w:tcPr>
          <w:p w14:paraId="091A4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HE18-HE22</w:t>
            </w:r>
          </w:p>
        </w:tc>
        <w:tc>
          <w:tcPr>
            <w:tcW w:w="1456" w:type="dxa"/>
            <w:shd w:val="clear"/>
            <w:vAlign w:val="center"/>
          </w:tcPr>
          <w:p w14:paraId="73F9CA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$16.32</w:t>
            </w:r>
          </w:p>
        </w:tc>
        <w:tc>
          <w:tcPr>
            <w:tcW w:w="1909" w:type="dxa"/>
            <w:shd w:val="clear"/>
            <w:vAlign w:val="center"/>
          </w:tcPr>
          <w:p w14:paraId="4024AA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1555" w:type="dxa"/>
            <w:shd w:val="clear"/>
            <w:vAlign w:val="center"/>
          </w:tcPr>
          <w:p w14:paraId="73DF90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高波动性</w:t>
            </w:r>
          </w:p>
        </w:tc>
      </w:tr>
      <w:tr w14:paraId="205BF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55" w:type="dxa"/>
            <w:shd w:val="clear"/>
            <w:vAlign w:val="center"/>
          </w:tcPr>
          <w:p w14:paraId="7BC343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夜间回落</w:t>
            </w:r>
          </w:p>
        </w:tc>
        <w:tc>
          <w:tcPr>
            <w:tcW w:w="1738" w:type="dxa"/>
            <w:shd w:val="clear"/>
            <w:vAlign w:val="center"/>
          </w:tcPr>
          <w:p w14:paraId="6B305B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HE23-HE24</w:t>
            </w:r>
          </w:p>
        </w:tc>
        <w:tc>
          <w:tcPr>
            <w:tcW w:w="1456" w:type="dxa"/>
            <w:shd w:val="clear"/>
            <w:vAlign w:val="center"/>
          </w:tcPr>
          <w:p w14:paraId="4AC52C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$7.79</w:t>
            </w:r>
          </w:p>
        </w:tc>
        <w:tc>
          <w:tcPr>
            <w:tcW w:w="1909" w:type="dxa"/>
            <w:shd w:val="clear"/>
            <w:vAlign w:val="center"/>
          </w:tcPr>
          <w:p w14:paraId="358584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★★★☆☆</w:t>
            </w:r>
          </w:p>
        </w:tc>
        <w:tc>
          <w:tcPr>
            <w:tcW w:w="1555" w:type="dxa"/>
            <w:shd w:val="clear"/>
            <w:vAlign w:val="center"/>
          </w:tcPr>
          <w:p w14:paraId="315405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负荷下降</w:t>
            </w:r>
          </w:p>
        </w:tc>
      </w:tr>
    </w:tbl>
    <w:p w14:paraId="5DF9AF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CB0E93"/>
    <w:multiLevelType w:val="singleLevel"/>
    <w:tmpl w:val="F0CB0E9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2DAF9D"/>
    <w:multiLevelType w:val="multilevel"/>
    <w:tmpl w:val="652DAF9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A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2026-01-07T07:26:47Z</dcterms:created>
  <dc:creator>13936</dc:creator>
  <cp:lastModifiedBy>李源</cp:lastModifiedBy>
  <dcterms:modified xsi:type="dcterms:W3CDTF">2026-01-07T08:00:14Z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eyJoZGlkIjoiYjUwZjQzNmMyM2M4OWY1NmIxNmMzY2Y2ODNkMWIzYWUiLCJ1c2VySWQiOiI2NzM2OTI5NTQifQ==</vt:lpwstr>
  </property>
  <property fmtid="{D5CDD505-2E9C-101B-9397-08002B2CF9AE}" pid="4" name="ICV">
    <vt:lpwstr>059E01DA9E59427E80FCD8F33BB93E8B_12</vt:lpwstr>
  </property>
</Properties>
</file>