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27EBC0">
      <w:pPr>
        <w:jc w:val="left"/>
        <w:rPr>
          <w:rStyle w:val="6"/>
          <w:rFonts w:hint="default" w:ascii="方正小标宋简体" w:hAnsi="方正小标宋简体" w:eastAsia="方正小标宋简体" w:cs="方正小标宋简体"/>
          <w:b w:val="0"/>
          <w:bCs w:val="0"/>
          <w:color w:val="191919"/>
          <w:sz w:val="24"/>
          <w:szCs w:val="24"/>
          <w:shd w:val="clear" w:color="auto" w:fill="FFFFFF"/>
          <w:lang w:val="en-US" w:eastAsia="zh-CN"/>
        </w:rPr>
      </w:pPr>
      <w:r>
        <w:rPr>
          <w:rStyle w:val="6"/>
          <w:rFonts w:hint="eastAsia" w:ascii="方正小标宋简体" w:hAnsi="方正小标宋简体" w:eastAsia="方正小标宋简体" w:cs="方正小标宋简体"/>
          <w:b w:val="0"/>
          <w:bCs w:val="0"/>
          <w:color w:val="191919"/>
          <w:sz w:val="24"/>
          <w:szCs w:val="24"/>
          <w:shd w:val="clear" w:color="auto" w:fill="FFFFFF"/>
          <w:lang w:val="en-US" w:eastAsia="zh-CN"/>
        </w:rPr>
        <w:t>附件10</w:t>
      </w:r>
      <w:bookmarkStart w:id="0" w:name="_GoBack"/>
      <w:bookmarkEnd w:id="0"/>
      <w:r>
        <w:rPr>
          <w:rStyle w:val="6"/>
          <w:rFonts w:hint="eastAsia" w:ascii="方正小标宋简体" w:hAnsi="方正小标宋简体" w:eastAsia="方正小标宋简体" w:cs="方正小标宋简体"/>
          <w:b w:val="0"/>
          <w:bCs w:val="0"/>
          <w:color w:val="191919"/>
          <w:sz w:val="24"/>
          <w:szCs w:val="24"/>
          <w:shd w:val="clear" w:color="auto" w:fill="FFFFFF"/>
          <w:lang w:val="en-US" w:eastAsia="zh-CN"/>
        </w:rPr>
        <w:t>：</w:t>
      </w:r>
    </w:p>
    <w:p w14:paraId="08C32CE9">
      <w:pPr>
        <w:jc w:val="center"/>
        <w:rPr>
          <w:rFonts w:hint="eastAsia" w:ascii="方正小标宋简体" w:hAnsi="方正小标宋简体" w:eastAsia="方正小标宋简体" w:cs="方正小标宋简体"/>
          <w:b w:val="0"/>
          <w:bCs w:val="0"/>
          <w:sz w:val="36"/>
          <w:szCs w:val="40"/>
        </w:rPr>
      </w:pPr>
      <w:r>
        <w:rPr>
          <w:rStyle w:val="6"/>
          <w:rFonts w:hint="eastAsia" w:ascii="方正小标宋简体" w:hAnsi="方正小标宋简体" w:eastAsia="方正小标宋简体" w:cs="方正小标宋简体"/>
          <w:b w:val="0"/>
          <w:bCs w:val="0"/>
          <w:color w:val="191919"/>
          <w:sz w:val="36"/>
          <w:szCs w:val="40"/>
          <w:shd w:val="clear" w:color="auto" w:fill="FFFFFF"/>
        </w:rPr>
        <w:t>第十</w:t>
      </w:r>
      <w:r>
        <w:rPr>
          <w:rStyle w:val="6"/>
          <w:rFonts w:hint="eastAsia" w:ascii="方正小标宋简体" w:hAnsi="方正小标宋简体" w:eastAsia="方正小标宋简体" w:cs="方正小标宋简体"/>
          <w:b w:val="0"/>
          <w:bCs w:val="0"/>
          <w:color w:val="191919"/>
          <w:sz w:val="36"/>
          <w:szCs w:val="40"/>
          <w:shd w:val="clear" w:color="auto" w:fill="FFFFFF"/>
          <w:lang w:val="en-US" w:eastAsia="zh-CN"/>
        </w:rPr>
        <w:t>四</w:t>
      </w:r>
      <w:r>
        <w:rPr>
          <w:rStyle w:val="6"/>
          <w:rFonts w:hint="eastAsia" w:ascii="方正小标宋简体" w:hAnsi="方正小标宋简体" w:eastAsia="方正小标宋简体" w:cs="方正小标宋简体"/>
          <w:b w:val="0"/>
          <w:bCs w:val="0"/>
          <w:color w:val="191919"/>
          <w:sz w:val="36"/>
          <w:szCs w:val="40"/>
          <w:shd w:val="clear" w:color="auto" w:fill="FFFFFF"/>
        </w:rPr>
        <w:t>届全国大学生光电设计竞赛-创意组项目评审要点</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6"/>
        <w:gridCol w:w="11004"/>
        <w:gridCol w:w="1406"/>
      </w:tblGrid>
      <w:tr w14:paraId="10B6B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1406" w:type="dxa"/>
            <w:vAlign w:val="center"/>
          </w:tcPr>
          <w:p w14:paraId="721295C8">
            <w:pPr>
              <w:pStyle w:val="2"/>
              <w:spacing w:before="0" w:beforeAutospacing="0" w:after="0" w:afterAutospacing="0" w:line="390" w:lineRule="atLeast"/>
              <w:jc w:val="center"/>
              <w:rPr>
                <w:rFonts w:ascii="Arial" w:hAnsi="Arial" w:cs="Arial"/>
                <w:color w:val="191919"/>
              </w:rPr>
            </w:pPr>
            <w:r>
              <w:rPr>
                <w:rStyle w:val="6"/>
                <w:rFonts w:ascii="Arial" w:hAnsi="Arial" w:cs="Arial"/>
                <w:color w:val="191919"/>
              </w:rPr>
              <w:t>评审要点</w:t>
            </w:r>
          </w:p>
        </w:tc>
        <w:tc>
          <w:tcPr>
            <w:tcW w:w="11004" w:type="dxa"/>
            <w:vAlign w:val="center"/>
          </w:tcPr>
          <w:p w14:paraId="2FE47ACB">
            <w:pPr>
              <w:pStyle w:val="2"/>
              <w:spacing w:before="0" w:beforeAutospacing="0" w:after="0" w:afterAutospacing="0" w:line="390" w:lineRule="atLeast"/>
              <w:jc w:val="center"/>
              <w:rPr>
                <w:rFonts w:ascii="Arial" w:hAnsi="Arial" w:cs="Arial"/>
                <w:color w:val="191919"/>
              </w:rPr>
            </w:pPr>
            <w:r>
              <w:rPr>
                <w:rStyle w:val="6"/>
                <w:rFonts w:ascii="Arial" w:hAnsi="Arial" w:cs="Arial"/>
                <w:color w:val="191919"/>
              </w:rPr>
              <w:t>评审内容</w:t>
            </w:r>
          </w:p>
        </w:tc>
        <w:tc>
          <w:tcPr>
            <w:tcW w:w="1406" w:type="dxa"/>
            <w:vAlign w:val="center"/>
          </w:tcPr>
          <w:p w14:paraId="4018E211">
            <w:pPr>
              <w:pStyle w:val="2"/>
              <w:spacing w:before="0" w:beforeAutospacing="0" w:after="0" w:afterAutospacing="0" w:line="390" w:lineRule="atLeast"/>
              <w:jc w:val="center"/>
              <w:rPr>
                <w:rFonts w:ascii="Arial" w:hAnsi="Arial" w:cs="Arial"/>
                <w:color w:val="191919"/>
              </w:rPr>
            </w:pPr>
            <w:r>
              <w:rPr>
                <w:rStyle w:val="6"/>
                <w:rFonts w:ascii="Arial" w:hAnsi="Arial" w:cs="Arial"/>
                <w:color w:val="191919"/>
              </w:rPr>
              <w:t>分值</w:t>
            </w:r>
          </w:p>
        </w:tc>
      </w:tr>
      <w:tr w14:paraId="1FEB6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7" w:hRule="atLeast"/>
        </w:trPr>
        <w:tc>
          <w:tcPr>
            <w:tcW w:w="1406" w:type="dxa"/>
            <w:vAlign w:val="center"/>
          </w:tcPr>
          <w:p w14:paraId="2B742EF1">
            <w:pPr>
              <w:pStyle w:val="2"/>
              <w:spacing w:before="0" w:beforeAutospacing="0" w:after="0" w:afterAutospacing="0" w:line="390" w:lineRule="atLeast"/>
              <w:jc w:val="center"/>
              <w:rPr>
                <w:rFonts w:ascii="Arial" w:hAnsi="Arial" w:cs="Arial"/>
                <w:color w:val="191919"/>
              </w:rPr>
            </w:pPr>
            <w:r>
              <w:rPr>
                <w:rFonts w:ascii="Arial" w:hAnsi="Arial" w:cs="Arial"/>
                <w:color w:val="191919"/>
              </w:rPr>
              <w:t>创新性</w:t>
            </w:r>
          </w:p>
        </w:tc>
        <w:tc>
          <w:tcPr>
            <w:tcW w:w="11004" w:type="dxa"/>
            <w:vAlign w:val="center"/>
          </w:tcPr>
          <w:p w14:paraId="579DE96D">
            <w:pPr>
              <w:pStyle w:val="2"/>
              <w:spacing w:before="0" w:beforeAutospacing="0" w:after="0" w:afterAutospacing="0" w:line="390" w:lineRule="atLeast"/>
              <w:jc w:val="center"/>
              <w:rPr>
                <w:rFonts w:ascii="Arial" w:hAnsi="Arial" w:cs="Arial"/>
                <w:color w:val="191919"/>
              </w:rPr>
            </w:pPr>
            <w:r>
              <w:rPr>
                <w:rFonts w:ascii="Arial" w:hAnsi="Arial" w:cs="Arial"/>
                <w:color w:val="191919"/>
              </w:rPr>
              <w:t>突出原始创意的价值，不鼓励模仿。强调</w:t>
            </w:r>
            <w:r>
              <w:rPr>
                <w:rFonts w:hint="eastAsia" w:ascii="Arial" w:hAnsi="Arial" w:cs="Arial"/>
                <w:color w:val="191919"/>
              </w:rPr>
              <w:t>结合</w:t>
            </w:r>
            <w:r>
              <w:rPr>
                <w:rFonts w:ascii="Arial" w:hAnsi="Arial" w:cs="Arial"/>
                <w:color w:val="191919"/>
              </w:rPr>
              <w:t>光电知识，利用互联网技术、方法和思维在销售、研发、生产、物流、信息、人力、管理等方面寻求突破和创新。鼓励项目与高校科技成果转移转化相结合。</w:t>
            </w:r>
          </w:p>
        </w:tc>
        <w:tc>
          <w:tcPr>
            <w:tcW w:w="1406" w:type="dxa"/>
            <w:vAlign w:val="center"/>
          </w:tcPr>
          <w:p w14:paraId="4970D2C4">
            <w:pPr>
              <w:pStyle w:val="2"/>
              <w:spacing w:before="0" w:beforeAutospacing="0" w:after="0" w:afterAutospacing="0" w:line="390" w:lineRule="atLeast"/>
              <w:jc w:val="center"/>
              <w:rPr>
                <w:rFonts w:ascii="Arial" w:hAnsi="Arial" w:cs="Arial"/>
                <w:color w:val="191919"/>
              </w:rPr>
            </w:pPr>
            <w:r>
              <w:rPr>
                <w:rFonts w:ascii="Arial" w:hAnsi="Arial" w:cs="Arial"/>
                <w:color w:val="191919"/>
              </w:rPr>
              <w:t>40</w:t>
            </w:r>
          </w:p>
        </w:tc>
      </w:tr>
      <w:tr w14:paraId="0371A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5" w:hRule="atLeast"/>
        </w:trPr>
        <w:tc>
          <w:tcPr>
            <w:tcW w:w="1406" w:type="dxa"/>
            <w:vAlign w:val="center"/>
          </w:tcPr>
          <w:p w14:paraId="3878797A">
            <w:pPr>
              <w:pStyle w:val="2"/>
              <w:spacing w:before="0" w:beforeAutospacing="0" w:after="0" w:afterAutospacing="0" w:line="390" w:lineRule="atLeast"/>
              <w:jc w:val="center"/>
              <w:rPr>
                <w:rFonts w:ascii="Arial" w:hAnsi="Arial" w:cs="Arial"/>
                <w:color w:val="191919"/>
              </w:rPr>
            </w:pPr>
            <w:r>
              <w:rPr>
                <w:rFonts w:ascii="Arial" w:hAnsi="Arial" w:cs="Arial"/>
                <w:color w:val="191919"/>
              </w:rPr>
              <w:t>团队情况</w:t>
            </w:r>
          </w:p>
        </w:tc>
        <w:tc>
          <w:tcPr>
            <w:tcW w:w="11004" w:type="dxa"/>
            <w:vAlign w:val="center"/>
          </w:tcPr>
          <w:p w14:paraId="67267762">
            <w:pPr>
              <w:pStyle w:val="2"/>
              <w:spacing w:before="0" w:beforeAutospacing="0" w:after="0" w:afterAutospacing="0" w:line="390" w:lineRule="atLeast"/>
              <w:jc w:val="center"/>
              <w:rPr>
                <w:rFonts w:ascii="Arial" w:hAnsi="Arial" w:cs="Arial"/>
                <w:color w:val="191919"/>
              </w:rPr>
            </w:pPr>
            <w:r>
              <w:rPr>
                <w:rFonts w:ascii="Arial" w:hAnsi="Arial" w:cs="Arial"/>
                <w:color w:val="191919"/>
              </w:rPr>
              <w:t>考察管理团队各成员的教育和工作背景、价值观念、擅长领域，成员的分工和业务互补情况；</w:t>
            </w:r>
            <w:r>
              <w:rPr>
                <w:rFonts w:hint="eastAsia" w:ascii="Arial" w:hAnsi="Arial" w:cs="Arial"/>
                <w:color w:val="191919"/>
              </w:rPr>
              <w:t>团队</w:t>
            </w:r>
            <w:r>
              <w:rPr>
                <w:rFonts w:ascii="Arial" w:hAnsi="Arial" w:cs="Arial"/>
                <w:color w:val="191919"/>
              </w:rPr>
              <w:t>的组织构架、人员配置安排是否科学；创业顾问，主要投资人和持股情况</w:t>
            </w:r>
            <w:r>
              <w:rPr>
                <w:rFonts w:hint="eastAsia" w:ascii="Arial" w:hAnsi="Arial" w:cs="Arial"/>
                <w:color w:val="191919"/>
              </w:rPr>
              <w:t>（如有）</w:t>
            </w:r>
            <w:r>
              <w:rPr>
                <w:rFonts w:ascii="Arial" w:hAnsi="Arial" w:cs="Arial"/>
                <w:color w:val="191919"/>
              </w:rPr>
              <w:t>；战略合作企业及其与本项目的关系，团队是否具有实现这种突破的具体方案和可能的资源基础。</w:t>
            </w:r>
          </w:p>
        </w:tc>
        <w:tc>
          <w:tcPr>
            <w:tcW w:w="1406" w:type="dxa"/>
            <w:vAlign w:val="center"/>
          </w:tcPr>
          <w:p w14:paraId="6DDE5D32">
            <w:pPr>
              <w:pStyle w:val="2"/>
              <w:spacing w:before="0" w:beforeAutospacing="0" w:after="0" w:afterAutospacing="0" w:line="390" w:lineRule="atLeast"/>
              <w:jc w:val="center"/>
              <w:rPr>
                <w:rFonts w:ascii="Arial" w:hAnsi="Arial" w:cs="Arial"/>
                <w:color w:val="191919"/>
              </w:rPr>
            </w:pPr>
            <w:r>
              <w:rPr>
                <w:rFonts w:ascii="Arial" w:hAnsi="Arial" w:cs="Arial"/>
                <w:color w:val="191919"/>
              </w:rPr>
              <w:t>30</w:t>
            </w:r>
          </w:p>
        </w:tc>
      </w:tr>
      <w:tr w14:paraId="62991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3" w:hRule="atLeast"/>
        </w:trPr>
        <w:tc>
          <w:tcPr>
            <w:tcW w:w="1406" w:type="dxa"/>
            <w:vAlign w:val="center"/>
          </w:tcPr>
          <w:p w14:paraId="306CA638">
            <w:pPr>
              <w:pStyle w:val="2"/>
              <w:spacing w:before="0" w:beforeAutospacing="0" w:after="0" w:afterAutospacing="0" w:line="390" w:lineRule="atLeast"/>
              <w:jc w:val="center"/>
              <w:rPr>
                <w:rFonts w:ascii="Arial" w:hAnsi="Arial" w:cs="Arial"/>
                <w:color w:val="191919"/>
              </w:rPr>
            </w:pPr>
            <w:r>
              <w:rPr>
                <w:rFonts w:ascii="Arial" w:hAnsi="Arial" w:cs="Arial"/>
                <w:color w:val="191919"/>
              </w:rPr>
              <w:t>商业性</w:t>
            </w:r>
          </w:p>
        </w:tc>
        <w:tc>
          <w:tcPr>
            <w:tcW w:w="11004" w:type="dxa"/>
            <w:vAlign w:val="center"/>
          </w:tcPr>
          <w:p w14:paraId="116613F2">
            <w:pPr>
              <w:pStyle w:val="2"/>
              <w:spacing w:before="0" w:beforeAutospacing="0" w:after="0" w:afterAutospacing="0" w:line="390" w:lineRule="atLeast"/>
              <w:jc w:val="center"/>
              <w:rPr>
                <w:rFonts w:ascii="Arial" w:hAnsi="Arial" w:cs="Arial"/>
                <w:color w:val="191919"/>
              </w:rPr>
            </w:pPr>
            <w:r>
              <w:rPr>
                <w:rFonts w:ascii="Arial" w:hAnsi="Arial" w:cs="Arial"/>
                <w:color w:val="191919"/>
              </w:rPr>
              <w:t>在商业模式方面，强调设计的完整性与可行性，完整地描述商业模式，评测其盈利能力推导过程的合理性。在机会识别与利用、竞争与合作、技术基础、产品或服务设计、资金及人员需求、现行法律法规限制等方面具有可行性。在调查研究方面，考察行业调查研究程度，项目市场、技术等调查工作是否形成一手资料，不鼓励文献调查，强调田野调查和实际操作检验。</w:t>
            </w:r>
          </w:p>
        </w:tc>
        <w:tc>
          <w:tcPr>
            <w:tcW w:w="1406" w:type="dxa"/>
            <w:vAlign w:val="center"/>
          </w:tcPr>
          <w:p w14:paraId="6ACA4C09">
            <w:pPr>
              <w:pStyle w:val="2"/>
              <w:spacing w:before="0" w:beforeAutospacing="0" w:after="0" w:afterAutospacing="0" w:line="390" w:lineRule="atLeast"/>
              <w:jc w:val="center"/>
              <w:rPr>
                <w:rFonts w:ascii="Arial" w:hAnsi="Arial" w:cs="Arial"/>
                <w:color w:val="191919"/>
              </w:rPr>
            </w:pPr>
            <w:r>
              <w:rPr>
                <w:rFonts w:ascii="Arial" w:hAnsi="Arial" w:cs="Arial"/>
                <w:color w:val="191919"/>
              </w:rPr>
              <w:t>25</w:t>
            </w:r>
          </w:p>
        </w:tc>
      </w:tr>
      <w:tr w14:paraId="6BD67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3" w:hRule="atLeast"/>
        </w:trPr>
        <w:tc>
          <w:tcPr>
            <w:tcW w:w="1406" w:type="dxa"/>
            <w:vAlign w:val="center"/>
          </w:tcPr>
          <w:p w14:paraId="7F482232">
            <w:pPr>
              <w:pStyle w:val="2"/>
              <w:spacing w:before="0" w:beforeAutospacing="0" w:after="0" w:afterAutospacing="0" w:line="390" w:lineRule="atLeast"/>
              <w:jc w:val="center"/>
              <w:rPr>
                <w:rFonts w:ascii="Arial" w:hAnsi="Arial" w:cs="Arial"/>
                <w:color w:val="191919"/>
              </w:rPr>
            </w:pPr>
            <w:r>
              <w:rPr>
                <w:rFonts w:ascii="Arial" w:hAnsi="Arial" w:cs="Arial"/>
                <w:color w:val="191919"/>
              </w:rPr>
              <w:t>带动就业前景</w:t>
            </w:r>
          </w:p>
        </w:tc>
        <w:tc>
          <w:tcPr>
            <w:tcW w:w="11004" w:type="dxa"/>
            <w:vAlign w:val="center"/>
          </w:tcPr>
          <w:p w14:paraId="3E64AB11">
            <w:pPr>
              <w:pStyle w:val="2"/>
              <w:spacing w:before="0" w:beforeAutospacing="0" w:after="0" w:afterAutospacing="0" w:line="390" w:lineRule="atLeast"/>
              <w:jc w:val="center"/>
              <w:rPr>
                <w:rFonts w:ascii="Arial" w:hAnsi="Arial" w:cs="Arial"/>
                <w:color w:val="191919"/>
              </w:rPr>
            </w:pPr>
            <w:r>
              <w:rPr>
                <w:rFonts w:ascii="Arial" w:hAnsi="Arial" w:cs="Arial"/>
                <w:color w:val="191919"/>
              </w:rPr>
              <w:t>综合考察项目发展战略和规模扩张策略的合理性和可行性，预判项目可能带动社会就业的能力。</w:t>
            </w:r>
          </w:p>
        </w:tc>
        <w:tc>
          <w:tcPr>
            <w:tcW w:w="1406" w:type="dxa"/>
            <w:vAlign w:val="center"/>
          </w:tcPr>
          <w:p w14:paraId="4735AA6E">
            <w:pPr>
              <w:pStyle w:val="2"/>
              <w:spacing w:before="0" w:beforeAutospacing="0" w:after="0" w:afterAutospacing="0" w:line="390" w:lineRule="atLeast"/>
              <w:jc w:val="center"/>
              <w:rPr>
                <w:rFonts w:ascii="Arial" w:hAnsi="Arial" w:cs="Arial"/>
                <w:color w:val="191919"/>
              </w:rPr>
            </w:pPr>
            <w:r>
              <w:rPr>
                <w:rFonts w:ascii="Arial" w:hAnsi="Arial" w:cs="Arial"/>
                <w:color w:val="191919"/>
              </w:rPr>
              <w:t>5</w:t>
            </w:r>
          </w:p>
        </w:tc>
      </w:tr>
    </w:tbl>
    <w:p w14:paraId="624DD390">
      <w:pPr>
        <w:widowControl/>
        <w:jc w:val="left"/>
        <w:rPr>
          <w:rFonts w:hint="eastAsia" w:ascii="仿宋" w:hAnsi="仿宋" w:eastAsia="仿宋" w:cs="仿宋"/>
          <w:b/>
          <w:bCs/>
          <w:color w:val="auto"/>
          <w:highlight w:val="none"/>
          <w:lang w:val="en-US" w:eastAsia="zh-CN"/>
        </w:rPr>
      </w:pPr>
      <w:r>
        <w:rPr>
          <w:rFonts w:hint="eastAsia" w:ascii="仿宋" w:hAnsi="仿宋" w:eastAsia="仿宋" w:cs="仿宋"/>
          <w:b/>
          <w:bCs/>
          <w:color w:val="FF0000"/>
          <w:highlight w:val="none"/>
          <w:lang w:val="en-US" w:eastAsia="zh-CN"/>
        </w:rPr>
        <w:t>*</w:t>
      </w:r>
      <w:r>
        <w:rPr>
          <w:rFonts w:hint="eastAsia" w:ascii="仿宋" w:hAnsi="仿宋" w:eastAsia="仿宋" w:cs="仿宋"/>
          <w:b/>
          <w:bCs/>
          <w:color w:val="auto"/>
          <w:highlight w:val="none"/>
          <w:lang w:val="en-US" w:eastAsia="zh-CN"/>
        </w:rPr>
        <w:t>参赛作品材料（计划书、答辩PPT等）中以任何形式出现学校名称、院系名称、参赛人姓名或指导教师名称的，均按</w:t>
      </w:r>
      <w:r>
        <w:rPr>
          <w:rFonts w:hint="eastAsia" w:ascii="仿宋" w:hAnsi="仿宋" w:eastAsia="仿宋" w:cs="仿宋"/>
          <w:b/>
          <w:bCs/>
          <w:color w:val="FF0000"/>
          <w:highlight w:val="none"/>
          <w:lang w:val="en-US" w:eastAsia="zh-CN"/>
        </w:rPr>
        <w:t>参赛违规</w:t>
      </w:r>
      <w:r>
        <w:rPr>
          <w:rFonts w:hint="eastAsia" w:ascii="仿宋" w:hAnsi="仿宋" w:eastAsia="仿宋" w:cs="仿宋"/>
          <w:b/>
          <w:bCs/>
          <w:color w:val="auto"/>
          <w:highlight w:val="none"/>
          <w:lang w:val="en-US" w:eastAsia="zh-CN"/>
        </w:rPr>
        <w:t>处理，计0分；</w:t>
      </w:r>
    </w:p>
    <w:p w14:paraId="3B9CCAA6">
      <w:pPr>
        <w:widowControl/>
        <w:jc w:val="left"/>
        <w:rPr>
          <w:rFonts w:hint="default" w:ascii="仿宋" w:hAnsi="仿宋" w:eastAsia="仿宋" w:cs="仿宋"/>
          <w:b/>
          <w:bCs/>
          <w:color w:val="auto"/>
          <w:highlight w:val="none"/>
          <w:lang w:val="en-US" w:eastAsia="zh-CN"/>
        </w:rPr>
      </w:pPr>
      <w:r>
        <w:rPr>
          <w:rFonts w:hint="eastAsia" w:ascii="仿宋" w:hAnsi="仿宋" w:eastAsia="仿宋" w:cs="仿宋"/>
          <w:b/>
          <w:bCs/>
          <w:color w:val="FF0000"/>
          <w:highlight w:val="none"/>
          <w:lang w:val="en-US" w:eastAsia="zh-CN"/>
        </w:rPr>
        <w:t>*</w:t>
      </w:r>
      <w:r>
        <w:rPr>
          <w:rFonts w:hint="eastAsia" w:ascii="仿宋" w:hAnsi="仿宋" w:eastAsia="仿宋" w:cs="仿宋"/>
          <w:b/>
          <w:bCs/>
          <w:color w:val="auto"/>
          <w:highlight w:val="none"/>
          <w:lang w:val="en-US" w:eastAsia="zh-CN"/>
        </w:rPr>
        <w:t>参赛作品应紧扣光电学科领域开展创意、创新、创业，应紧扣“光学”主题，强调光学技术应用、光电技术结合，作品中未体现光学技术应用的，按</w:t>
      </w:r>
      <w:r>
        <w:rPr>
          <w:rFonts w:hint="eastAsia" w:ascii="仿宋" w:hAnsi="仿宋" w:eastAsia="仿宋" w:cs="仿宋"/>
          <w:b/>
          <w:bCs/>
          <w:color w:val="FF0000"/>
          <w:highlight w:val="none"/>
          <w:lang w:val="en-US" w:eastAsia="zh-CN"/>
        </w:rPr>
        <w:t>偏离竞赛主题</w:t>
      </w:r>
      <w:r>
        <w:rPr>
          <w:rFonts w:hint="eastAsia" w:ascii="仿宋" w:hAnsi="仿宋" w:eastAsia="仿宋" w:cs="仿宋"/>
          <w:b/>
          <w:bCs/>
          <w:color w:val="auto"/>
          <w:highlight w:val="none"/>
          <w:lang w:val="en-US" w:eastAsia="zh-CN"/>
        </w:rPr>
        <w:t>处理，计0分；</w:t>
      </w:r>
    </w:p>
    <w:p w14:paraId="53A17AB2">
      <w:pPr>
        <w:widowControl/>
        <w:jc w:val="left"/>
      </w:pPr>
    </w:p>
    <w:p w14:paraId="70201792">
      <w:pPr>
        <w:jc w:val="center"/>
        <w:rPr>
          <w:rStyle w:val="6"/>
          <w:rFonts w:hint="eastAsia" w:ascii="方正小标宋简体" w:hAnsi="方正小标宋简体" w:eastAsia="方正小标宋简体" w:cs="方正小标宋简体"/>
          <w:b w:val="0"/>
          <w:bCs w:val="0"/>
          <w:color w:val="191919"/>
          <w:sz w:val="36"/>
          <w:szCs w:val="40"/>
          <w:shd w:val="clear" w:color="auto" w:fill="FFFFFF"/>
        </w:rPr>
      </w:pPr>
      <w:r>
        <w:rPr>
          <w:rStyle w:val="6"/>
          <w:rFonts w:hint="eastAsia" w:ascii="方正小标宋简体" w:hAnsi="方正小标宋简体" w:eastAsia="方正小标宋简体" w:cs="方正小标宋简体"/>
          <w:b w:val="0"/>
          <w:bCs w:val="0"/>
          <w:color w:val="191919"/>
          <w:sz w:val="36"/>
          <w:szCs w:val="40"/>
          <w:shd w:val="clear" w:color="auto" w:fill="FFFFFF"/>
        </w:rPr>
        <w:t>第十</w:t>
      </w:r>
      <w:r>
        <w:rPr>
          <w:rStyle w:val="6"/>
          <w:rFonts w:hint="eastAsia" w:ascii="方正小标宋简体" w:hAnsi="方正小标宋简体" w:eastAsia="方正小标宋简体" w:cs="方正小标宋简体"/>
          <w:b w:val="0"/>
          <w:bCs w:val="0"/>
          <w:color w:val="191919"/>
          <w:sz w:val="36"/>
          <w:szCs w:val="40"/>
          <w:shd w:val="clear" w:color="auto" w:fill="FFFFFF"/>
          <w:lang w:val="en-US" w:eastAsia="zh-CN"/>
        </w:rPr>
        <w:t>四</w:t>
      </w:r>
      <w:r>
        <w:rPr>
          <w:rStyle w:val="6"/>
          <w:rFonts w:hint="eastAsia" w:ascii="方正小标宋简体" w:hAnsi="方正小标宋简体" w:eastAsia="方正小标宋简体" w:cs="方正小标宋简体"/>
          <w:b w:val="0"/>
          <w:bCs w:val="0"/>
          <w:color w:val="191919"/>
          <w:sz w:val="36"/>
          <w:szCs w:val="40"/>
          <w:shd w:val="clear" w:color="auto" w:fill="FFFFFF"/>
        </w:rPr>
        <w:t>届全国大学生光电设计竞赛-初创组项目评审要点</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6"/>
        <w:gridCol w:w="11004"/>
        <w:gridCol w:w="1406"/>
      </w:tblGrid>
      <w:tr w14:paraId="4FDC7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406" w:type="dxa"/>
            <w:vAlign w:val="center"/>
          </w:tcPr>
          <w:p w14:paraId="77025875">
            <w:pPr>
              <w:pStyle w:val="2"/>
              <w:spacing w:before="0" w:beforeAutospacing="0" w:after="0" w:afterAutospacing="0" w:line="390" w:lineRule="atLeast"/>
              <w:jc w:val="center"/>
              <w:rPr>
                <w:rFonts w:ascii="Arial" w:hAnsi="Arial" w:cs="Arial"/>
                <w:color w:val="191919"/>
              </w:rPr>
            </w:pPr>
            <w:r>
              <w:rPr>
                <w:rStyle w:val="6"/>
                <w:rFonts w:ascii="Arial" w:hAnsi="Arial" w:cs="Arial"/>
                <w:color w:val="191919"/>
              </w:rPr>
              <w:t>评审要点</w:t>
            </w:r>
          </w:p>
        </w:tc>
        <w:tc>
          <w:tcPr>
            <w:tcW w:w="11004" w:type="dxa"/>
            <w:vAlign w:val="center"/>
          </w:tcPr>
          <w:p w14:paraId="065E55FC">
            <w:pPr>
              <w:pStyle w:val="2"/>
              <w:spacing w:before="0" w:beforeAutospacing="0" w:after="0" w:afterAutospacing="0" w:line="390" w:lineRule="atLeast"/>
              <w:jc w:val="center"/>
              <w:rPr>
                <w:rFonts w:ascii="Arial" w:hAnsi="Arial" w:cs="Arial"/>
                <w:color w:val="191919"/>
              </w:rPr>
            </w:pPr>
            <w:r>
              <w:rPr>
                <w:rStyle w:val="6"/>
                <w:rFonts w:ascii="Arial" w:hAnsi="Arial" w:cs="Arial"/>
                <w:color w:val="191919"/>
              </w:rPr>
              <w:t>评审内容</w:t>
            </w:r>
          </w:p>
        </w:tc>
        <w:tc>
          <w:tcPr>
            <w:tcW w:w="1406" w:type="dxa"/>
            <w:vAlign w:val="center"/>
          </w:tcPr>
          <w:p w14:paraId="4F64A086">
            <w:pPr>
              <w:pStyle w:val="2"/>
              <w:spacing w:before="0" w:beforeAutospacing="0" w:after="0" w:afterAutospacing="0" w:line="390" w:lineRule="atLeast"/>
              <w:jc w:val="center"/>
              <w:rPr>
                <w:rFonts w:ascii="Arial" w:hAnsi="Arial" w:cs="Arial"/>
                <w:color w:val="191919"/>
              </w:rPr>
            </w:pPr>
            <w:r>
              <w:rPr>
                <w:rStyle w:val="6"/>
                <w:rFonts w:ascii="Arial" w:hAnsi="Arial" w:cs="Arial"/>
                <w:color w:val="191919"/>
              </w:rPr>
              <w:t>分值</w:t>
            </w:r>
          </w:p>
        </w:tc>
      </w:tr>
      <w:tr w14:paraId="15F55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0" w:hRule="atLeast"/>
        </w:trPr>
        <w:tc>
          <w:tcPr>
            <w:tcW w:w="1406" w:type="dxa"/>
            <w:vAlign w:val="center"/>
          </w:tcPr>
          <w:p w14:paraId="55F085C2">
            <w:pPr>
              <w:pStyle w:val="2"/>
              <w:spacing w:before="0" w:beforeAutospacing="0" w:after="0" w:afterAutospacing="0" w:line="390" w:lineRule="atLeast"/>
              <w:jc w:val="center"/>
              <w:rPr>
                <w:rFonts w:ascii="Arial" w:hAnsi="Arial" w:cs="Arial"/>
                <w:color w:val="191919"/>
              </w:rPr>
            </w:pPr>
            <w:r>
              <w:rPr>
                <w:rFonts w:ascii="Arial" w:hAnsi="Arial" w:cs="Arial"/>
                <w:color w:val="191919"/>
              </w:rPr>
              <w:t>商业性</w:t>
            </w:r>
          </w:p>
        </w:tc>
        <w:tc>
          <w:tcPr>
            <w:tcW w:w="11004" w:type="dxa"/>
            <w:vAlign w:val="center"/>
          </w:tcPr>
          <w:p w14:paraId="5EE26E33">
            <w:pPr>
              <w:pStyle w:val="2"/>
              <w:spacing w:before="0" w:beforeAutospacing="0" w:after="0" w:afterAutospacing="0" w:line="390" w:lineRule="atLeast"/>
              <w:jc w:val="center"/>
              <w:rPr>
                <w:rFonts w:ascii="Arial" w:hAnsi="Arial" w:cs="Arial"/>
                <w:color w:val="191919"/>
              </w:rPr>
            </w:pPr>
            <w:r>
              <w:rPr>
                <w:rFonts w:ascii="Arial" w:hAnsi="Arial" w:cs="Arial"/>
                <w:color w:val="191919"/>
              </w:rPr>
              <w:t>在经营绩效方面，重点考察项目存续时间、项目的营业收入、税收上缴、持续盈利能力、市场份额等情况；以及结合项目特点制定合适的市场营销策略，带来良性的业务利润、总资产收益、净资产收益、销售收入增长、投资与产出比等情况。在成长性方面，重点考察项目目标市场容量大小及可扩展性以及该项目是否有合适的计划和可能性（包括人力资源、资金、技术等方面）支持其未来5年的高速成长。在商业模式方面，强调项目设计的完整性与可行性，并给出完整的商业模式描述，以及在机会识别与利用、竞争与合作、技术基础、产品或服务设计、资金及人员需求、现行法律法规限制等方面需具有可行性。在融资方面，强调融资需求及资金使用规划。</w:t>
            </w:r>
          </w:p>
        </w:tc>
        <w:tc>
          <w:tcPr>
            <w:tcW w:w="1406" w:type="dxa"/>
            <w:vAlign w:val="center"/>
          </w:tcPr>
          <w:p w14:paraId="473B8AFF">
            <w:pPr>
              <w:pStyle w:val="2"/>
              <w:spacing w:before="0" w:beforeAutospacing="0" w:after="0" w:afterAutospacing="0" w:line="390" w:lineRule="atLeast"/>
              <w:jc w:val="center"/>
              <w:rPr>
                <w:rFonts w:ascii="Arial" w:hAnsi="Arial" w:cs="Arial"/>
                <w:color w:val="191919"/>
              </w:rPr>
            </w:pPr>
            <w:r>
              <w:rPr>
                <w:rFonts w:ascii="Arial" w:hAnsi="Arial" w:cs="Arial"/>
                <w:color w:val="191919"/>
              </w:rPr>
              <w:t>40</w:t>
            </w:r>
          </w:p>
        </w:tc>
      </w:tr>
      <w:tr w14:paraId="18081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4" w:hRule="atLeast"/>
        </w:trPr>
        <w:tc>
          <w:tcPr>
            <w:tcW w:w="1406" w:type="dxa"/>
            <w:vAlign w:val="center"/>
          </w:tcPr>
          <w:p w14:paraId="00023225">
            <w:pPr>
              <w:pStyle w:val="2"/>
              <w:spacing w:before="0" w:beforeAutospacing="0" w:after="0" w:afterAutospacing="0" w:line="390" w:lineRule="atLeast"/>
              <w:jc w:val="center"/>
              <w:rPr>
                <w:rFonts w:ascii="Arial" w:hAnsi="Arial" w:cs="Arial"/>
                <w:color w:val="191919"/>
              </w:rPr>
            </w:pPr>
            <w:r>
              <w:rPr>
                <w:rFonts w:ascii="Arial" w:hAnsi="Arial" w:cs="Arial"/>
                <w:color w:val="191919"/>
              </w:rPr>
              <w:t>团队情况</w:t>
            </w:r>
          </w:p>
        </w:tc>
        <w:tc>
          <w:tcPr>
            <w:tcW w:w="11004" w:type="dxa"/>
            <w:vAlign w:val="center"/>
          </w:tcPr>
          <w:p w14:paraId="26756536">
            <w:pPr>
              <w:pStyle w:val="2"/>
              <w:spacing w:before="0" w:beforeAutospacing="0" w:after="0" w:afterAutospacing="0" w:line="390" w:lineRule="atLeast"/>
              <w:jc w:val="center"/>
              <w:rPr>
                <w:rFonts w:ascii="Arial" w:hAnsi="Arial" w:cs="Arial"/>
                <w:color w:val="191919"/>
              </w:rPr>
            </w:pPr>
            <w:r>
              <w:rPr>
                <w:rFonts w:ascii="Arial" w:hAnsi="Arial" w:cs="Arial"/>
                <w:color w:val="191919"/>
              </w:rPr>
              <w:t>主要考察管理团队各成员有关的教育和工作背景、价值观念、擅长领域，成员的分工和业务互补情况；公司的组织构架、人员配置以及领导层成员；创业顾问，主要投资人和持股情况；战略合作企业及其与本项目的关系。</w:t>
            </w:r>
          </w:p>
        </w:tc>
        <w:tc>
          <w:tcPr>
            <w:tcW w:w="1406" w:type="dxa"/>
            <w:vAlign w:val="center"/>
          </w:tcPr>
          <w:p w14:paraId="33455714">
            <w:pPr>
              <w:pStyle w:val="2"/>
              <w:spacing w:before="0" w:beforeAutospacing="0" w:after="0" w:afterAutospacing="0" w:line="390" w:lineRule="atLeast"/>
              <w:jc w:val="center"/>
              <w:rPr>
                <w:rFonts w:ascii="Arial" w:hAnsi="Arial" w:cs="Arial"/>
                <w:color w:val="191919"/>
              </w:rPr>
            </w:pPr>
            <w:r>
              <w:rPr>
                <w:rFonts w:ascii="Arial" w:hAnsi="Arial" w:cs="Arial"/>
                <w:color w:val="191919"/>
              </w:rPr>
              <w:t>30</w:t>
            </w:r>
          </w:p>
        </w:tc>
      </w:tr>
      <w:tr w14:paraId="70CC1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1406" w:type="dxa"/>
            <w:vAlign w:val="center"/>
          </w:tcPr>
          <w:p w14:paraId="5AEC4E4A">
            <w:pPr>
              <w:pStyle w:val="2"/>
              <w:spacing w:before="0" w:beforeAutospacing="0" w:after="0" w:afterAutospacing="0" w:line="390" w:lineRule="atLeast"/>
              <w:jc w:val="center"/>
              <w:rPr>
                <w:rFonts w:ascii="Arial" w:hAnsi="Arial" w:cs="Arial"/>
                <w:color w:val="191919"/>
              </w:rPr>
            </w:pPr>
            <w:r>
              <w:rPr>
                <w:rFonts w:ascii="Arial" w:hAnsi="Arial" w:cs="Arial"/>
                <w:color w:val="191919"/>
              </w:rPr>
              <w:t>创新性</w:t>
            </w:r>
          </w:p>
        </w:tc>
        <w:tc>
          <w:tcPr>
            <w:tcW w:w="11004" w:type="dxa"/>
            <w:vAlign w:val="center"/>
          </w:tcPr>
          <w:p w14:paraId="428EC59D">
            <w:pPr>
              <w:pStyle w:val="2"/>
              <w:spacing w:before="0" w:beforeAutospacing="0" w:after="0" w:afterAutospacing="0" w:line="390" w:lineRule="atLeast"/>
              <w:jc w:val="center"/>
              <w:rPr>
                <w:rFonts w:ascii="Arial" w:hAnsi="Arial" w:cs="Arial"/>
                <w:color w:val="191919"/>
              </w:rPr>
            </w:pPr>
            <w:r>
              <w:rPr>
                <w:rFonts w:ascii="Arial" w:hAnsi="Arial" w:cs="Arial"/>
                <w:color w:val="191919"/>
              </w:rPr>
              <w:t>突出原始创意的价值，不鼓励模仿。强调</w:t>
            </w:r>
            <w:r>
              <w:rPr>
                <w:rFonts w:hint="eastAsia" w:ascii="Arial" w:hAnsi="Arial" w:cs="Arial"/>
                <w:color w:val="191919"/>
              </w:rPr>
              <w:t>结合</w:t>
            </w:r>
            <w:r>
              <w:rPr>
                <w:rFonts w:ascii="Arial" w:hAnsi="Arial" w:cs="Arial"/>
                <w:color w:val="191919"/>
              </w:rPr>
              <w:t>光电知识，利用互联网技术、方法、思维在销售、研发、生产、物流、信息、人力、管理等方面寻求突破和创新。鼓励项目与高校科技成果转移转化相结合。</w:t>
            </w:r>
          </w:p>
        </w:tc>
        <w:tc>
          <w:tcPr>
            <w:tcW w:w="1406" w:type="dxa"/>
            <w:vAlign w:val="center"/>
          </w:tcPr>
          <w:p w14:paraId="3750F358">
            <w:pPr>
              <w:pStyle w:val="2"/>
              <w:spacing w:before="0" w:beforeAutospacing="0" w:after="0" w:afterAutospacing="0" w:line="390" w:lineRule="atLeast"/>
              <w:jc w:val="center"/>
              <w:rPr>
                <w:rFonts w:ascii="Arial" w:hAnsi="Arial" w:cs="Arial"/>
                <w:color w:val="191919"/>
              </w:rPr>
            </w:pPr>
            <w:r>
              <w:rPr>
                <w:rFonts w:ascii="Arial" w:hAnsi="Arial" w:cs="Arial"/>
                <w:color w:val="191919"/>
              </w:rPr>
              <w:t>20</w:t>
            </w:r>
          </w:p>
        </w:tc>
      </w:tr>
      <w:tr w14:paraId="2EADC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9" w:hRule="atLeast"/>
        </w:trPr>
        <w:tc>
          <w:tcPr>
            <w:tcW w:w="1406" w:type="dxa"/>
            <w:vAlign w:val="center"/>
          </w:tcPr>
          <w:p w14:paraId="1AA8170E">
            <w:pPr>
              <w:pStyle w:val="2"/>
              <w:spacing w:before="0" w:beforeAutospacing="0" w:after="0" w:afterAutospacing="0" w:line="390" w:lineRule="atLeast"/>
              <w:jc w:val="center"/>
              <w:rPr>
                <w:rFonts w:ascii="Arial" w:hAnsi="Arial" w:cs="Arial"/>
                <w:color w:val="191919"/>
              </w:rPr>
            </w:pPr>
            <w:r>
              <w:rPr>
                <w:rFonts w:ascii="Arial" w:hAnsi="Arial" w:cs="Arial"/>
                <w:color w:val="191919"/>
              </w:rPr>
              <w:t>带动就业情况</w:t>
            </w:r>
          </w:p>
        </w:tc>
        <w:tc>
          <w:tcPr>
            <w:tcW w:w="11004" w:type="dxa"/>
            <w:vAlign w:val="center"/>
          </w:tcPr>
          <w:p w14:paraId="4BB71FD0">
            <w:pPr>
              <w:pStyle w:val="2"/>
              <w:spacing w:before="0" w:beforeAutospacing="0" w:after="0" w:afterAutospacing="0" w:line="390" w:lineRule="atLeast"/>
              <w:jc w:val="center"/>
              <w:rPr>
                <w:rFonts w:ascii="Arial" w:hAnsi="Arial" w:cs="Arial"/>
                <w:color w:val="191919"/>
              </w:rPr>
            </w:pPr>
            <w:r>
              <w:rPr>
                <w:rFonts w:ascii="Arial" w:hAnsi="Arial" w:cs="Arial"/>
                <w:color w:val="191919"/>
              </w:rPr>
              <w:t>考察项目增加社会就业份额，发展战略和扩张的策略合理性，上下产业链的密切程度和带动效率、其他社会效益。</w:t>
            </w:r>
          </w:p>
        </w:tc>
        <w:tc>
          <w:tcPr>
            <w:tcW w:w="1406" w:type="dxa"/>
            <w:vAlign w:val="center"/>
          </w:tcPr>
          <w:p w14:paraId="33AACB11">
            <w:pPr>
              <w:pStyle w:val="2"/>
              <w:spacing w:before="0" w:beforeAutospacing="0" w:after="0" w:afterAutospacing="0" w:line="390" w:lineRule="atLeast"/>
              <w:jc w:val="center"/>
              <w:rPr>
                <w:rFonts w:ascii="Arial" w:hAnsi="Arial" w:cs="Arial"/>
                <w:color w:val="191919"/>
              </w:rPr>
            </w:pPr>
            <w:r>
              <w:rPr>
                <w:rFonts w:ascii="Arial" w:hAnsi="Arial" w:cs="Arial"/>
                <w:color w:val="191919"/>
              </w:rPr>
              <w:t>10</w:t>
            </w:r>
          </w:p>
        </w:tc>
      </w:tr>
    </w:tbl>
    <w:p w14:paraId="1958E555">
      <w:pPr>
        <w:widowControl/>
        <w:jc w:val="left"/>
        <w:rPr>
          <w:rFonts w:hint="default" w:ascii="仿宋" w:hAnsi="仿宋" w:eastAsia="仿宋" w:cs="仿宋"/>
          <w:b/>
          <w:bCs/>
          <w:color w:val="auto"/>
          <w:highlight w:val="none"/>
          <w:lang w:val="en-US" w:eastAsia="zh-CN"/>
        </w:rPr>
      </w:pPr>
      <w:r>
        <w:rPr>
          <w:rFonts w:hint="eastAsia" w:ascii="仿宋" w:hAnsi="仿宋" w:eastAsia="仿宋" w:cs="仿宋"/>
          <w:b/>
          <w:bCs/>
          <w:color w:val="FF0000"/>
          <w:highlight w:val="none"/>
          <w:lang w:val="en-US" w:eastAsia="zh-CN"/>
        </w:rPr>
        <w:t>*</w:t>
      </w:r>
      <w:r>
        <w:rPr>
          <w:rFonts w:hint="eastAsia" w:ascii="仿宋" w:hAnsi="仿宋" w:eastAsia="仿宋" w:cs="仿宋"/>
          <w:b/>
          <w:bCs/>
          <w:color w:val="auto"/>
          <w:highlight w:val="none"/>
          <w:lang w:val="en-US" w:eastAsia="zh-CN"/>
        </w:rPr>
        <w:t>参赛作品应紧扣光电学科领域开展创意、创新、创业，应紧扣“光学”主题，强调光学技术应用、光电技术结合，作品中未体现光学技术应用的，</w:t>
      </w:r>
      <w:r>
        <w:rPr>
          <w:rFonts w:hint="eastAsia" w:ascii="仿宋" w:hAnsi="仿宋" w:eastAsia="仿宋" w:cs="仿宋"/>
          <w:b/>
          <w:bCs/>
          <w:color w:val="FF0000"/>
          <w:highlight w:val="none"/>
          <w:lang w:val="en-US" w:eastAsia="zh-CN"/>
        </w:rPr>
        <w:t>按偏离竞赛主题处理，计0分</w:t>
      </w:r>
      <w:r>
        <w:rPr>
          <w:rFonts w:hint="eastAsia" w:ascii="仿宋" w:hAnsi="仿宋" w:eastAsia="仿宋" w:cs="仿宋"/>
          <w:b/>
          <w:bCs/>
          <w:color w:val="auto"/>
          <w:highlight w:val="none"/>
          <w:lang w:val="en-US" w:eastAsia="zh-CN"/>
        </w:rPr>
        <w:t>；</w:t>
      </w:r>
    </w:p>
    <w:p w14:paraId="136E502E">
      <w:pPr>
        <w:rPr>
          <w:rFonts w:hint="eastAsia"/>
        </w:rPr>
      </w:pPr>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altName w:val="方正舒体"/>
    <w:panose1 w:val="03000509000000000000"/>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BE25B2F9">
    <w:panose1 w:val="0201060103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0MTFlMDcyY2ZkZGNjMGY3ZWJhZGJhNTUzMmM4ZTgifQ=="/>
  </w:docVars>
  <w:rsids>
    <w:rsidRoot w:val="007E039E"/>
    <w:rsid w:val="00174D78"/>
    <w:rsid w:val="005F0BAB"/>
    <w:rsid w:val="007E039E"/>
    <w:rsid w:val="008C7534"/>
    <w:rsid w:val="00AA42FD"/>
    <w:rsid w:val="00B97354"/>
    <w:rsid w:val="00D77D4C"/>
    <w:rsid w:val="00DA194F"/>
    <w:rsid w:val="00F10D93"/>
    <w:rsid w:val="0564686E"/>
    <w:rsid w:val="070C35F8"/>
    <w:rsid w:val="12F66F48"/>
    <w:rsid w:val="382D1ABB"/>
    <w:rsid w:val="394E0F3B"/>
    <w:rsid w:val="39844866"/>
    <w:rsid w:val="3F66783A"/>
    <w:rsid w:val="436D693B"/>
    <w:rsid w:val="53E002F2"/>
    <w:rsid w:val="5AA463B9"/>
    <w:rsid w:val="62F00E5A"/>
    <w:rsid w:val="730A5D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autoRedefine/>
    <w:semiHidden/>
    <w:unhideWhenUsed/>
    <w:qFormat/>
    <w:uiPriority w:val="1"/>
  </w:style>
  <w:style w:type="table" w:default="1" w:styleId="3">
    <w:name w:val="Normal Table"/>
    <w:autoRedefine/>
    <w:semiHidden/>
    <w:unhideWhenUsed/>
    <w:qFormat/>
    <w:uiPriority w:val="99"/>
    <w:tblPr>
      <w:tblCellMar>
        <w:top w:w="0" w:type="dxa"/>
        <w:left w:w="108" w:type="dxa"/>
        <w:bottom w:w="0" w:type="dxa"/>
        <w:right w:w="108" w:type="dxa"/>
      </w:tblCellMar>
    </w:tblPr>
  </w:style>
  <w:style w:type="paragraph" w:styleId="2">
    <w:name w:val="Normal (Web)"/>
    <w:basedOn w:val="1"/>
    <w:autoRedefine/>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4">
    <w:name w:val="Table Grid"/>
    <w:basedOn w:val="3"/>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autoRedefine/>
    <w:qFormat/>
    <w:uiPriority w:val="22"/>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1276</Words>
  <Characters>1286</Characters>
  <Lines>7</Lines>
  <Paragraphs>2</Paragraphs>
  <TotalTime>15</TotalTime>
  <ScaleCrop>false</ScaleCrop>
  <LinksUpToDate>false</LinksUpToDate>
  <CharactersWithSpaces>1286</CharactersWithSpaces>
  <Application>WPS Office_12.1.0.25835_F1E327BC-269C-435d-A152-05C5408002CA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2019-04-24T15:32:00Z</dcterms:created>
  <dc:creator>Tao</dc:creator>
  <cp:lastModifiedBy>李想</cp:lastModifiedBy>
  <dcterms:modified xsi:type="dcterms:W3CDTF">2026-04-03T03:23:57Z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2052-12.1.0.25835</vt:lpwstr>
  </property>
  <property fmtid="{D5CDD505-2E9C-101B-9397-08002B2CF9AE}" pid="3" name="ICV">
    <vt:lpwstr>9A4DE8AFADE34EE7A283373230EF6DBF_12</vt:lpwstr>
  </property>
  <property fmtid="{D5CDD505-2E9C-101B-9397-08002B2CF9AE}" pid="4" name="KSOTemplateDocerSaveRecord">
    <vt:lpwstr>eyJoZGlkIjoiMjAzNjM0ZTJiNzJkNWQ1YmQyYTM2MWYyM2JlNTE1NjAiLCJ1c2VySWQiOiIyNTE3NzU2MTAifQ==</vt:lpwstr>
  </property>
</Properties>
</file>