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D8FDD">
      <w:pPr>
        <w:pStyle w:val="4"/>
      </w:pPr>
      <w:bookmarkStart w:id="0" w:name="三技术方案"/>
      <w:r>
        <w:rPr>
          <w:rFonts w:hint="eastAsia"/>
        </w:rPr>
        <w:t>三、技术方案</w:t>
      </w:r>
    </w:p>
    <w:p w14:paraId="1F4E86B9">
      <w:pPr>
        <w:pStyle w:val="5"/>
      </w:pPr>
      <w:bookmarkStart w:id="1" w:name="总体技术路线"/>
      <w:r>
        <w:t xml:space="preserve">3.1 </w:t>
      </w:r>
      <w:r>
        <w:rPr>
          <w:rFonts w:hint="eastAsia"/>
        </w:rPr>
        <w:t>总体技术路线</w:t>
      </w:r>
    </w:p>
    <w:p w14:paraId="09E7FA07">
      <w:pPr>
        <w:pStyle w:val="24"/>
      </w:pPr>
      <w:r>
        <w:rPr>
          <w:rFonts w:hint="eastAsia"/>
          <w:b/>
          <w:bCs/>
        </w:rPr>
        <w:t>核心定位：以普通RGB显微图像为单一输入，在不依赖昂贵偏振相机的条件下，通过”物理仿真+深度学习+智能识别”三级级联，实现对95类微藻的高精度原位检测与浓度预警。</w:t>
      </w:r>
    </w:p>
    <w:p w14:paraId="5C2504DF">
      <w:pPr>
        <w:pStyle w:val="3"/>
        <w:rPr>
          <w:rFonts w:hint="eastAsia"/>
        </w:rPr>
      </w:pPr>
      <w:r>
        <w:rPr>
          <w:rFonts w:hint="eastAsia"/>
        </w:rPr>
        <w:t>传统方案存在两条极端路线：一是依赖人工镜检，“看得到但极慢”；二是依赖进口浮游生物成像仪，“看得清但百万级用不起”。「藻影知微」在这两条路线之间，开辟了第三条道路——利用光电偏振原理，从普通RGB图像中物理仿真偏振信息，以不到三万的低成本实现国产化升维打击。</w:t>
      </w:r>
    </w:p>
    <w:p w14:paraId="4F0D8336">
      <w:pPr>
        <w:pStyle w:val="3"/>
        <w:rPr>
          <w:rFonts w:hint="eastAsia"/>
          <w:color w:val="FF0000"/>
          <w:lang w:val="en-US" w:eastAsia="zh-CN"/>
        </w:rPr>
      </w:pPr>
      <w:r>
        <w:rPr>
          <w:rFonts w:hint="eastAsia"/>
          <w:color w:val="FF0000"/>
          <w:lang w:val="en-US" w:eastAsia="zh-CN"/>
        </w:rPr>
        <w:t>参考论文：HSV，但是HSV不太适用于暗场的灰度图，严谨来说是灰度图</w:t>
      </w:r>
    </w:p>
    <w:p w14:paraId="56966BA3">
      <w:pPr>
        <w:pStyle w:val="3"/>
        <w:rPr>
          <w:rFonts w:hint="eastAsia"/>
          <w:color w:val="FF0000"/>
          <w:lang w:val="en-US" w:eastAsia="zh-CN"/>
        </w:rPr>
      </w:pPr>
      <w:r>
        <w:rPr>
          <w:rFonts w:hint="eastAsia"/>
          <w:color w:val="FF0000"/>
          <w:lang w:val="en-US" w:eastAsia="zh-CN"/>
        </w:rPr>
        <w:t>这里问老师吧</w:t>
      </w:r>
    </w:p>
    <w:p w14:paraId="6544DED3">
      <w:pPr>
        <w:pStyle w:val="3"/>
        <w:rPr>
          <w:rFonts w:hint="default"/>
          <w:color w:val="FF0000"/>
          <w:lang w:val="en-US" w:eastAsia="zh-CN"/>
        </w:rPr>
      </w:pPr>
      <w:r>
        <w:rPr>
          <w:rFonts w:hint="eastAsia"/>
          <w:color w:val="FF0000"/>
          <w:lang w:val="en-US" w:eastAsia="zh-CN"/>
        </w:rPr>
        <w:t>结构张量就适合于灰度图</w:t>
      </w:r>
    </w:p>
    <w:p w14:paraId="6CBD6960">
      <w:pPr>
        <w:pStyle w:val="3"/>
      </w:pPr>
      <w:r>
        <w:rPr>
          <w:rFonts w:hint="eastAsia"/>
        </w:rPr>
        <w:t>系统采用端到端验证的五阶段不可变管线，每一阶段均为物理可解释的确定性计算，不依赖黑箱式端到端模型：</w:t>
      </w:r>
    </w:p>
    <w:p w14:paraId="4466CBAA">
      <w:pPr>
        <w:pStyle w:val="3"/>
      </w:pPr>
      <m:oMathPara>
        <m:oMathParaPr>
          <m:jc m:val="center"/>
        </m:oMathParaPr>
        <m:oMath>
          <m:r>
            <m:rPr>
              <m:nor/>
              <m:sty m:val="p"/>
            </m:rPr>
            <w:rPr>
              <w:b w:val="0"/>
              <w:i w:val="0"/>
            </w:rPr>
            <m:t>普通显微RGB原图</m:t>
          </m:r>
          <m:r>
            <m:rPr>
              <m:nor/>
              <m:sty m:val="p"/>
            </m:rPr>
            <w:rPr>
              <w:b w:val="0"/>
              <w:i w:val="0"/>
            </w:rPr>
            <m:t>→</m:t>
          </m:r>
          <m:r>
            <m:rPr>
              <m:nor/>
              <m:sty m:val="p"/>
            </m:rPr>
            <w:rPr>
              <w:b w:val="0"/>
              <w:i w:val="0"/>
            </w:rPr>
            <m:t>结构张量偏振模拟</m:t>
          </m:r>
          <m:r>
            <m:rPr>
              <m:nor/>
              <m:sty m:val="p"/>
            </m:rPr>
            <w:rPr>
              <w:b w:val="0"/>
              <w:i w:val="0"/>
            </w:rPr>
            <m:t>→</m:t>
          </m:r>
          <m:r>
            <m:rPr>
              <m:nor/>
              <m:sty m:val="p"/>
            </m:rPr>
            <w:rPr>
              <w:b w:val="0"/>
              <w:i w:val="0"/>
            </w:rPr>
            <m:t>RDN偏振重建</m:t>
          </m:r>
          <m:r>
            <m:rPr>
              <m:nor/>
              <m:sty m:val="p"/>
            </m:rPr>
            <w:rPr>
              <w:b w:val="0"/>
              <w:i w:val="0"/>
            </w:rPr>
            <m:t>→</m:t>
          </m:r>
          <m:sSub>
            <m:sSubPr/>
            <m:e>
              <m:r>
                <m:rPr/>
                <m:t>I</m:t>
              </m:r>
            </m:e>
            <m:sub>
              <m:r>
                <m:rPr>
                  <m:nor/>
                  <m:sty m:val="p"/>
                </m:rPr>
                <w:rPr>
                  <w:b w:val="0"/>
                  <w:i w:val="0"/>
                </w:rPr>
                <m:t>enh v2</m:t>
              </m:r>
            </m:sub>
          </m:sSub>
          <m:r>
            <m:rPr>
              <m:nor/>
              <m:sty m:val="p"/>
            </m:rPr>
            <w:rPr>
              <w:b w:val="0"/>
              <w:i w:val="0"/>
            </w:rPr>
            <m:t>去散射增强</m:t>
          </m:r>
          <m:r>
            <m:rPr>
              <m:nor/>
              <m:sty m:val="p"/>
            </m:rPr>
            <w:rPr>
              <w:b w:val="0"/>
              <w:i w:val="0"/>
            </w:rPr>
            <m:t>→</m:t>
          </m:r>
          <m:r>
            <m:rPr>
              <m:nor/>
              <m:sty m:val="p"/>
            </m:rPr>
            <w:rPr>
              <w:b w:val="0"/>
              <w:i w:val="0"/>
            </w:rPr>
            <m:t>YOLOv8s检测(95类)</m:t>
          </m:r>
        </m:oMath>
      </m:oMathPara>
    </w:p>
    <w:p w14:paraId="7FFAE239">
      <w:pPr>
        <w:pStyle w:val="24"/>
        <w:rPr>
          <w:rFonts w:hint="eastAsia"/>
        </w:rPr>
      </w:pPr>
      <w:r>
        <w:rPr>
          <w:rFonts w:hint="eastAsia"/>
          <w:b/>
          <w:bCs/>
        </w:rPr>
        <w:t>阶段一</w:t>
      </w:r>
      <w:r>
        <w:rPr>
          <w:rFonts w:hint="eastAsia"/>
        </w:rPr>
        <w:t>，结构张量偏振物理仿真：对普通RGB显微图像，利用结构张量（Structure</w:t>
      </w:r>
      <w:r>
        <w:t xml:space="preserve"> </w:t>
      </w:r>
      <w:r>
        <w:rPr>
          <w:rFonts w:hint="eastAsia"/>
        </w:rPr>
        <w:t>Tensor）提取局部梯度主方向与各向异性，结合Malus定律物理仿真合成四个偏振通道（I0、I45、I90、I135）。此阶段彻底摆脱了对昂贵DoFP偏振相机的硬件依赖，是系统”用得起”的物理基石。</w:t>
      </w:r>
    </w:p>
    <w:p w14:paraId="2B863500">
      <w:pPr>
        <w:pStyle w:val="3"/>
        <w:rPr>
          <w:rFonts w:hint="default" w:eastAsiaTheme="minorEastAsia"/>
          <w:color w:val="FF0000"/>
          <w:lang w:val="en-US" w:eastAsia="zh-CN"/>
        </w:rPr>
      </w:pPr>
      <w:r>
        <w:rPr>
          <w:rFonts w:hint="eastAsia"/>
          <w:color w:val="FF0000"/>
          <w:lang w:val="en-US" w:eastAsia="zh-CN"/>
        </w:rPr>
        <w:t>这里的话，写在ppt上的，就直接去参考那篇论文</w:t>
      </w:r>
    </w:p>
    <w:p w14:paraId="59445DE5">
      <w:pPr>
        <w:pStyle w:val="3"/>
      </w:pPr>
      <w:r>
        <w:rPr>
          <w:rFonts w:hint="eastAsia"/>
          <w:b/>
          <w:bCs/>
        </w:rPr>
        <w:t>阶段二</w:t>
      </w:r>
      <w:r>
        <w:rPr>
          <w:rFonts w:hint="eastAsia"/>
        </w:rPr>
        <w:t>，RDN残差稠密网络偏振重建：将四通道仿真偏振输入一个</w:t>
      </w:r>
      <w:commentRangeStart w:id="0"/>
      <w:r>
        <w:rPr>
          <w:rFonts w:hint="eastAsia"/>
        </w:rPr>
        <w:t>仅有0.6M参数</w:t>
      </w:r>
      <w:commentRangeEnd w:id="0"/>
      <w:r>
        <w:commentReference w:id="0"/>
      </w:r>
      <w:r>
        <w:rPr>
          <w:rFonts w:hint="eastAsia"/>
        </w:rPr>
        <w:t>的超轻量RDN网络，实现无损超分辨率偏振信息重建。该网络通过12个残差稠密块（Residual</w:t>
      </w:r>
      <w:r>
        <w:t xml:space="preserve"> Dense </w:t>
      </w:r>
      <w:r>
        <w:rPr>
          <w:rFonts w:hint="eastAsia"/>
        </w:rPr>
        <w:t>Block）级联，将多层卷积与稠密连接相结合，在极低参数量下捕获微藻细胞壁边界、鞭毛纹理和群体轮廓等极微弱高频信息。</w:t>
      </w:r>
    </w:p>
    <w:p w14:paraId="6A5C7FB3">
      <w:pPr>
        <w:pStyle w:val="3"/>
      </w:pPr>
      <w:r>
        <w:rPr>
          <w:rFonts w:hint="eastAsia"/>
          <w:b/>
          <w:bCs/>
        </w:rPr>
        <w:t>阶段三</w:t>
      </w:r>
      <w:r>
        <w:rPr>
          <w:rFonts w:hint="eastAsia"/>
        </w:rPr>
        <w:t>，I_enh</w:t>
      </w:r>
      <w:r>
        <w:t xml:space="preserve"> </w:t>
      </w:r>
      <w:r>
        <w:rPr>
          <w:rFonts w:hint="eastAsia"/>
        </w:rPr>
        <w:t>v2去散射物理增强：基于Stokes矢量（S0、S1、S2）和偏振特征参量（DoLP、AoP），采用物理补偿机制</w:t>
      </w:r>
      <w:r>
        <w:rPr>
          <w:rFonts w:hint="eastAsia"/>
          <w:lang w:eastAsia="zh-CN"/>
        </w:rPr>
        <w:t>（</w:t>
      </w:r>
      <w:r>
        <w:rPr>
          <w:rFonts w:hint="eastAsia"/>
          <w:lang w:val="en-US" w:eastAsia="zh-CN"/>
        </w:rPr>
        <w:t>DoLP系数为负数）</w:t>
      </w:r>
      <w:r>
        <w:rPr>
          <w:rFonts w:hint="eastAsia"/>
        </w:rPr>
        <w:t>进行去散射增强。通过压制水体背向散射</w:t>
      </w:r>
      <w:r>
        <w:rPr>
          <w:rFonts w:hint="eastAsia"/>
          <w:lang w:val="en-US" w:eastAsia="zh-CN"/>
        </w:rPr>
        <w:t>来</w:t>
      </w:r>
      <w:r>
        <w:rPr>
          <w:rFonts w:hint="eastAsia"/>
        </w:rPr>
        <w:t>跃升藻体边缘偏振对比度，显著提高目标与浑浊背景的可分离性。</w:t>
      </w:r>
    </w:p>
    <w:p w14:paraId="113DEE65">
      <w:pPr>
        <w:pStyle w:val="3"/>
      </w:pPr>
      <w:r>
        <w:rPr>
          <w:rFonts w:hint="eastAsia"/>
          <w:b/>
          <w:bCs/>
        </w:rPr>
        <w:t>阶段四</w:t>
      </w:r>
      <w:r>
        <w:rPr>
          <w:rFonts w:hint="eastAsia"/>
        </w:rPr>
        <w:t>，YOLOv8s</w:t>
      </w:r>
      <w:r>
        <w:t xml:space="preserve"> </w:t>
      </w:r>
      <w:r>
        <w:rPr>
          <w:rFonts w:hint="eastAsia"/>
        </w:rPr>
        <w:t>95类智能识别：将增强后的高质量图像送入训练完备的YOLOv8s</w:t>
      </w:r>
      <w:r>
        <w:rPr>
          <w:rFonts w:hint="eastAsia"/>
          <w:lang w:eastAsia="zh-CN"/>
        </w:rPr>
        <w:t>（</w:t>
      </w:r>
      <w:r>
        <w:rPr>
          <w:rFonts w:hint="eastAsia"/>
          <w:lang w:val="en-US" w:eastAsia="zh-CN"/>
        </w:rPr>
        <w:t>small轻量型）</w:t>
      </w:r>
      <w:r>
        <w:rPr>
          <w:rFonts w:hint="eastAsia"/>
        </w:rPr>
        <w:t>目标检测模型，对LifeWatch标准体系下的95个藻种类别（含非浮游植物干扰物和未知浮游植物）进行实时分类与计数。</w:t>
      </w:r>
    </w:p>
    <w:p w14:paraId="67BC723D">
      <w:pPr>
        <w:pStyle w:val="3"/>
      </w:pPr>
      <w:r>
        <w:rPr>
          <w:rFonts w:hint="eastAsia"/>
          <w:b/>
          <w:bCs/>
        </w:rPr>
        <w:t>阶段五</w:t>
      </w:r>
      <w:r>
        <w:rPr>
          <w:rFonts w:hint="eastAsia"/>
        </w:rPr>
        <w:t>，浓度估算与预警输出：结合显微视场面积A_fov与有效景深d，计算相对浓度；采用时间窗平均降低单帧波动，实时估算增长速率G_k(t)，超过风险阈值自动触发分级预警。</w:t>
      </w:r>
    </w:p>
    <w:bookmarkEnd w:id="1"/>
    <w:p w14:paraId="25BA6FA6">
      <w:pPr>
        <w:pStyle w:val="5"/>
      </w:pPr>
      <w:bookmarkStart w:id="2" w:name="结构张量偏振物理仿真用算法替代硬件的降本密码"/>
      <w:commentRangeStart w:id="1"/>
      <w:r>
        <w:t xml:space="preserve">3.2 </w:t>
      </w:r>
      <w:r>
        <w:rPr>
          <w:rFonts w:hint="eastAsia"/>
        </w:rPr>
        <w:t>结构张量偏振物理仿真——用算法替代硬件的降本密码</w:t>
      </w:r>
      <w:commentRangeEnd w:id="1"/>
      <w:r>
        <w:commentReference w:id="1"/>
      </w:r>
    </w:p>
    <w:p w14:paraId="6EAE6902">
      <w:pPr>
        <w:pStyle w:val="24"/>
      </w:pPr>
      <w:r>
        <w:rPr>
          <w:rFonts w:hint="eastAsia"/>
          <w:b/>
          <w:bCs/>
        </w:rPr>
        <w:t>看清边界：物理仿真打破偏振相机的硬件桎梏。</w:t>
      </w:r>
    </w:p>
    <w:p w14:paraId="5A161444">
      <w:pPr>
        <w:pStyle w:val="3"/>
      </w:pPr>
      <w:r>
        <w:rPr>
          <w:rFonts w:hint="eastAsia"/>
        </w:rPr>
        <w:t>偏振相机（如DoFP微偏振阵列相机）虽然能直接采集偏振信息，但单价高昂（数万元至数十万元），严重制约大规模布点的可行性。本项目的一大核心技术创新在于：</w:t>
      </w:r>
      <w:r>
        <w:rPr>
          <w:rFonts w:hint="eastAsia"/>
          <w:b/>
          <w:bCs/>
        </w:rPr>
        <w:t>系统可直接处理普通显微RGB原图</w:t>
      </w:r>
      <w:r>
        <w:rPr>
          <w:rFonts w:hint="eastAsia"/>
        </w:rPr>
        <w:t>，通过结构张量梯度提取与Malus定律的物理结合，从单张灰度图像中解算出空间局部偏振特征，无需任何偏振硬件即可仿真合成四个具有物理意义的偏振通道。</w:t>
      </w:r>
    </w:p>
    <w:p w14:paraId="718C35BA">
      <w:pPr>
        <w:pStyle w:val="3"/>
      </w:pPr>
      <w:r>
        <w:rPr>
          <w:rFonts w:hint="eastAsia"/>
        </w:rPr>
        <w:t>技术原理如下：</w:t>
      </w:r>
    </w:p>
    <w:p w14:paraId="7D7235A4">
      <w:pPr>
        <w:pStyle w:val="3"/>
      </w:pPr>
      <w:r>
        <w:rPr>
          <w:rFonts w:hint="eastAsia"/>
          <w:b/>
          <w:bCs/>
        </w:rPr>
        <w:t>第一步：结构张量场提取。</w:t>
      </w:r>
      <w:r>
        <w:t xml:space="preserve"> </w:t>
      </w:r>
      <w:r>
        <w:rPr>
          <w:rFonts w:hint="eastAsia"/>
        </w:rPr>
        <w:t>对RGB原图进行灰度化处理后，利用Sobel算子计算x、y方向梯度，构建局部结构张量矩阵：</w:t>
      </w:r>
    </w:p>
    <w:p w14:paraId="15ED970E">
      <w:pPr>
        <w:pStyle w:val="3"/>
      </w:pPr>
      <m:oMathPara>
        <m:oMathParaPr>
          <m:jc m:val="center"/>
        </m:oMathParaPr>
        <m:oMath>
          <m:r>
            <m:rPr/>
            <m:t>J</m:t>
          </m:r>
          <m:r>
            <m:rPr>
              <m:sty m:val="p"/>
            </m:rPr>
            <m:t>=</m:t>
          </m:r>
          <m:d>
            <m:dPr>
              <m:begChr m:val="["/>
              <m:sepChr m:val=""/>
              <m:endChr m:val="]"/>
            </m:dPr>
            <m:e>
              <m:m>
                <m:mPr>
                  <m:mcs>
                    <m:mc>
                      <m:mcPr>
                        <m:count m:val="2"/>
                        <m:mcJc m:val="center"/>
                      </m:mcPr>
                    </m:mc>
                  </m:mcs>
                  <m:plcHide m:val="1"/>
                </m:mPr>
                <m:mr>
                  <m:e>
                    <m:sSubSup>
                      <m:sSubSupPr/>
                      <m:e>
                        <m:r>
                          <m:rPr/>
                          <m:t>G</m:t>
                        </m:r>
                      </m:e>
                      <m:sub>
                        <m:r>
                          <m:rPr/>
                          <m:t>x</m:t>
                        </m:r>
                      </m:sub>
                      <m:sup>
                        <m:r>
                          <m:rPr/>
                          <m:t>2</m:t>
                        </m:r>
                      </m:sup>
                    </m:sSubSup>
                  </m:e>
                  <m:e>
                    <m:sSub>
                      <m:sSubPr/>
                      <m:e>
                        <m:r>
                          <m:rPr/>
                          <m:t>G</m:t>
                        </m:r>
                      </m:e>
                      <m:sub>
                        <m:r>
                          <m:rPr/>
                          <m:t>x</m:t>
                        </m:r>
                      </m:sub>
                    </m:sSub>
                    <m:sSub>
                      <m:sSubPr/>
                      <m:e>
                        <m:r>
                          <m:rPr/>
                          <m:t>G</m:t>
                        </m:r>
                      </m:e>
                      <m:sub>
                        <m:r>
                          <m:rPr/>
                          <m:t>y</m:t>
                        </m:r>
                      </m:sub>
                    </m:sSub>
                  </m:e>
                </m:mr>
                <m:mr>
                  <m:e>
                    <m:sSub>
                      <m:sSubPr/>
                      <m:e>
                        <m:r>
                          <m:rPr/>
                          <m:t>G</m:t>
                        </m:r>
                      </m:e>
                      <m:sub>
                        <m:r>
                          <m:rPr/>
                          <m:t>x</m:t>
                        </m:r>
                      </m:sub>
                    </m:sSub>
                    <m:sSub>
                      <m:sSubPr/>
                      <m:e>
                        <m:r>
                          <m:rPr/>
                          <m:t>G</m:t>
                        </m:r>
                      </m:e>
                      <m:sub>
                        <m:r>
                          <m:rPr/>
                          <m:t>y</m:t>
                        </m:r>
                      </m:sub>
                    </m:sSub>
                  </m:e>
                  <m:e>
                    <m:sSubSup>
                      <m:sSubSupPr/>
                      <m:e>
                        <m:r>
                          <m:rPr/>
                          <m:t>G</m:t>
                        </m:r>
                      </m:e>
                      <m:sub>
                        <m:r>
                          <m:rPr/>
                          <m:t>y</m:t>
                        </m:r>
                      </m:sub>
                      <m:sup>
                        <m:r>
                          <m:rPr/>
                          <m:t>2</m:t>
                        </m:r>
                      </m:sup>
                    </m:sSubSup>
                  </m:e>
                </m:mr>
              </m:m>
            </m:e>
          </m:d>
        </m:oMath>
      </m:oMathPara>
    </w:p>
    <w:p w14:paraId="761C5935">
      <w:pPr>
        <w:pStyle w:val="24"/>
      </w:pPr>
      <w:r>
        <w:rPr>
          <w:rFonts w:hint="eastAsia"/>
        </w:rPr>
        <w:t>对该矩阵进行高斯平滑（sigma=2.0）后，求解特征值λ1和λ2，由此获得三个核心局部场量：</w:t>
      </w:r>
      <w:r>
        <w:t xml:space="preserve"> - </w:t>
      </w:r>
      <w:r>
        <w:rPr>
          <w:rFonts w:hint="eastAsia"/>
          <w:b/>
          <w:bCs/>
        </w:rPr>
        <w:t>主方向</w:t>
      </w:r>
      <w:r>
        <w:rPr>
          <w:rFonts w:hint="eastAsia"/>
        </w:rPr>
        <w:t>（orientation）：由J矩阵的特征向量方向决定，表征局部纹理的主导走向；</w:t>
      </w:r>
      <w:r>
        <w:t xml:space="preserve"> - </w:t>
      </w:r>
      <w:r>
        <w:rPr>
          <w:rFonts w:hint="eastAsia"/>
          <w:b/>
          <w:bCs/>
        </w:rPr>
        <w:t>各向异性度</w:t>
      </w:r>
      <w:r>
        <w:rPr>
          <w:rFonts w:hint="eastAsia"/>
        </w:rPr>
        <w:t>（anisotropy）：定义为(λ1</w:t>
      </w:r>
      <w:r>
        <w:t xml:space="preserve"> - λ2)/(λ1 + λ2 + </w:t>
      </w:r>
      <w:r>
        <w:rPr>
          <w:rFonts w:hint="eastAsia"/>
        </w:rPr>
        <w:t>ε)，取值[0,</w:t>
      </w:r>
      <w:r>
        <w:t xml:space="preserve"> </w:t>
      </w:r>
      <w:r>
        <w:rPr>
          <w:rFonts w:hint="eastAsia"/>
        </w:rPr>
        <w:t>1]，值越高表示该区域方向性越强（如藻体细胞壁边缘），越低表示各向同性越强（如浑浊背景散射）；</w:t>
      </w:r>
      <w:r>
        <w:t xml:space="preserve"> - </w:t>
      </w:r>
      <w:r>
        <w:rPr>
          <w:rFonts w:hint="eastAsia"/>
          <w:b/>
          <w:bCs/>
        </w:rPr>
        <w:t>边缘强度</w:t>
      </w:r>
      <w:r>
        <w:rPr>
          <w:rFonts w:hint="eastAsia"/>
        </w:rPr>
        <w:t>（edge_strength）：由结构张量的迹表征，衡量局部梯度总能量。</w:t>
      </w:r>
    </w:p>
    <w:p w14:paraId="406EE3FF">
      <w:pPr>
        <w:pStyle w:val="3"/>
      </w:pPr>
      <w:r>
        <w:rPr>
          <w:rFonts w:hint="eastAsia"/>
          <w:b/>
          <w:bCs/>
        </w:rPr>
        <w:t>第二步：Malus定律偏振光强分配。</w:t>
      </w:r>
      <w:r>
        <w:t xml:space="preserve"> </w:t>
      </w:r>
      <w:r>
        <w:rPr>
          <w:rFonts w:hint="eastAsia"/>
        </w:rPr>
        <w:t>根据Malus定律，透过理想线偏振器的光强满足I(θ)</w:t>
      </w:r>
      <w:r>
        <w:t xml:space="preserve"> = I_0 · cos²(φ - </w:t>
      </w:r>
      <w:r>
        <w:rPr>
          <w:rFonts w:hint="eastAsia"/>
        </w:rPr>
        <w:t>θ)，其中φ为局部偏振主方向（由结构张量方向给出），θ为偏振器透振方向。结合各向异性度调节偏振对比度，系统对I0、I45、I90、I135四个方向独立计算偏振响应，确保S2</w:t>
      </w:r>
      <w:r>
        <w:t xml:space="preserve"> = I45 - </w:t>
      </w:r>
      <w:r>
        <w:rPr>
          <w:rFonts w:hint="eastAsia"/>
        </w:rPr>
        <w:t>I135拥有真实的物理含义（I135不是I0与I90的均值，而是独立仿真）。</w:t>
      </w:r>
    </w:p>
    <w:p w14:paraId="0E3EC02E">
      <w:pPr>
        <w:pStyle w:val="3"/>
      </w:pPr>
      <w:r>
        <w:rPr>
          <w:rFonts w:hint="eastAsia"/>
          <w:b/>
          <w:bCs/>
        </w:rPr>
        <w:t>第三步：Stokes矢量表征。</w:t>
      </w:r>
      <w:r>
        <w:t xml:space="preserve"> </w:t>
      </w:r>
      <w:r>
        <w:rPr>
          <w:rFonts w:hint="eastAsia"/>
        </w:rPr>
        <w:t>基于四通道偏振图像，构建完整的线偏振Stokes矢量：</w:t>
      </w:r>
    </w:p>
    <w:p w14:paraId="3F8CC4F0">
      <w:pPr>
        <w:pStyle w:val="3"/>
      </w:pPr>
      <m:oMathPara>
        <m:oMathParaPr>
          <m:jc m:val="center"/>
        </m:oMathParaPr>
        <m:oMath>
          <m:sSub>
            <m:sSubPr/>
            <m:e>
              <m:r>
                <m:rPr/>
                <m:t>S</m:t>
              </m:r>
            </m:e>
            <m:sub>
              <m:r>
                <m:rPr/>
                <m:t>0</m:t>
              </m:r>
            </m:sub>
          </m:sSub>
          <m:r>
            <m:rPr>
              <m:sty m:val="p"/>
            </m:rPr>
            <m:t>=</m:t>
          </m:r>
          <m:sSub>
            <m:sSubPr/>
            <m:e>
              <m:r>
                <m:rPr/>
                <m:t>I</m:t>
              </m:r>
            </m:e>
            <m:sub>
              <m:r>
                <m:rPr/>
                <m:t>0</m:t>
              </m:r>
            </m:sub>
          </m:sSub>
          <m:r>
            <m:rPr>
              <m:sty m:val="p"/>
            </m:rPr>
            <m:t>+</m:t>
          </m:r>
          <m:sSub>
            <m:sSubPr/>
            <m:e>
              <m:r>
                <m:rPr/>
                <m:t>I</m:t>
              </m:r>
            </m:e>
            <m:sub>
              <m:r>
                <m:rPr/>
                <m:t>90</m:t>
              </m:r>
            </m:sub>
          </m:sSub>
          <m:r>
            <m:rPr>
              <m:sty m:val="p"/>
            </m:rPr>
            <m:t>,</m:t>
          </m:r>
          <m:r>
            <m:rPr/>
            <m:t> </m:t>
          </m:r>
          <m:sSub>
            <m:sSubPr/>
            <m:e>
              <m:r>
                <m:rPr/>
                <m:t>S</m:t>
              </m:r>
            </m:e>
            <m:sub>
              <m:r>
                <m:rPr/>
                <m:t>1</m:t>
              </m:r>
            </m:sub>
          </m:sSub>
          <m:r>
            <m:rPr>
              <m:sty m:val="p"/>
            </m:rPr>
            <m:t>=</m:t>
          </m:r>
          <m:sSub>
            <m:sSubPr/>
            <m:e>
              <m:r>
                <m:rPr/>
                <m:t>I</m:t>
              </m:r>
            </m:e>
            <m:sub>
              <m:r>
                <m:rPr/>
                <m:t>0</m:t>
              </m:r>
            </m:sub>
          </m:sSub>
          <m:r>
            <m:rPr>
              <m:sty m:val="p"/>
            </m:rPr>
            <m:t>−</m:t>
          </m:r>
          <m:sSub>
            <m:sSubPr/>
            <m:e>
              <m:r>
                <m:rPr/>
                <m:t>I</m:t>
              </m:r>
            </m:e>
            <m:sub>
              <m:r>
                <m:rPr/>
                <m:t>90</m:t>
              </m:r>
            </m:sub>
          </m:sSub>
          <m:r>
            <m:rPr>
              <m:sty m:val="p"/>
            </m:rPr>
            <m:t>,</m:t>
          </m:r>
          <m:r>
            <m:rPr/>
            <m:t> </m:t>
          </m:r>
          <m:sSub>
            <m:sSubPr/>
            <m:e>
              <m:r>
                <m:rPr/>
                <m:t>S</m:t>
              </m:r>
            </m:e>
            <m:sub>
              <m:r>
                <m:rPr/>
                <m:t>2</m:t>
              </m:r>
            </m:sub>
          </m:sSub>
          <m:r>
            <m:rPr>
              <m:sty m:val="p"/>
            </m:rPr>
            <m:t>=</m:t>
          </m:r>
          <m:r>
            <m:rPr/>
            <m:t>2</m:t>
          </m:r>
          <m:sSub>
            <m:sSubPr/>
            <m:e>
              <m:r>
                <m:rPr/>
                <m:t>I</m:t>
              </m:r>
            </m:e>
            <m:sub>
              <m:r>
                <m:rPr/>
                <m:t>45</m:t>
              </m:r>
            </m:sub>
          </m:sSub>
          <m:r>
            <m:rPr>
              <m:sty m:val="p"/>
            </m:rPr>
            <m:t>−(</m:t>
          </m:r>
          <m:sSub>
            <m:sSubPr/>
            <m:e>
              <m:r>
                <m:rPr/>
                <m:t>I</m:t>
              </m:r>
            </m:e>
            <m:sub>
              <m:r>
                <m:rPr/>
                <m:t>0</m:t>
              </m:r>
            </m:sub>
          </m:sSub>
          <m:r>
            <m:rPr>
              <m:sty m:val="p"/>
            </m:rPr>
            <m:t>+</m:t>
          </m:r>
          <m:sSub>
            <m:sSubPr/>
            <m:e>
              <m:r>
                <m:rPr/>
                <m:t>I</m:t>
              </m:r>
            </m:e>
            <m:sub>
              <m:r>
                <m:rPr/>
                <m:t>90</m:t>
              </m:r>
            </m:sub>
          </m:sSub>
          <m:r>
            <m:rPr>
              <m:sty m:val="p"/>
            </m:rPr>
            <m:t>)</m:t>
          </m:r>
        </m:oMath>
      </m:oMathPara>
    </w:p>
    <w:p w14:paraId="6A8979C3">
      <w:pPr>
        <w:pStyle w:val="24"/>
      </w:pPr>
      <w:r>
        <w:rPr>
          <w:rFonts w:hint="eastAsia"/>
        </w:rPr>
        <w:t>由此计算两个关键的偏振特征参量：</w:t>
      </w:r>
    </w:p>
    <w:p w14:paraId="4A409322">
      <w:pPr>
        <w:pStyle w:val="3"/>
      </w:pPr>
      <m:oMathPara>
        <m:oMathParaPr>
          <m:jc m:val="center"/>
        </m:oMathParaPr>
        <m:oMath>
          <m:r>
            <m:rPr>
              <m:nor/>
              <m:sty m:val="p"/>
            </m:rPr>
            <w:rPr>
              <w:b w:val="0"/>
              <w:i w:val="0"/>
            </w:rPr>
            <m:t>DoLP</m:t>
          </m:r>
          <m:r>
            <m:rPr>
              <m:nor/>
              <m:sty m:val="p"/>
            </m:rPr>
            <w:rPr>
              <w:b w:val="0"/>
              <w:i w:val="0"/>
            </w:rPr>
            <m:t>=</m:t>
          </m:r>
          <m:f>
            <m:fPr/>
            <m:num>
              <m:rad>
                <m:radPr>
                  <m:degHide m:val="1"/>
                </m:radPr>
                <m:deg/>
                <m:e>
                  <m:sSubSup>
                    <m:sSubSupPr/>
                    <m:e>
                      <m:r>
                        <m:rPr/>
                        <m:t>S</m:t>
                      </m:r>
                    </m:e>
                    <m:sub>
                      <m:r>
                        <m:rPr/>
                        <m:t>1</m:t>
                      </m:r>
                    </m:sub>
                    <m:sup>
                      <m:r>
                        <m:rPr/>
                        <m:t>2</m:t>
                      </m:r>
                    </m:sup>
                  </m:sSubSup>
                  <m:r>
                    <m:rPr>
                      <m:sty m:val="p"/>
                    </m:rPr>
                    <m:t>+</m:t>
                  </m:r>
                  <m:sSubSup>
                    <m:sSubSupPr/>
                    <m:e>
                      <m:r>
                        <m:rPr/>
                        <m:t>S</m:t>
                      </m:r>
                    </m:e>
                    <m:sub>
                      <m:r>
                        <m:rPr/>
                        <m:t>2</m:t>
                      </m:r>
                    </m:sub>
                    <m:sup>
                      <m:r>
                        <m:rPr/>
                        <m:t>2</m:t>
                      </m:r>
                    </m:sup>
                  </m:sSubSup>
                </m:e>
              </m:rad>
            </m:num>
            <m:den>
              <m:sSub>
                <m:sSubPr/>
                <m:e>
                  <m:r>
                    <m:rPr/>
                    <m:t>S</m:t>
                  </m:r>
                </m:e>
                <m:sub>
                  <m:r>
                    <m:rPr/>
                    <m:t>0</m:t>
                  </m:r>
                </m:sub>
              </m:sSub>
            </m:den>
          </m:f>
          <m:r>
            <m:rPr>
              <m:sty m:val="p"/>
            </m:rPr>
            <m:t>,</m:t>
          </m:r>
          <m:r>
            <m:rPr/>
            <m:t> </m:t>
          </m:r>
          <m:r>
            <m:rPr>
              <m:nor/>
              <m:sty m:val="p"/>
            </m:rPr>
            <w:rPr>
              <w:b w:val="0"/>
              <w:i w:val="0"/>
            </w:rPr>
            <m:t>AoP</m:t>
          </m:r>
          <m:r>
            <m:rPr>
              <m:nor/>
              <m:sty m:val="p"/>
            </m:rPr>
            <w:rPr>
              <w:b w:val="0"/>
              <w:i w:val="0"/>
            </w:rPr>
            <m:t>=</m:t>
          </m:r>
          <m:f>
            <m:fPr/>
            <m:num>
              <m:r>
                <m:rPr/>
                <m:t>1</m:t>
              </m:r>
            </m:num>
            <m:den>
              <m:r>
                <m:rPr/>
                <m:t>2</m:t>
              </m:r>
            </m:den>
          </m:f>
          <m:r>
            <m:rPr>
              <m:sty m:val="p"/>
            </m:rPr>
            <m:t>arctan</m:t>
          </m:r>
          <m:d>
            <m:dPr>
              <m:sepChr m:val=""/>
            </m:dPr>
            <m:e>
              <m:f>
                <m:fPr/>
                <m:num>
                  <m:sSub>
                    <m:sSubPr/>
                    <m:e>
                      <m:r>
                        <m:rPr/>
                        <m:t>S</m:t>
                      </m:r>
                    </m:e>
                    <m:sub>
                      <m:r>
                        <m:rPr/>
                        <m:t>2</m:t>
                      </m:r>
                    </m:sub>
                  </m:sSub>
                </m:num>
                <m:den>
                  <m:sSub>
                    <m:sSubPr/>
                    <m:e>
                      <m:r>
                        <m:rPr/>
                        <m:t>S</m:t>
                      </m:r>
                    </m:e>
                    <m:sub>
                      <m:r>
                        <m:rPr/>
                        <m:t>1</m:t>
                      </m:r>
                    </m:sub>
                  </m:sSub>
                </m:den>
              </m:f>
            </m:e>
          </m:d>
        </m:oMath>
      </m:oMathPara>
    </w:p>
    <w:p w14:paraId="29CE3EFB">
      <w:pPr>
        <w:pStyle w:val="24"/>
      </w:pPr>
      <w:r>
        <w:rPr>
          <w:rFonts w:hint="eastAsia"/>
        </w:rPr>
        <w:t>其中，DoLP（线偏振度）越高，说明该区域偏振响应越明显——微藻细胞壁、群体边界等结构会呈现高DoLP值；AoP（偏振角）变化越稳定，说明目标局部结构和散射方向具有更好的物理可解释性。</w:t>
      </w:r>
    </w:p>
    <w:p w14:paraId="241D7B82">
      <w:pPr>
        <w:pStyle w:val="3"/>
      </w:pPr>
      <w:r>
        <w:rPr>
          <w:rFonts w:hint="eastAsia"/>
          <w:b/>
          <w:bCs/>
        </w:rPr>
        <w:t>第四步：任意方向线偏振重建。</w:t>
      </w:r>
      <w:r>
        <w:t xml:space="preserve"> </w:t>
      </w:r>
      <w:r>
        <w:rPr>
          <w:rFonts w:hint="eastAsia"/>
        </w:rPr>
        <w:t>在获得Stokes参数后，可对任意θ方向进行线偏振强度重建：</w:t>
      </w:r>
    </w:p>
    <w:p w14:paraId="1D2C3722">
      <w:pPr>
        <w:pStyle w:val="3"/>
      </w:pPr>
      <m:oMathPara>
        <m:oMathParaPr>
          <m:jc m:val="center"/>
        </m:oMathParaPr>
        <m:oMath>
          <m:sSub>
            <m:sSubPr/>
            <m:e>
              <m:r>
                <m:rPr/>
                <m:t>I</m:t>
              </m:r>
            </m:e>
            <m:sub>
              <m:r>
                <m:rPr/>
                <m:t>θ</m:t>
              </m:r>
            </m:sub>
          </m:sSub>
          <m:r>
            <m:rPr>
              <m:sty m:val="p"/>
            </m:rPr>
            <m:t>=</m:t>
          </m:r>
          <m:f>
            <m:fPr/>
            <m:num>
              <m:r>
                <m:rPr/>
                <m:t>1</m:t>
              </m:r>
            </m:num>
            <m:den>
              <m:r>
                <m:rPr/>
                <m:t>2</m:t>
              </m:r>
            </m:den>
          </m:f>
          <m:d>
            <m:dPr>
              <m:sepChr m:val=""/>
            </m:dPr>
            <m:e>
              <m:sSub>
                <m:sSubPr/>
                <m:e>
                  <m:r>
                    <m:rPr/>
                    <m:t>S</m:t>
                  </m:r>
                </m:e>
                <m:sub>
                  <m:r>
                    <m:rPr/>
                    <m:t>0</m:t>
                  </m:r>
                </m:sub>
              </m:sSub>
              <m:r>
                <m:rPr>
                  <m:sty m:val="p"/>
                </m:rPr>
                <m:t>+</m:t>
              </m:r>
              <m:sSub>
                <m:sSubPr/>
                <m:e>
                  <m:r>
                    <m:rPr/>
                    <m:t>S</m:t>
                  </m:r>
                </m:e>
                <m:sub>
                  <m:r>
                    <m:rPr/>
                    <m:t>1</m:t>
                  </m:r>
                </m:sub>
              </m:sSub>
              <m:r>
                <m:rPr>
                  <m:sty m:val="p"/>
                </m:rPr>
                <m:t>cos</m:t>
              </m:r>
              <m:r>
                <m:rPr/>
                <m:t>2θ</m:t>
              </m:r>
              <m:r>
                <m:rPr>
                  <m:sty m:val="p"/>
                </m:rPr>
                <m:t>+</m:t>
              </m:r>
              <m:sSub>
                <m:sSubPr/>
                <m:e>
                  <m:r>
                    <m:rPr/>
                    <m:t>S</m:t>
                  </m:r>
                </m:e>
                <m:sub>
                  <m:r>
                    <m:rPr/>
                    <m:t>2</m:t>
                  </m:r>
                </m:sub>
              </m:sSub>
              <m:r>
                <m:rPr>
                  <m:sty m:val="p"/>
                </m:rPr>
                <m:t>sin</m:t>
              </m:r>
              <m:r>
                <m:rPr/>
                <m:t>2θ</m:t>
              </m:r>
            </m:e>
          </m:d>
        </m:oMath>
      </m:oMathPara>
    </w:p>
    <w:p w14:paraId="40292AC2">
      <w:pPr>
        <w:pStyle w:val="24"/>
      </w:pPr>
      <w:r>
        <w:rPr>
          <w:rFonts w:hint="eastAsia"/>
        </w:rPr>
        <w:t>四通道重建结果差异显著——I0通道突出水平纹理，I90突出垂直纹理，I45和I135突出对角纹理——每通道展示不同的藻体微观结构信息，为后续RDN网络提供了比单通道灰度图丰富数倍的输入维度。</w:t>
      </w:r>
    </w:p>
    <w:p w14:paraId="65C0B8AC">
      <w:pPr>
        <w:pStyle w:val="3"/>
      </w:pPr>
      <w:r>
        <w:rPr>
          <w:rFonts w:hint="eastAsia"/>
          <w:b/>
          <w:bCs/>
        </w:rPr>
        <w:t>核心优势量化：</w:t>
      </w:r>
      <w:r>
        <w:t xml:space="preserve"> </w:t>
      </w:r>
      <w:r>
        <w:rPr>
          <w:rFonts w:hint="eastAsia"/>
        </w:rPr>
        <w:t>结构张量法完全替代了偏振相机硬件，将系统BOM成本降低约60%，使样机总成本控制在1.6万-2.4万元，是实现”用得起”的根本保障。同时，该方法在最终检测精度上达到mAP50</w:t>
      </w:r>
      <w:r>
        <w:t xml:space="preserve"> </w:t>
      </w:r>
      <w:r>
        <w:rPr>
          <w:rFonts w:hint="eastAsia"/>
        </w:rPr>
        <w:t>84.7%，远超HSV偏振仿真方案（mAP50仅37.9%），验证了结构张量物理建模路线的绝对优势。</w:t>
      </w:r>
    </w:p>
    <w:bookmarkEnd w:id="2"/>
    <w:p w14:paraId="68524B34">
      <w:pPr>
        <w:pStyle w:val="5"/>
      </w:pPr>
      <w:bookmarkStart w:id="3" w:name="rdn残差稠密网络0.6m参数实现62.46db偏振重建"/>
      <w:r>
        <w:t xml:space="preserve">3.3 </w:t>
      </w:r>
      <w:r>
        <w:rPr>
          <w:rFonts w:hint="eastAsia"/>
        </w:rPr>
        <w:t>RDN残差稠密网络——0.6M参数实现62.46dB偏振重建</w:t>
      </w:r>
    </w:p>
    <w:p w14:paraId="5DC370F0">
      <w:pPr>
        <w:pStyle w:val="24"/>
      </w:pPr>
      <w:r>
        <w:rPr>
          <w:rFonts w:hint="eastAsia"/>
          <w:b/>
          <w:bCs/>
        </w:rPr>
        <w:t>识得准的前提：让每一条纹理都无处遁形。</w:t>
      </w:r>
    </w:p>
    <w:p w14:paraId="5053C56F">
      <w:pPr>
        <w:pStyle w:val="3"/>
      </w:pPr>
      <w:r>
        <w:rPr>
          <w:rFonts w:hint="eastAsia"/>
        </w:rPr>
        <w:t>仿真偏振四通道虽然信息丰富，但由于水下散射噪声和仿真精度限制，直接送入YOLO检测效果欠佳。系统引入一个超轻量化的RDN（Residual</w:t>
      </w:r>
      <w:r>
        <w:t xml:space="preserve"> Dense </w:t>
      </w:r>
      <w:r>
        <w:rPr>
          <w:rFonts w:hint="eastAsia"/>
        </w:rPr>
        <w:t>Network，残差稠密网络），以深度学习的方式对偏振信息进行无损超分辨率重建，在极低参数量下最大化保留微藻极微弱的细胞壁边界、鞭毛纹理和群体轮廓等高频局部信息。</w:t>
      </w:r>
    </w:p>
    <w:p w14:paraId="42E3EF62">
      <w:pPr>
        <w:pStyle w:val="3"/>
      </w:pPr>
      <w:commentRangeStart w:id="2"/>
      <w:r>
        <w:rPr>
          <w:rFonts w:hint="eastAsia"/>
          <w:b/>
          <w:bCs/>
        </w:rPr>
        <w:t>网络架构设计：</w:t>
      </w:r>
      <w:commentRangeEnd w:id="2"/>
      <w:r>
        <w:commentReference w:id="2"/>
      </w:r>
    </w:p>
    <w:tbl>
      <w:tblPr>
        <w:tblStyle w:val="42"/>
        <w:tblW w:w="5000" w:type="pct"/>
        <w:tblInd w:w="0" w:type="dxa"/>
        <w:tblLayout w:type="fixed"/>
        <w:tblCellMar>
          <w:top w:w="60" w:type="dxa"/>
          <w:left w:w="120" w:type="dxa"/>
          <w:bottom w:w="60" w:type="dxa"/>
          <w:right w:w="120" w:type="dxa"/>
        </w:tblCellMar>
      </w:tblPr>
      <w:tblGrid>
        <w:gridCol w:w="3089"/>
        <w:gridCol w:w="3089"/>
        <w:gridCol w:w="3089"/>
      </w:tblGrid>
      <w:tr w14:paraId="5C84626F">
        <w:trPr>
          <w:tblHeader/>
        </w:trPr>
        <w:tc>
          <w:p w14:paraId="21EB9F09">
            <w:pPr>
              <w:pStyle w:val="25"/>
            </w:pPr>
            <w:r>
              <w:rPr>
                <w:rFonts w:hint="eastAsia"/>
              </w:rPr>
              <w:t>组件</w:t>
            </w:r>
          </w:p>
        </w:tc>
        <w:tc>
          <w:p w14:paraId="085335AE">
            <w:pPr>
              <w:pStyle w:val="25"/>
            </w:pPr>
            <w:r>
              <w:rPr>
                <w:rFonts w:hint="eastAsia"/>
              </w:rPr>
              <w:t>规格</w:t>
            </w:r>
          </w:p>
        </w:tc>
        <w:tc>
          <w:p w14:paraId="48448EA2">
            <w:pPr>
              <w:pStyle w:val="25"/>
            </w:pPr>
            <w:r>
              <w:rPr>
                <w:rFonts w:hint="eastAsia"/>
              </w:rPr>
              <w:t>功能</w:t>
            </w:r>
          </w:p>
        </w:tc>
      </w:tr>
      <w:tr w14:paraId="53A74445">
        <w:tc>
          <w:p w14:paraId="35B2F309">
            <w:pPr>
              <w:pStyle w:val="25"/>
            </w:pPr>
            <w:r>
              <w:rPr>
                <w:rFonts w:hint="eastAsia"/>
              </w:rPr>
              <w:t>输入层</w:t>
            </w:r>
          </w:p>
        </w:tc>
        <w:tc>
          <w:p w14:paraId="2D9D1CC3">
            <w:pPr>
              <w:pStyle w:val="25"/>
            </w:pPr>
            <w:r>
              <w:rPr>
                <w:rFonts w:hint="eastAsia"/>
              </w:rPr>
              <w:t>4通道（I0/I45/I90/I135）</w:t>
            </w:r>
          </w:p>
        </w:tc>
        <w:tc>
          <w:p w14:paraId="0C285D97">
            <w:pPr>
              <w:pStyle w:val="25"/>
            </w:pPr>
            <w:r>
              <w:rPr>
                <w:rFonts w:hint="eastAsia"/>
              </w:rPr>
              <w:t>接收偏振仿真结果</w:t>
            </w:r>
          </w:p>
        </w:tc>
      </w:tr>
      <w:tr w14:paraId="575A226E">
        <w:tc>
          <w:p w14:paraId="01452248">
            <w:pPr>
              <w:pStyle w:val="25"/>
            </w:pPr>
            <w:r>
              <w:rPr>
                <w:rFonts w:hint="eastAsia"/>
              </w:rPr>
              <w:t>浅层特征提取</w:t>
            </w:r>
          </w:p>
        </w:tc>
        <w:tc>
          <w:p w14:paraId="79DEB84D">
            <w:pPr>
              <w:pStyle w:val="25"/>
            </w:pPr>
            <w:r>
              <w:t>Conv 4→16, 3x3</w:t>
            </w:r>
          </w:p>
        </w:tc>
        <w:tc>
          <w:p w14:paraId="6BF98AA5">
            <w:pPr>
              <w:pStyle w:val="25"/>
            </w:pPr>
            <w:r>
              <w:rPr>
                <w:rFonts w:hint="eastAsia"/>
              </w:rPr>
              <w:t>提取初始多通道融合特征</w:t>
            </w:r>
          </w:p>
        </w:tc>
      </w:tr>
      <w:tr w14:paraId="408CA501">
        <w:tc>
          <w:p w14:paraId="5050416A">
            <w:pPr>
              <w:pStyle w:val="25"/>
            </w:pPr>
            <w:r>
              <w:rPr>
                <w:rFonts w:hint="eastAsia"/>
              </w:rPr>
              <w:t>残差稠密块</w:t>
            </w:r>
            <w:r>
              <w:t xml:space="preserve"> (RDB)</w:t>
            </w:r>
          </w:p>
        </w:tc>
        <w:tc>
          <w:p w14:paraId="04CD4D07">
            <w:pPr>
              <w:pStyle w:val="25"/>
            </w:pPr>
            <w:r>
              <w:rPr>
                <w:rFonts w:hint="eastAsia"/>
              </w:rPr>
              <w:t>12个级联块</w:t>
            </w:r>
          </w:p>
        </w:tc>
        <w:tc>
          <w:p w14:paraId="6E846D15">
            <w:pPr>
              <w:pStyle w:val="25"/>
            </w:pPr>
            <w:r>
              <w:rPr>
                <w:rFonts w:hint="eastAsia"/>
              </w:rPr>
              <w:t>逐层深化特征提取，信息无损传递</w:t>
            </w:r>
          </w:p>
        </w:tc>
      </w:tr>
      <w:tr w14:paraId="17DBF9B4">
        <w:tc>
          <w:p w14:paraId="6CD39146">
            <w:pPr>
              <w:pStyle w:val="25"/>
            </w:pPr>
            <w:r>
              <w:rPr>
                <w:rFonts w:hint="eastAsia"/>
              </w:rPr>
              <w:t>每RDB内稠密层</w:t>
            </w:r>
          </w:p>
        </w:tc>
        <w:tc>
          <w:p w14:paraId="2F2BFD74">
            <w:pPr>
              <w:pStyle w:val="25"/>
            </w:pPr>
            <w:r>
              <w:rPr>
                <w:rFonts w:hint="eastAsia"/>
              </w:rPr>
              <w:t>6层,</w:t>
            </w:r>
            <w:r>
              <w:t xml:space="preserve"> growth rate=16</w:t>
            </w:r>
          </w:p>
        </w:tc>
        <w:tc>
          <w:p w14:paraId="3EC92231">
            <w:pPr>
              <w:pStyle w:val="25"/>
            </w:pPr>
            <w:r>
              <w:rPr>
                <w:rFonts w:hint="eastAsia"/>
              </w:rPr>
              <w:t>每层concat前层所有输出，充分复用特征</w:t>
            </w:r>
          </w:p>
        </w:tc>
      </w:tr>
      <w:tr w14:paraId="0AC4D0D8">
        <w:tc>
          <w:p w14:paraId="70DE3257">
            <w:pPr>
              <w:pStyle w:val="25"/>
            </w:pPr>
            <w:r>
              <w:rPr>
                <w:rFonts w:hint="eastAsia"/>
              </w:rPr>
              <w:t>局部特征融合</w:t>
            </w:r>
            <w:r>
              <w:t xml:space="preserve"> (LFF)</w:t>
            </w:r>
          </w:p>
        </w:tc>
        <w:tc>
          <w:p w14:paraId="6E86403B">
            <w:pPr>
              <w:pStyle w:val="25"/>
            </w:pPr>
            <w:r>
              <w:rPr>
                <w:rFonts w:hint="eastAsia"/>
              </w:rPr>
              <w:t>每RDB末尾1x1</w:t>
            </w:r>
            <w:r>
              <w:t xml:space="preserve"> Conv</w:t>
            </w:r>
          </w:p>
        </w:tc>
        <w:tc>
          <w:p w14:paraId="09F0396F">
            <w:pPr>
              <w:pStyle w:val="25"/>
            </w:pPr>
            <w:r>
              <w:rPr>
                <w:rFonts w:hint="eastAsia"/>
              </w:rPr>
              <w:t>压缩稠密拼接后的通道数</w:t>
            </w:r>
          </w:p>
        </w:tc>
      </w:tr>
      <w:tr w14:paraId="2EFB8D96">
        <w:tc>
          <w:p w14:paraId="42698FA3">
            <w:pPr>
              <w:pStyle w:val="25"/>
            </w:pPr>
            <w:r>
              <w:rPr>
                <w:rFonts w:hint="eastAsia"/>
              </w:rPr>
              <w:t>全局特征融合</w:t>
            </w:r>
            <w:r>
              <w:t xml:space="preserve"> (GFF)</w:t>
            </w:r>
          </w:p>
        </w:tc>
        <w:tc>
          <w:p w14:paraId="17FE06E9">
            <w:pPr>
              <w:pStyle w:val="25"/>
            </w:pPr>
            <w:r>
              <w:rPr>
                <w:rFonts w:hint="eastAsia"/>
              </w:rPr>
              <w:t>所有RDB输出concat</w:t>
            </w:r>
            <w:r>
              <w:t xml:space="preserve"> → 1x1 Conv → 3x3 Conv</w:t>
            </w:r>
          </w:p>
        </w:tc>
        <w:tc>
          <w:p w14:paraId="096F55FD">
            <w:pPr>
              <w:pStyle w:val="25"/>
            </w:pPr>
            <w:r>
              <w:rPr>
                <w:rFonts w:hint="eastAsia"/>
              </w:rPr>
              <w:t>各层级特征加权融合</w:t>
            </w:r>
          </w:p>
        </w:tc>
      </w:tr>
      <w:tr w14:paraId="52ACBDE5">
        <w:tc>
          <w:p w14:paraId="0F55B4D8">
            <w:pPr>
              <w:pStyle w:val="25"/>
            </w:pPr>
            <w:r>
              <w:rPr>
                <w:rFonts w:hint="eastAsia"/>
              </w:rPr>
              <w:t>全局残差连接</w:t>
            </w:r>
          </w:p>
        </w:tc>
        <w:tc>
          <w:p w14:paraId="370B5BD6">
            <w:pPr>
              <w:pStyle w:val="25"/>
            </w:pPr>
            <w:r>
              <w:t>F_out = F_in + GFF_output</w:t>
            </w:r>
          </w:p>
        </w:tc>
        <w:tc>
          <w:p w14:paraId="5476B149">
            <w:pPr>
              <w:pStyle w:val="25"/>
            </w:pPr>
            <w:r>
              <w:rPr>
                <w:rFonts w:hint="eastAsia"/>
              </w:rPr>
              <w:t>保持输入信息不丢失</w:t>
            </w:r>
          </w:p>
        </w:tc>
      </w:tr>
      <w:tr w14:paraId="60EEE523">
        <w:tc>
          <w:p w14:paraId="7E3795B2">
            <w:pPr>
              <w:pStyle w:val="25"/>
            </w:pPr>
            <w:r>
              <w:rPr>
                <w:rFonts w:hint="eastAsia"/>
              </w:rPr>
              <w:t>输出层</w:t>
            </w:r>
          </w:p>
        </w:tc>
        <w:tc>
          <w:p w14:paraId="07D04737">
            <w:pPr>
              <w:pStyle w:val="25"/>
            </w:pPr>
            <w:r>
              <w:t>Conv 16→4, 3x3</w:t>
            </w:r>
          </w:p>
        </w:tc>
        <w:tc>
          <w:p w14:paraId="7C533EF9">
            <w:pPr>
              <w:pStyle w:val="25"/>
            </w:pPr>
            <w:r>
              <w:rPr>
                <w:rFonts w:hint="eastAsia"/>
              </w:rPr>
              <w:t>输出重建后四通道偏振图像</w:t>
            </w:r>
          </w:p>
        </w:tc>
      </w:tr>
    </w:tbl>
    <w:p w14:paraId="0EA4139B">
      <w:pPr>
        <w:pStyle w:val="3"/>
      </w:pPr>
      <w:r>
        <w:rPr>
          <w:rFonts w:hint="eastAsia"/>
          <w:b/>
          <w:bCs/>
        </w:rPr>
        <w:t>架构优势详解：</w:t>
      </w:r>
    </w:p>
    <w:p w14:paraId="794306A9">
      <w:pPr>
        <w:numPr>
          <w:ilvl w:val="0"/>
          <w:numId w:val="1"/>
        </w:numPr>
      </w:pPr>
      <w:r>
        <w:rPr>
          <w:rFonts w:hint="eastAsia"/>
          <w:b/>
          <w:bCs/>
        </w:rPr>
        <w:t>稠密连接机制：</w:t>
      </w:r>
      <w:r>
        <w:t xml:space="preserve"> </w:t>
      </w:r>
      <w:r>
        <w:rPr>
          <w:rFonts w:hint="eastAsia"/>
        </w:rPr>
        <w:t>每个RDB内部，第i个稠密层接收前面所有层的输出拼接作为输入，形成信息高速公路。这种设计使得深层网络中的每一层都能直接访问浅层的原始梯度信息，有效缓解梯度消失问题，同时以极小的参数量实现丰富的特征复用。</w:t>
      </w:r>
    </w:p>
    <w:p w14:paraId="05131D8A">
      <w:pPr>
        <w:numPr>
          <w:ilvl w:val="0"/>
          <w:numId w:val="1"/>
        </w:numPr>
      </w:pPr>
      <w:r>
        <w:rPr>
          <w:rFonts w:hint="eastAsia"/>
          <w:b/>
          <w:bCs/>
        </w:rPr>
        <w:t>残差学习策略：</w:t>
      </w:r>
      <w:r>
        <w:t xml:space="preserve"> </w:t>
      </w:r>
      <w:r>
        <w:rPr>
          <w:rFonts w:hint="eastAsia"/>
        </w:rPr>
        <w:t>全局残差连接确保网络学习的是输入偏振图像的”增强残差”，而非从头生成。这意味着RDN不会破坏原始偏振物理信息，只在关键纹理区域进行精细化的细节恢复和噪声抑制。输出与输入共享相同的Stokes物理约束。</w:t>
      </w:r>
    </w:p>
    <w:p w14:paraId="28F53FE0">
      <w:pPr>
        <w:numPr>
          <w:ilvl w:val="0"/>
          <w:numId w:val="1"/>
        </w:numPr>
      </w:pPr>
      <w:r>
        <w:rPr>
          <w:rFonts w:hint="eastAsia"/>
          <w:b/>
          <w:bCs/>
        </w:rPr>
        <w:t>多层级特征融合：</w:t>
      </w:r>
      <w:r>
        <w:t xml:space="preserve"> </w:t>
      </w:r>
      <w:r>
        <w:rPr>
          <w:rFonts w:hint="eastAsia"/>
        </w:rPr>
        <w:t>全局特征融合层将12个RDB块的输出（各代表不同抽象层次的特征）进行通道拼接和卷积融合，确保浅层纹理、中层轮廓、深层语义全部参与最终重建。</w:t>
      </w:r>
    </w:p>
    <w:p w14:paraId="224CBEB8">
      <w:pPr>
        <w:pStyle w:val="24"/>
      </w:pPr>
      <w:r>
        <w:rPr>
          <w:rFonts w:hint="eastAsia"/>
          <w:b/>
          <w:bCs/>
        </w:rPr>
        <w:t>核心性能指标：</w:t>
      </w:r>
    </w:p>
    <w:tbl>
      <w:tblPr>
        <w:tblStyle w:val="42"/>
        <w:tblW w:w="0" w:type="auto"/>
        <w:tblInd w:w="0" w:type="dxa"/>
        <w:tblLayout w:type="autofit"/>
        <w:tblCellMar>
          <w:top w:w="60" w:type="dxa"/>
          <w:left w:w="120" w:type="dxa"/>
          <w:bottom w:w="60" w:type="dxa"/>
          <w:right w:w="120" w:type="dxa"/>
        </w:tblCellMar>
      </w:tblPr>
      <w:tblGrid>
        <w:gridCol w:w="1595"/>
        <w:gridCol w:w="3531"/>
        <w:gridCol w:w="4140"/>
      </w:tblGrid>
      <w:tr w14:paraId="16C60009">
        <w:trPr>
          <w:tblHeader/>
        </w:trPr>
        <w:tc>
          <w:p w14:paraId="611FF4A7">
            <w:pPr>
              <w:pStyle w:val="25"/>
            </w:pPr>
            <w:r>
              <w:rPr>
                <w:rFonts w:hint="eastAsia"/>
              </w:rPr>
              <w:t>指标</w:t>
            </w:r>
          </w:p>
        </w:tc>
        <w:tc>
          <w:p w14:paraId="1B18777B">
            <w:pPr>
              <w:pStyle w:val="25"/>
            </w:pPr>
            <w:r>
              <w:rPr>
                <w:rFonts w:hint="eastAsia"/>
              </w:rPr>
              <w:t>数值</w:t>
            </w:r>
          </w:p>
        </w:tc>
        <w:tc>
          <w:p w14:paraId="3252B61B">
            <w:pPr>
              <w:pStyle w:val="25"/>
            </w:pPr>
            <w:r>
              <w:rPr>
                <w:rFonts w:hint="eastAsia"/>
              </w:rPr>
              <w:t>说明</w:t>
            </w:r>
          </w:p>
        </w:tc>
      </w:tr>
      <w:tr w14:paraId="615E4706">
        <w:tc>
          <w:p w14:paraId="38CB16F1">
            <w:pPr>
              <w:pStyle w:val="25"/>
            </w:pPr>
            <w:r>
              <w:rPr>
                <w:rFonts w:hint="eastAsia"/>
              </w:rPr>
              <w:t>模型参数量</w:t>
            </w:r>
          </w:p>
        </w:tc>
        <w:tc>
          <w:p w14:paraId="586D30FB">
            <w:pPr>
              <w:pStyle w:val="25"/>
            </w:pPr>
            <w:r>
              <w:t>~0.6M</w:t>
            </w:r>
          </w:p>
        </w:tc>
        <w:tc>
          <w:p w14:paraId="3006A918">
            <w:pPr>
              <w:pStyle w:val="25"/>
            </w:pPr>
            <w:r>
              <w:rPr>
                <w:rFonts w:hint="eastAsia"/>
              </w:rPr>
              <w:t>仅60万参数，是经典ResNet50（25M）的1/40</w:t>
            </w:r>
          </w:p>
        </w:tc>
      </w:tr>
      <w:tr w14:paraId="6DE9457E">
        <w:tc>
          <w:p w14:paraId="4F94AAB6">
            <w:pPr>
              <w:pStyle w:val="25"/>
            </w:pPr>
            <w:r>
              <w:rPr>
                <w:rFonts w:hint="eastAsia"/>
              </w:rPr>
              <w:t>模型文件大小</w:t>
            </w:r>
          </w:p>
        </w:tc>
        <w:tc>
          <w:p w14:paraId="59C5CC5D">
            <w:pPr>
              <w:pStyle w:val="25"/>
            </w:pPr>
            <w:r>
              <w:t>~2.5MB</w:t>
            </w:r>
          </w:p>
        </w:tc>
        <w:tc>
          <w:p w14:paraId="28758F5C">
            <w:pPr>
              <w:pStyle w:val="25"/>
            </w:pPr>
            <w:r>
              <w:rPr>
                <w:rFonts w:hint="eastAsia"/>
              </w:rPr>
              <w:t>可轻松嵌入嵌入式设备</w:t>
            </w:r>
          </w:p>
        </w:tc>
      </w:tr>
      <w:tr w14:paraId="4FD65458">
        <w:tc>
          <w:p w14:paraId="0C9D40C3">
            <w:pPr>
              <w:pStyle w:val="25"/>
            </w:pPr>
            <w:commentRangeStart w:id="3"/>
            <w:r>
              <w:rPr>
                <w:rFonts w:hint="eastAsia"/>
              </w:rPr>
              <w:t>重建精度PSNR</w:t>
            </w:r>
          </w:p>
        </w:tc>
        <w:tc>
          <w:p w14:paraId="5D92591E">
            <w:pPr>
              <w:pStyle w:val="25"/>
            </w:pPr>
            <w:r>
              <w:rPr>
                <w:b/>
                <w:bCs/>
              </w:rPr>
              <w:t>62.46 dB</w:t>
            </w:r>
          </w:p>
        </w:tc>
        <w:tc>
          <w:p w14:paraId="39BBD7FB">
            <w:pPr>
              <w:pStyle w:val="25"/>
            </w:pPr>
            <w:r>
              <w:rPr>
                <w:rFonts w:hint="eastAsia"/>
              </w:rPr>
              <w:t>第97</w:t>
            </w:r>
            <w:r>
              <w:t xml:space="preserve"> </w:t>
            </w:r>
            <w:r>
              <w:rPr>
                <w:rFonts w:hint="eastAsia"/>
              </w:rPr>
              <w:t>epoch达成，远超30dB的一般重建标准</w:t>
            </w:r>
            <w:commentRangeEnd w:id="3"/>
            <w:r>
              <w:commentReference w:id="3"/>
            </w:r>
          </w:p>
        </w:tc>
      </w:tr>
      <w:tr w14:paraId="40D18B28">
        <w:tc>
          <w:p w14:paraId="743EE7BD">
            <w:pPr>
              <w:pStyle w:val="25"/>
            </w:pPr>
            <w:commentRangeStart w:id="4"/>
            <w:r>
              <w:rPr>
                <w:rFonts w:hint="eastAsia"/>
              </w:rPr>
              <w:t>训练数据</w:t>
            </w:r>
          </w:p>
        </w:tc>
        <w:tc>
          <w:p w14:paraId="58FD4B07">
            <w:pPr>
              <w:pStyle w:val="25"/>
            </w:pPr>
            <w:r>
              <w:rPr>
                <w:rFonts w:hint="eastAsia"/>
              </w:rPr>
              <w:t>FMPD数据集293张FlowCam显微图像</w:t>
            </w:r>
          </w:p>
        </w:tc>
        <w:tc>
          <w:p w14:paraId="120BFCD4">
            <w:pPr>
              <w:pStyle w:val="25"/>
            </w:pPr>
            <w:r>
              <w:rPr>
                <w:rFonts w:hint="eastAsia"/>
              </w:rPr>
              <w:t>小样本下的极限优化</w:t>
            </w:r>
            <w:commentRangeEnd w:id="4"/>
            <w:r>
              <w:commentReference w:id="4"/>
            </w:r>
          </w:p>
        </w:tc>
      </w:tr>
      <w:tr w14:paraId="7F65C87C">
        <w:tc>
          <w:p w14:paraId="003B7582">
            <w:pPr>
              <w:pStyle w:val="25"/>
            </w:pPr>
            <w:r>
              <w:rPr>
                <w:rFonts w:hint="eastAsia"/>
              </w:rPr>
              <w:t>推理速度</w:t>
            </w:r>
          </w:p>
        </w:tc>
        <w:tc>
          <w:p w14:paraId="60E3B60A">
            <w:pPr>
              <w:pStyle w:val="25"/>
            </w:pPr>
            <w:r>
              <w:rPr>
                <w:rFonts w:hint="eastAsia"/>
              </w:rPr>
              <w:t>&lt;0.05秒/帧</w:t>
            </w:r>
            <w:r>
              <w:t xml:space="preserve"> (CPU)</w:t>
            </w:r>
          </w:p>
        </w:tc>
        <w:tc>
          <w:p w14:paraId="32EE0D92">
            <w:pPr>
              <w:pStyle w:val="25"/>
            </w:pPr>
            <w:r>
              <w:rPr>
                <w:rFonts w:hint="eastAsia"/>
              </w:rPr>
              <w:t>完全匹配实时处理需求</w:t>
            </w:r>
          </w:p>
        </w:tc>
      </w:tr>
    </w:tbl>
    <w:p w14:paraId="3612B032">
      <w:pPr>
        <w:pStyle w:val="3"/>
      </w:pPr>
      <w:r>
        <w:rPr>
          <w:rFonts w:hint="eastAsia"/>
        </w:rPr>
        <w:t>PSNR达到62.46dB意味着重建图像的像素级误差已接近人类视觉的不可感知阈值。对比普通双线性插值重建（PSNR通常&lt;35dB），RDN在</w:t>
      </w:r>
      <w:r>
        <w:rPr>
          <w:rFonts w:hint="eastAsia"/>
          <w:color w:val="FF0000"/>
        </w:rPr>
        <w:t>微藻群体轮廓连续性、细胞壁边缘锐度和鞭毛等亚细胞结构</w:t>
      </w:r>
      <w:r>
        <w:rPr>
          <w:rFonts w:hint="eastAsia"/>
        </w:rPr>
        <w:t>的保留度上均有质的飞跃。这一指标从根本上保证了后续YOLO检测的输入质量——“进去的是模糊，出来的是清晰”</w:t>
      </w:r>
      <w:r>
        <w:t>。</w:t>
      </w:r>
    </w:p>
    <w:bookmarkEnd w:id="3"/>
    <w:p w14:paraId="3F957D1F">
      <w:pPr>
        <w:pStyle w:val="5"/>
      </w:pPr>
      <w:bookmarkStart w:id="4" w:name="i_enh-v2去散射物理增强与质量控制"/>
      <w:r>
        <w:t xml:space="preserve">3.4 I_enh </w:t>
      </w:r>
      <w:r>
        <w:rPr>
          <w:rFonts w:hint="eastAsia"/>
        </w:rPr>
        <w:t>v2去散射物理增强与质量控制</w:t>
      </w:r>
    </w:p>
    <w:p w14:paraId="11C60F06">
      <w:pPr>
        <w:pStyle w:val="24"/>
      </w:pPr>
      <w:r>
        <w:rPr>
          <w:rFonts w:hint="eastAsia"/>
          <w:b/>
          <w:bCs/>
        </w:rPr>
        <w:t>看得清：用偏振物理补偿踢开水中”雾障”。</w:t>
      </w:r>
    </w:p>
    <w:p w14:paraId="39DA3D2A">
      <w:pPr>
        <w:pStyle w:val="3"/>
      </w:pPr>
      <w:r>
        <w:rPr>
          <w:rFonts w:hint="eastAsia"/>
        </w:rPr>
        <w:t>水下显微成像的最大敌人是水体散射——悬浮颗粒、溶解有机物和微小气泡共同构成一层”水中雾障”，使微藻目标的边缘模糊、对比度下降。传统图像增强方法（如直方图均衡化、CLAHE）虽能提升全局对比度，但容易放大背景噪声，甚至产生伪影。I_enh</w:t>
      </w:r>
      <w:r>
        <w:t xml:space="preserve"> </w:t>
      </w:r>
      <w:r>
        <w:rPr>
          <w:rFonts w:hint="eastAsia"/>
        </w:rPr>
        <w:t>v2模型创新性地将偏振物理补偿机制引入图像增强，实现对散射的选择性压制和藻体边缘的选择性增强。</w:t>
      </w:r>
    </w:p>
    <w:p w14:paraId="5A8255EF">
      <w:pPr>
        <w:pStyle w:val="3"/>
      </w:pPr>
      <w:r>
        <w:rPr>
          <w:b/>
          <w:bCs/>
        </w:rPr>
        <w:t xml:space="preserve">I_enh </w:t>
      </w:r>
      <w:r>
        <w:rPr>
          <w:rFonts w:hint="eastAsia"/>
          <w:b/>
          <w:bCs/>
        </w:rPr>
        <w:t>v2增强公式：</w:t>
      </w:r>
    </w:p>
    <w:p w14:paraId="2AA40225">
      <w:pPr>
        <w:pStyle w:val="3"/>
      </w:pPr>
      <w:commentRangeStart w:id="5"/>
      <m:oMathPara>
        <m:oMathParaPr>
          <m:jc m:val="center"/>
        </m:oMathParaPr>
        <m:oMath>
          <m:sSub>
            <m:sSubPr/>
            <m:e>
              <m:r>
                <m:rPr/>
                <m:t>I</m:t>
              </m:r>
            </m:e>
            <m:sub>
              <m:r>
                <m:rPr>
                  <m:nor/>
                  <m:sty m:val="p"/>
                </m:rPr>
                <w:rPr>
                  <w:b w:val="0"/>
                  <w:i w:val="0"/>
                </w:rPr>
                <m:t>enh</m:t>
              </m:r>
            </m:sub>
          </m:sSub>
          <m:r>
            <m:rPr>
              <m:sty m:val="p"/>
            </m:rPr>
            <m:t>=</m:t>
          </m:r>
          <m:sSub>
            <m:sSubPr/>
            <m:e>
              <m:r>
                <m:rPr/>
                <m:t>S</m:t>
              </m:r>
            </m:e>
            <m:sub>
              <m:r>
                <m:rPr/>
                <m:t>0</m:t>
              </m:r>
            </m:sub>
          </m:sSub>
          <m:r>
            <m:rPr>
              <m:sty m:val="p"/>
            </m:rPr>
            <m:t>⋅</m:t>
          </m:r>
          <m:d>
            <m:dPr>
              <m:sepChr m:val=""/>
            </m:dPr>
            <m:e>
              <m:r>
                <m:rPr/>
                <m:t>1</m:t>
              </m:r>
              <m:r>
                <m:rPr>
                  <m:sty m:val="p"/>
                </m:rPr>
                <m:t>+</m:t>
              </m:r>
              <m:r>
                <m:rPr/>
                <m:t>α</m:t>
              </m:r>
              <m:r>
                <m:rPr>
                  <m:sty m:val="p"/>
                </m:rPr>
                <m:t>−</m:t>
              </m:r>
              <m:r>
                <m:rPr/>
                <m:t>γ</m:t>
              </m:r>
              <m:r>
                <m:rPr>
                  <m:sty m:val="p"/>
                </m:rPr>
                <m:t>⋅</m:t>
              </m:r>
              <m:r>
                <m:rPr/>
                <m:t>DoLP</m:t>
              </m:r>
              <m:r>
                <m:rPr>
                  <m:sty m:val="p"/>
                </m:rPr>
                <m:t>+</m:t>
              </m:r>
              <m:r>
                <m:rPr/>
                <m:t>β</m:t>
              </m:r>
              <m:r>
                <m:rPr>
                  <m:sty m:val="p"/>
                </m:rPr>
                <m:t>⋅|sin(</m:t>
              </m:r>
              <m:r>
                <m:rPr/>
                <m:t>2</m:t>
              </m:r>
              <m:r>
                <m:rPr>
                  <m:sty m:val="p"/>
                </m:rPr>
                <m:t>⋅</m:t>
              </m:r>
              <m:r>
                <m:rPr/>
                <m:t>AoP</m:t>
              </m:r>
              <m:r>
                <m:rPr>
                  <m:sty m:val="p"/>
                </m:rPr>
                <m:t>)|⋅</m:t>
              </m:r>
              <m:r>
                <m:rPr/>
                <m:t>DoLP</m:t>
              </m:r>
            </m:e>
          </m:d>
          <w:commentRangeEnd w:id="5"/>
          <m:r>
            <m:rPr>
              <m:sty m:val="p"/>
            </m:rPr>
            <w:commentReference w:id="5"/>
          </m:r>
        </m:oMath>
      </m:oMathPara>
    </w:p>
    <w:p w14:paraId="3A7F32E6">
      <w:pPr>
        <w:pStyle w:val="24"/>
      </w:pPr>
      <w:r>
        <w:rPr>
          <w:rFonts w:hint="eastAsia"/>
          <w:b/>
          <w:bCs/>
        </w:rPr>
        <w:t>公式物理释义（逐项解读）：</w:t>
      </w:r>
    </w:p>
    <w:tbl>
      <w:tblPr>
        <w:tblStyle w:val="42"/>
        <w:tblW w:w="5000" w:type="pct"/>
        <w:tblInd w:w="0" w:type="dxa"/>
        <w:tblLayout w:type="fixed"/>
        <w:tblCellMar>
          <w:top w:w="60" w:type="dxa"/>
          <w:left w:w="120" w:type="dxa"/>
          <w:bottom w:w="60" w:type="dxa"/>
          <w:right w:w="120" w:type="dxa"/>
        </w:tblCellMar>
      </w:tblPr>
      <w:tblGrid>
        <w:gridCol w:w="1853"/>
        <w:gridCol w:w="3706"/>
        <w:gridCol w:w="3706"/>
      </w:tblGrid>
      <w:tr w14:paraId="52A7B253">
        <w:trPr>
          <w:tblHeader/>
        </w:trPr>
        <w:tc>
          <w:p w14:paraId="19CE714A">
            <w:pPr>
              <w:pStyle w:val="25"/>
            </w:pPr>
            <w:r>
              <w:rPr>
                <w:rFonts w:hint="eastAsia"/>
              </w:rPr>
              <w:t>项</w:t>
            </w:r>
          </w:p>
        </w:tc>
        <w:tc>
          <w:p w14:paraId="0F2D4FB4">
            <w:pPr>
              <w:pStyle w:val="25"/>
            </w:pPr>
            <w:r>
              <w:rPr>
                <w:rFonts w:hint="eastAsia"/>
              </w:rPr>
              <w:t>物理含义</w:t>
            </w:r>
          </w:p>
        </w:tc>
        <w:tc>
          <w:p w14:paraId="73DD753E">
            <w:pPr>
              <w:pStyle w:val="25"/>
            </w:pPr>
            <w:r>
              <w:rPr>
                <w:rFonts w:hint="eastAsia"/>
              </w:rPr>
              <w:t>作用机制</w:t>
            </w:r>
          </w:p>
        </w:tc>
      </w:tr>
      <w:tr w14:paraId="54A62265">
        <w:tc>
          <w:p w14:paraId="021A986D">
            <w:pPr>
              <w:pStyle w:val="25"/>
            </w:pPr>
            <w:r>
              <w:t>S0</w:t>
            </w:r>
          </w:p>
        </w:tc>
        <w:tc>
          <w:p w14:paraId="58B75967">
            <w:pPr>
              <w:pStyle w:val="25"/>
            </w:pPr>
            <w:r>
              <w:rPr>
                <w:rFonts w:hint="eastAsia"/>
              </w:rPr>
              <w:t>总光强基底</w:t>
            </w:r>
          </w:p>
        </w:tc>
        <w:tc>
          <w:p w14:paraId="10FCC50D">
            <w:pPr>
              <w:pStyle w:val="25"/>
            </w:pPr>
            <w:r>
              <w:rPr>
                <w:rFonts w:hint="eastAsia"/>
              </w:rPr>
              <w:t>保留原始亮度信息，确保整体画面不过度失真</w:t>
            </w:r>
          </w:p>
        </w:tc>
      </w:tr>
      <w:tr w14:paraId="1FD61BA8">
        <w:tc>
          <w:p w14:paraId="18A93F52">
            <w:pPr>
              <w:pStyle w:val="25"/>
            </w:pPr>
            <w:r>
              <w:t>+α</w:t>
            </w:r>
          </w:p>
        </w:tc>
        <w:tc>
          <w:p w14:paraId="574CFD39">
            <w:pPr>
              <w:pStyle w:val="25"/>
            </w:pPr>
            <w:r>
              <w:rPr>
                <w:rFonts w:hint="eastAsia"/>
              </w:rPr>
              <w:t>全局亮度补偿</w:t>
            </w:r>
          </w:p>
        </w:tc>
        <w:tc>
          <w:p w14:paraId="2F8A8B3E">
            <w:pPr>
              <w:pStyle w:val="25"/>
            </w:pPr>
            <w:r>
              <w:rPr>
                <w:rFonts w:hint="eastAsia"/>
              </w:rPr>
              <w:t>α=0.6，补偿水体吸收导致的光能衰减</w:t>
            </w:r>
          </w:p>
        </w:tc>
      </w:tr>
      <w:tr w14:paraId="5FBCC8E3">
        <w:tc>
          <w:p w14:paraId="3665B571">
            <w:pPr>
              <w:pStyle w:val="25"/>
            </w:pPr>
            <w:r>
              <w:t>-γ·DoLP</w:t>
            </w:r>
          </w:p>
        </w:tc>
        <w:tc>
          <w:p w14:paraId="1DD00425">
            <w:pPr>
              <w:pStyle w:val="25"/>
            </w:pPr>
            <w:r>
              <w:rPr>
                <w:rFonts w:hint="eastAsia"/>
              </w:rPr>
              <w:t>背向散射压制</w:t>
            </w:r>
          </w:p>
        </w:tc>
        <w:tc>
          <w:p w14:paraId="3833D8B2">
            <w:pPr>
              <w:pStyle w:val="25"/>
            </w:pPr>
            <w:r>
              <w:rPr>
                <w:rFonts w:hint="eastAsia"/>
              </w:rPr>
              <w:t>γ=0.35，水体散射通常呈低各向异性（DoLP低），此项可全局压制浑浊背景</w:t>
            </w:r>
          </w:p>
        </w:tc>
      </w:tr>
      <w:tr w14:paraId="60100322">
        <w:tc>
          <w:p w14:paraId="5D04B7F4">
            <w:pPr>
              <w:pStyle w:val="25"/>
            </w:pPr>
            <w:r>
              <w:t>+β·|sin(2·AoP)|·DoLP</w:t>
            </w:r>
          </w:p>
        </w:tc>
        <w:tc>
          <w:p w14:paraId="6BB35CAE">
            <w:pPr>
              <w:pStyle w:val="25"/>
            </w:pPr>
            <w:r>
              <w:rPr>
                <w:rFonts w:hint="eastAsia"/>
              </w:rPr>
              <w:t>藻体边缘选择性增强</w:t>
            </w:r>
          </w:p>
        </w:tc>
        <w:tc>
          <w:p w14:paraId="66B6EEE2">
            <w:pPr>
              <w:pStyle w:val="25"/>
            </w:pPr>
            <w:r>
              <w:rPr>
                <w:rFonts w:hint="eastAsia"/>
              </w:rPr>
              <w:t>β=0.25，微藻细胞壁等高各向异性区域的DoLP高且AoP随边界方向变化，|sin(2·AoP)|在边界处产生调制增强</w:t>
            </w:r>
          </w:p>
        </w:tc>
      </w:tr>
    </w:tbl>
    <w:p w14:paraId="5D8BD423">
      <w:pPr>
        <w:pStyle w:val="3"/>
      </w:pPr>
      <w:r>
        <w:rPr>
          <w:rFonts w:hint="eastAsia"/>
          <w:b/>
          <w:bCs/>
        </w:rPr>
        <w:t>关键设计原理：</w:t>
      </w:r>
      <w:r>
        <w:t xml:space="preserve"> </w:t>
      </w:r>
      <w:r>
        <w:rPr>
          <w:rFonts w:hint="eastAsia"/>
        </w:rPr>
        <w:t>水体背向散射的DoLP通常较低（散射光的偏振度天然偏低），而微藻细胞壁、群体边界等高结构化区域的DoLP显著更高。γ·DoLP项对低DoLP的浑浊背景进行更大力度的压制，对高DoLP的藻体区域施加更小的衰减，实现”去散射而不伤目标”的选择性处理。β·|sin(2·AoP)|·DoLP项进一步利用AoP在边界处的快速变化特性——藻体边缘两侧的偏振方向往往正交（AoP差≈90°），|sin(2·AoP)|在边界处产生峰值调制，精确增强边缘对比度。</w:t>
      </w:r>
    </w:p>
    <w:p w14:paraId="13905231">
      <w:pPr>
        <w:pStyle w:val="3"/>
        <w:rPr>
          <w:color w:val="FF0000"/>
        </w:rPr>
      </w:pPr>
      <w:commentRangeStart w:id="6"/>
      <w:r>
        <w:rPr>
          <w:rFonts w:hint="eastAsia"/>
          <w:b/>
          <w:bCs/>
          <w:color w:val="FF0000"/>
        </w:rPr>
        <w:t>增强效果对比：</w:t>
      </w:r>
      <w:r>
        <w:rPr>
          <w:color w:val="FF0000"/>
        </w:rPr>
        <w:t xml:space="preserve"> </w:t>
      </w:r>
      <w:r>
        <w:rPr>
          <w:rFonts w:hint="eastAsia"/>
          <w:color w:val="FF0000"/>
        </w:rPr>
        <w:t>处理前后，藻体边缘与背景的对比度提升约3-5倍（以Laplacian梯度能量衡量），同时背景区域的噪声方差降低约40%。群体微藻（如Microcystis群体、Scenedesmus链状结构）的内部空隙和细胞间隔变得清晰可辨，为YOLO的细粒度分类提供了关键的形态学线索。</w:t>
      </w:r>
      <w:commentRangeEnd w:id="6"/>
      <w:r>
        <w:commentReference w:id="6"/>
      </w:r>
    </w:p>
    <w:p w14:paraId="5A26B875">
      <w:pPr>
        <w:pStyle w:val="3"/>
      </w:pPr>
      <w:r>
        <w:rPr>
          <w:rFonts w:hint="eastAsia"/>
          <w:b/>
          <w:bCs/>
        </w:rPr>
        <w:t>质量控制Q评分机制：</w:t>
      </w:r>
    </w:p>
    <w:p w14:paraId="35096761">
      <w:pPr>
        <w:pStyle w:val="3"/>
      </w:pPr>
      <w:r>
        <w:rPr>
          <w:rFonts w:hint="eastAsia"/>
        </w:rPr>
        <w:t>并非所有采集图像都适合进入识别流程——过曝、严重浑浊、气泡遮挡等极端低质图像会降低检测置信度甚至产生误检。系统在增强阶段之后设置了基于偏振信号特征的质量评分Q：</w:t>
      </w:r>
    </w:p>
    <w:p w14:paraId="548DD6A3">
      <w:pPr>
        <w:pStyle w:val="3"/>
      </w:pPr>
      <w:commentRangeStart w:id="7"/>
      <m:oMathPara>
        <m:oMathParaPr>
          <m:jc m:val="center"/>
        </m:oMathParaPr>
        <m:oMath>
          <m:r>
            <m:rPr/>
            <m:t>Q</m:t>
          </m:r>
          <m:r>
            <m:rPr>
              <m:sty m:val="p"/>
            </m:rPr>
            <m:t>=</m:t>
          </m:r>
          <m:sSub>
            <m:sSubPr/>
            <m:e>
              <m:r>
                <m:rPr/>
                <m:t>w</m:t>
              </m:r>
            </m:e>
            <m:sub>
              <m:r>
                <m:rPr/>
                <m:t>c</m:t>
              </m:r>
            </m:sub>
          </m:sSub>
          <m:r>
            <m:rPr>
              <m:sty m:val="p"/>
            </m:rPr>
            <m:t>⋅</m:t>
          </m:r>
          <m:sSub>
            <m:sSubPr/>
            <m:e>
              <m:r>
                <m:rPr/>
                <m:t>C</m:t>
              </m:r>
            </m:e>
            <m:sub>
              <m:r>
                <m:rPr>
                  <m:nor/>
                  <m:sty m:val="p"/>
                </m:rPr>
                <w:rPr>
                  <w:b w:val="0"/>
                  <w:i w:val="0"/>
                </w:rPr>
                <m:t>norm</m:t>
              </m:r>
            </m:sub>
          </m:sSub>
          <m:r>
            <m:rPr>
              <m:sty m:val="p"/>
            </m:rPr>
            <m:t>+</m:t>
          </m:r>
          <m:sSub>
            <m:sSubPr/>
            <m:e>
              <m:r>
                <m:rPr/>
                <m:t>w</m:t>
              </m:r>
            </m:e>
            <m:sub>
              <m:r>
                <m:rPr/>
                <m:t>s</m:t>
              </m:r>
            </m:sub>
          </m:sSub>
          <m:r>
            <m:rPr>
              <m:sty m:val="p"/>
            </m:rPr>
            <m:t>⋅</m:t>
          </m:r>
          <m:sSub>
            <m:sSubPr/>
            <m:e>
              <m:r>
                <m:rPr/>
                <m:t>S</m:t>
              </m:r>
            </m:e>
            <m:sub>
              <m:r>
                <m:rPr>
                  <m:nor/>
                  <m:sty m:val="p"/>
                </m:rPr>
                <w:rPr>
                  <w:b w:val="0"/>
                  <w:i w:val="0"/>
                </w:rPr>
                <m:t>norm</m:t>
              </m:r>
            </m:sub>
          </m:sSub>
          <m:r>
            <m:rPr>
              <m:sty m:val="p"/>
            </m:rPr>
            <m:t>−</m:t>
          </m:r>
          <m:sSub>
            <m:sSubPr/>
            <m:e>
              <m:r>
                <m:rPr/>
                <m:t>w</m:t>
              </m:r>
            </m:e>
            <m:sub>
              <m:r>
                <m:rPr/>
                <m:t>n</m:t>
              </m:r>
            </m:sub>
          </m:sSub>
          <m:r>
            <m:rPr>
              <m:sty m:val="p"/>
            </m:rPr>
            <m:t>⋅</m:t>
          </m:r>
          <m:sSub>
            <m:sSubPr/>
            <m:e>
              <m:r>
                <m:rPr/>
                <m:t>N</m:t>
              </m:r>
            </m:e>
            <m:sub>
              <m:r>
                <m:rPr>
                  <m:nor/>
                  <m:sty m:val="p"/>
                </m:rPr>
                <w:rPr>
                  <w:b w:val="0"/>
                  <w:i w:val="0"/>
                </w:rPr>
                <m:t>norm</m:t>
              </m:r>
            </m:sub>
          </m:sSub>
          <w:commentRangeEnd w:id="7"/>
          <m:r>
            <m:rPr>
              <m:sty m:val="p"/>
            </m:rPr>
            <w:commentReference w:id="7"/>
          </m:r>
        </m:oMath>
      </m:oMathPara>
    </w:p>
    <w:p w14:paraId="267A835C">
      <w:pPr>
        <w:pStyle w:val="24"/>
      </w:pPr>
      <w:r>
        <w:rPr>
          <w:rFonts w:hint="eastAsia"/>
        </w:rPr>
        <w:t>其中：</w:t>
      </w:r>
    </w:p>
    <w:tbl>
      <w:tblPr>
        <w:tblStyle w:val="42"/>
        <w:tblW w:w="0" w:type="auto"/>
        <w:tblInd w:w="0" w:type="dxa"/>
        <w:tblLayout w:type="autofit"/>
        <w:tblCellMar>
          <w:top w:w="60" w:type="dxa"/>
          <w:left w:w="120" w:type="dxa"/>
          <w:bottom w:w="60" w:type="dxa"/>
          <w:right w:w="120" w:type="dxa"/>
        </w:tblCellMar>
      </w:tblPr>
      <w:tblGrid>
        <w:gridCol w:w="1090"/>
        <w:gridCol w:w="1610"/>
        <w:gridCol w:w="5520"/>
      </w:tblGrid>
      <w:tr w14:paraId="1B6C622D">
        <w:trPr>
          <w:tblHeader/>
        </w:trPr>
        <w:tc>
          <w:p w14:paraId="6A75CCB2">
            <w:pPr>
              <w:pStyle w:val="25"/>
            </w:pPr>
            <w:r>
              <w:rPr>
                <w:rFonts w:hint="eastAsia"/>
              </w:rPr>
              <w:t>分量</w:t>
            </w:r>
          </w:p>
        </w:tc>
        <w:tc>
          <w:p w14:paraId="35B5C6A3">
            <w:pPr>
              <w:pStyle w:val="25"/>
            </w:pPr>
            <w:r>
              <w:rPr>
                <w:rFonts w:hint="eastAsia"/>
              </w:rPr>
              <w:t>含义</w:t>
            </w:r>
          </w:p>
        </w:tc>
        <w:tc>
          <w:p w14:paraId="66F42920">
            <w:pPr>
              <w:pStyle w:val="25"/>
            </w:pPr>
            <w:r>
              <w:rPr>
                <w:rFonts w:hint="eastAsia"/>
              </w:rPr>
              <w:t>计算方式</w:t>
            </w:r>
          </w:p>
        </w:tc>
      </w:tr>
      <w:tr w14:paraId="40551E85">
        <w:tc>
          <w:p w14:paraId="2C38D577">
            <w:pPr>
              <w:pStyle w:val="25"/>
            </w:pPr>
            <w:r>
              <w:t>C_norm</w:t>
            </w:r>
          </w:p>
        </w:tc>
        <w:tc>
          <w:p w14:paraId="4759480C">
            <w:pPr>
              <w:pStyle w:val="25"/>
            </w:pPr>
            <w:r>
              <w:rPr>
                <w:rFonts w:hint="eastAsia"/>
              </w:rPr>
              <w:t>DoLP对比度</w:t>
            </w:r>
          </w:p>
        </w:tc>
        <w:tc>
          <w:p w14:paraId="48328D2E">
            <w:pPr>
              <w:pStyle w:val="25"/>
            </w:pPr>
            <w:r>
              <w:rPr>
                <w:rFonts w:hint="eastAsia"/>
              </w:rPr>
              <w:t>DoLP图像的标准差，衡量偏振特征是否显著</w:t>
            </w:r>
          </w:p>
        </w:tc>
      </w:tr>
      <w:tr w14:paraId="6459C18F">
        <w:tc>
          <w:p w14:paraId="40183B12">
            <w:pPr>
              <w:pStyle w:val="25"/>
            </w:pPr>
            <w:r>
              <w:t>S_norm</w:t>
            </w:r>
          </w:p>
        </w:tc>
        <w:tc>
          <w:p w14:paraId="3F30C20C">
            <w:pPr>
              <w:pStyle w:val="25"/>
            </w:pPr>
            <w:r>
              <w:rPr>
                <w:rFonts w:hint="eastAsia"/>
              </w:rPr>
              <w:t>信号强度</w:t>
            </w:r>
          </w:p>
        </w:tc>
        <w:tc>
          <w:p w14:paraId="33199EAA">
            <w:pPr>
              <w:pStyle w:val="25"/>
            </w:pPr>
            <w:r>
              <w:rPr>
                <w:rFonts w:hint="eastAsia"/>
              </w:rPr>
              <w:t>S0通道的平均能量，衡量总光强是否充足</w:t>
            </w:r>
          </w:p>
        </w:tc>
      </w:tr>
      <w:tr w14:paraId="6161FDA7">
        <w:tc>
          <w:p w14:paraId="669519B9">
            <w:pPr>
              <w:pStyle w:val="25"/>
            </w:pPr>
            <w:r>
              <w:t>N_norm</w:t>
            </w:r>
          </w:p>
        </w:tc>
        <w:tc>
          <w:p w14:paraId="135C2CC0">
            <w:pPr>
              <w:pStyle w:val="25"/>
            </w:pPr>
            <w:r>
              <w:rPr>
                <w:rFonts w:hint="eastAsia"/>
              </w:rPr>
              <w:t>噪声水平</w:t>
            </w:r>
          </w:p>
        </w:tc>
        <w:tc>
          <w:p w14:paraId="4FFF66EB">
            <w:pPr>
              <w:pStyle w:val="25"/>
            </w:pPr>
            <w:r>
              <w:rPr>
                <w:rFonts w:hint="eastAsia"/>
              </w:rPr>
              <w:t>通道间方差的归一化值，衡量仿真误差或采集噪声</w:t>
            </w:r>
          </w:p>
        </w:tc>
      </w:tr>
    </w:tbl>
    <w:p w14:paraId="53D747E5">
      <w:pPr>
        <w:pStyle w:val="3"/>
      </w:pPr>
      <w:r>
        <w:rPr>
          <w:rFonts w:hint="eastAsia"/>
        </w:rPr>
        <w:t>Q值经归一化映射至[0,</w:t>
      </w:r>
      <w:r>
        <w:t xml:space="preserve"> </w:t>
      </w:r>
      <w:r>
        <w:rPr>
          <w:rFonts w:hint="eastAsia"/>
        </w:rPr>
        <w:t>1]区间，仅将Q≥Q_GOOD（0.5）的图像送入YOLO检测，Q介于Q_FAIR（0.3）和Q_GOOD之间的标记为”待复核”，Q&lt;Q_FAIR的直接丢弃并触发采集异常告警。这一机制有效过滤了约15%-20%的低质图像，将YOLO输入数据的”纯净度”提升至可信任水平。</w:t>
      </w:r>
    </w:p>
    <w:bookmarkEnd w:id="4"/>
    <w:p w14:paraId="09A38976">
      <w:pPr>
        <w:pStyle w:val="5"/>
      </w:pPr>
      <w:bookmarkStart w:id="5" w:name="yolov8s-95类智能识别与浓度估算"/>
      <w:r>
        <w:t xml:space="preserve">3.5 YOLOv8s </w:t>
      </w:r>
      <w:r>
        <w:rPr>
          <w:rFonts w:hint="eastAsia"/>
        </w:rPr>
        <w:t>95类智能识别与浓度估算</w:t>
      </w:r>
    </w:p>
    <w:p w14:paraId="6A808661">
      <w:pPr>
        <w:pStyle w:val="24"/>
      </w:pPr>
      <w:r>
        <w:rPr>
          <w:rFonts w:hint="eastAsia"/>
          <w:b/>
          <w:bCs/>
        </w:rPr>
        <w:t>识得准、预警早：95类藻种0.1秒/帧的工业级实时检测。</w:t>
      </w:r>
    </w:p>
    <w:p w14:paraId="21ADA1A1">
      <w:pPr>
        <w:pStyle w:val="3"/>
      </w:pPr>
      <w:r>
        <w:rPr>
          <w:rFonts w:hint="eastAsia"/>
        </w:rPr>
        <w:t>完成偏振增强和质量筛选后的图像，送入训练完备的YOLOv8s目标检测模型。这是系统技术链路的最终决策环节，也是”识得准”与”预警早”的直接体现。</w:t>
      </w:r>
    </w:p>
    <w:p w14:paraId="6A4210ED">
      <w:pPr>
        <w:pStyle w:val="3"/>
      </w:pPr>
      <w:r>
        <w:rPr>
          <w:rFonts w:hint="eastAsia"/>
          <w:b/>
          <w:bCs/>
        </w:rPr>
        <w:t>识别能力跃迁——从6类到95类：</w:t>
      </w:r>
    </w:p>
    <w:tbl>
      <w:tblPr>
        <w:tblStyle w:val="42"/>
        <w:tblW w:w="5000" w:type="pct"/>
        <w:tblInd w:w="0" w:type="dxa"/>
        <w:tblLayout w:type="fixed"/>
        <w:tblCellMar>
          <w:top w:w="60" w:type="dxa"/>
          <w:left w:w="120" w:type="dxa"/>
          <w:bottom w:w="60" w:type="dxa"/>
          <w:right w:w="120" w:type="dxa"/>
        </w:tblCellMar>
      </w:tblPr>
      <w:tblGrid>
        <w:gridCol w:w="1426"/>
        <w:gridCol w:w="2376"/>
        <w:gridCol w:w="2376"/>
        <w:gridCol w:w="1663"/>
        <w:gridCol w:w="1426"/>
      </w:tblGrid>
      <w:tr w14:paraId="5F552EBC">
        <w:trPr>
          <w:tblHeader/>
        </w:trPr>
        <w:tc>
          <w:p w14:paraId="383AFEF5">
            <w:pPr>
              <w:pStyle w:val="25"/>
            </w:pPr>
            <w:r>
              <w:rPr>
                <w:rFonts w:hint="eastAsia"/>
              </w:rPr>
              <w:t>版本</w:t>
            </w:r>
          </w:p>
        </w:tc>
        <w:tc>
          <w:p w14:paraId="19F7C1A8">
            <w:pPr>
              <w:pStyle w:val="25"/>
            </w:pPr>
            <w:r>
              <w:rPr>
                <w:rFonts w:hint="eastAsia"/>
              </w:rPr>
              <w:t>藻种覆盖</w:t>
            </w:r>
          </w:p>
        </w:tc>
        <w:tc>
          <w:p w14:paraId="1AE0E45B">
            <w:pPr>
              <w:pStyle w:val="25"/>
            </w:pPr>
            <w:r>
              <w:rPr>
                <w:rFonts w:hint="eastAsia"/>
              </w:rPr>
              <w:t>检测模型</w:t>
            </w:r>
          </w:p>
        </w:tc>
        <w:tc>
          <w:p w14:paraId="263E5CD8">
            <w:pPr>
              <w:pStyle w:val="25"/>
            </w:pPr>
            <w:r>
              <w:t>mAP50</w:t>
            </w:r>
          </w:p>
        </w:tc>
        <w:tc>
          <w:p w14:paraId="2143FE66">
            <w:pPr>
              <w:pStyle w:val="25"/>
            </w:pPr>
            <w:r>
              <w:rPr>
                <w:rFonts w:hint="eastAsia"/>
              </w:rPr>
              <w:t>说明</w:t>
            </w:r>
          </w:p>
        </w:tc>
      </w:tr>
      <w:tr w14:paraId="13C24FD1">
        <w:tc>
          <w:p w14:paraId="57FC517C">
            <w:pPr>
              <w:pStyle w:val="25"/>
            </w:pPr>
            <w:r>
              <w:rPr>
                <w:rFonts w:hint="eastAsia"/>
              </w:rPr>
              <w:t>V0.9（研究原型）</w:t>
            </w:r>
          </w:p>
        </w:tc>
        <w:tc>
          <w:p w14:paraId="655B57B4">
            <w:pPr>
              <w:pStyle w:val="25"/>
            </w:pPr>
            <w:r>
              <w:rPr>
                <w:rFonts w:hint="eastAsia"/>
              </w:rPr>
              <w:t>6类</w:t>
            </w:r>
          </w:p>
        </w:tc>
        <w:tc>
          <w:p w14:paraId="475712BC">
            <w:pPr>
              <w:pStyle w:val="25"/>
            </w:pPr>
            <w:r>
              <w:t>YOLOv8n</w:t>
            </w:r>
          </w:p>
        </w:tc>
        <w:tc>
          <w:p w14:paraId="7212CE55">
            <w:pPr>
              <w:pStyle w:val="25"/>
            </w:pPr>
            <w:r>
              <w:t>~0.70</w:t>
            </w:r>
          </w:p>
        </w:tc>
        <w:tc>
          <w:p w14:paraId="01BFABBB">
            <w:pPr>
              <w:pStyle w:val="25"/>
            </w:pPr>
            <w:r>
              <w:rPr>
                <w:rFonts w:hint="eastAsia"/>
              </w:rPr>
              <w:t>仅覆盖实验室常见藻种</w:t>
            </w:r>
          </w:p>
        </w:tc>
      </w:tr>
      <w:tr w14:paraId="73CB1169">
        <w:tc>
          <w:p w14:paraId="62422650">
            <w:pPr>
              <w:pStyle w:val="25"/>
            </w:pPr>
            <w:r>
              <w:rPr>
                <w:rFonts w:hint="eastAsia"/>
                <w:b/>
                <w:bCs/>
              </w:rPr>
              <w:t>V1.0（竞赛版本）</w:t>
            </w:r>
          </w:p>
        </w:tc>
        <w:tc>
          <w:p w14:paraId="1E81E225">
            <w:pPr>
              <w:pStyle w:val="25"/>
            </w:pPr>
            <w:r>
              <w:rPr>
                <w:rFonts w:hint="eastAsia"/>
                <w:b/>
                <w:bCs/>
              </w:rPr>
              <w:t>95类</w:t>
            </w:r>
          </w:p>
        </w:tc>
        <w:tc>
          <w:p w14:paraId="4635CE42">
            <w:pPr>
              <w:pStyle w:val="25"/>
            </w:pPr>
            <w:r>
              <w:rPr>
                <w:b/>
                <w:bCs/>
              </w:rPr>
              <w:t>YOLOv8s</w:t>
            </w:r>
          </w:p>
        </w:tc>
        <w:tc>
          <w:p w14:paraId="5DAB9663">
            <w:pPr>
              <w:pStyle w:val="25"/>
            </w:pPr>
            <w:r>
              <w:rPr>
                <w:b/>
                <w:bCs/>
              </w:rPr>
              <w:t>84.7%</w:t>
            </w:r>
          </w:p>
        </w:tc>
        <w:tc>
          <w:p w14:paraId="09F50AF5">
            <w:pPr>
              <w:pStyle w:val="25"/>
            </w:pPr>
            <w:r>
              <w:rPr>
                <w:rFonts w:hint="eastAsia"/>
              </w:rPr>
              <w:t>LifeWatch标准体系全覆盖</w:t>
            </w:r>
          </w:p>
        </w:tc>
      </w:tr>
    </w:tbl>
    <w:p w14:paraId="55B34AEB">
      <w:pPr>
        <w:pStyle w:val="3"/>
      </w:pPr>
      <w:r>
        <w:rPr>
          <w:rFonts w:hint="eastAsia"/>
        </w:rPr>
        <w:t>V1.0版本的</w:t>
      </w:r>
      <w:commentRangeStart w:id="8"/>
      <w:r>
        <w:rPr>
          <w:rFonts w:hint="eastAsia"/>
        </w:rPr>
        <w:t>95类标签体系基于欧洲LifeWatch浮游生物监测标准构建，</w:t>
      </w:r>
      <w:commentRangeEnd w:id="8"/>
      <w:r>
        <w:commentReference w:id="8"/>
      </w:r>
      <w:r>
        <w:rPr>
          <w:rFonts w:hint="eastAsia"/>
        </w:rPr>
        <w:t>覆盖以下类别群组：</w:t>
      </w:r>
    </w:p>
    <w:p w14:paraId="4CA7F858">
      <w:pPr>
        <w:pStyle w:val="25"/>
        <w:numPr>
          <w:ilvl w:val="0"/>
          <w:numId w:val="2"/>
        </w:numPr>
      </w:pPr>
      <w:r>
        <w:rPr>
          <w:rFonts w:hint="eastAsia"/>
          <w:b/>
          <w:bCs/>
        </w:rPr>
        <w:t>蓝藻门（Cyanobacteria）：</w:t>
      </w:r>
      <w:r>
        <w:t xml:space="preserve"> </w:t>
      </w:r>
      <w:r>
        <w:rPr>
          <w:rFonts w:hint="eastAsia"/>
        </w:rPr>
        <w:t>Microcystis（微囊藻，高危）、Dolichospermum（长孢藻，高危）、Anabaena（鱼腥藻，高危）、Woronichinia（高危）、Planktothrix（浮丝藻，高危）、Aphanizomenon（束丝藻）、Cylindrospermopsis（柱孢藻）、Nodularia（节球藻）、Oscillatoria（颤藻）等；</w:t>
      </w:r>
    </w:p>
    <w:p w14:paraId="6DB79D21">
      <w:pPr>
        <w:pStyle w:val="25"/>
        <w:numPr>
          <w:ilvl w:val="0"/>
          <w:numId w:val="2"/>
        </w:numPr>
      </w:pPr>
      <w:r>
        <w:rPr>
          <w:rFonts w:hint="eastAsia"/>
          <w:b/>
          <w:bCs/>
        </w:rPr>
        <w:t>绿藻门（Chlorophyta）：</w:t>
      </w:r>
      <w:r>
        <w:t xml:space="preserve"> </w:t>
      </w:r>
      <w:r>
        <w:rPr>
          <w:rFonts w:hint="eastAsia"/>
        </w:rPr>
        <w:t>Scenedesmus（栅藻）、Pediastrum（盘星藻）、Chlorella（小球藻）、Coelastrum（空星藻）、Desmodesmus等；</w:t>
      </w:r>
    </w:p>
    <w:p w14:paraId="780D36D0">
      <w:pPr>
        <w:pStyle w:val="25"/>
        <w:numPr>
          <w:ilvl w:val="0"/>
          <w:numId w:val="2"/>
        </w:numPr>
      </w:pPr>
      <w:r>
        <w:rPr>
          <w:rFonts w:hint="eastAsia"/>
          <w:b/>
          <w:bCs/>
        </w:rPr>
        <w:t>硅藻门（Bacillariophyta）：</w:t>
      </w:r>
      <w:r>
        <w:t xml:space="preserve"> </w:t>
      </w:r>
      <w:r>
        <w:rPr>
          <w:rFonts w:hint="eastAsia"/>
        </w:rPr>
        <w:t>Aulacoseira（沟链藻）、Fragilaria（脆杆藻）、Cyclotella（小环藻）、Nitzschia（菱形藻）、Navicula（舟形藻）等；</w:t>
      </w:r>
    </w:p>
    <w:p w14:paraId="3DCD10BF">
      <w:pPr>
        <w:pStyle w:val="25"/>
        <w:numPr>
          <w:ilvl w:val="0"/>
          <w:numId w:val="2"/>
        </w:numPr>
      </w:pPr>
      <w:r>
        <w:rPr>
          <w:rFonts w:hint="eastAsia"/>
          <w:b/>
          <w:bCs/>
        </w:rPr>
        <w:t>甲藻门（Dinophyta）：</w:t>
      </w:r>
      <w:r>
        <w:t xml:space="preserve"> </w:t>
      </w:r>
      <w:r>
        <w:rPr>
          <w:rFonts w:hint="eastAsia"/>
        </w:rPr>
        <w:t>Ceratium（角藻）、Peridinium（多甲藻）、Gymnodinium（裸甲藻，高危）等；</w:t>
      </w:r>
    </w:p>
    <w:p w14:paraId="2C40AEA6">
      <w:pPr>
        <w:pStyle w:val="25"/>
        <w:numPr>
          <w:ilvl w:val="0"/>
          <w:numId w:val="2"/>
        </w:numPr>
      </w:pPr>
      <w:r>
        <w:rPr>
          <w:rFonts w:hint="eastAsia"/>
          <w:b/>
          <w:bCs/>
        </w:rPr>
        <w:t>其他浮游植物：</w:t>
      </w:r>
      <w:r>
        <w:t xml:space="preserve"> </w:t>
      </w:r>
      <w:r>
        <w:rPr>
          <w:rFonts w:hint="eastAsia"/>
        </w:rPr>
        <w:t>Cryptomonas（隐藻）、Euglena（裸藻）、Dinobryon（锥囊藻）、Mallomonas（鱼鳞藻）、Synura（黄群藻）等；</w:t>
      </w:r>
    </w:p>
    <w:p w14:paraId="6E591F5C">
      <w:pPr>
        <w:pStyle w:val="25"/>
        <w:numPr>
          <w:ilvl w:val="0"/>
          <w:numId w:val="2"/>
        </w:numPr>
      </w:pPr>
      <w:r>
        <w:rPr>
          <w:rFonts w:hint="eastAsia"/>
          <w:b/>
          <w:bCs/>
        </w:rPr>
        <w:t>非目标类别：</w:t>
      </w:r>
      <w:r>
        <w:t xml:space="preserve"> Non-phytoplankton_1</w:t>
      </w:r>
      <w:r>
        <w:rPr>
          <w:rFonts w:hint="eastAsia"/>
          <w:vertAlign w:val="subscript"/>
        </w:rPr>
        <w:t>5（非浮游植物干扰物，如无机颗粒、浮屑）、Other_phytoplankton_1</w:t>
      </w:r>
      <w:r>
        <w:rPr>
          <w:rFonts w:hint="eastAsia"/>
        </w:rPr>
        <w:t>11（未具体分类的未知浮游植物）。</w:t>
      </w:r>
    </w:p>
    <w:p w14:paraId="65E7B839">
      <w:pPr>
        <w:pStyle w:val="24"/>
      </w:pPr>
      <w:r>
        <w:rPr>
          <w:rFonts w:hint="eastAsia"/>
          <w:b/>
          <w:bCs/>
        </w:rPr>
        <w:t>风险分级体系：</w:t>
      </w:r>
      <w:r>
        <w:t xml:space="preserve"> </w:t>
      </w:r>
      <w:r>
        <w:rPr>
          <w:rFonts w:hint="eastAsia"/>
        </w:rPr>
        <w:t>系统内置三级风险映射——high（高危，如微囊藻、长孢藻等产毒蓝藻）、medium（中危，如角藻、沟链藻等密度过大时可引发水华的类群）、low（低危，常见无害浮游植物）。一旦检测到高危藻种或总藻密度超阈值，系统即时触发分级预警。</w:t>
      </w:r>
    </w:p>
    <w:p w14:paraId="37A7B6C5">
      <w:pPr>
        <w:pStyle w:val="3"/>
      </w:pPr>
      <w:r>
        <w:rPr>
          <w:rFonts w:hint="eastAsia"/>
          <w:b/>
          <w:bCs/>
        </w:rPr>
        <w:t>检测性能核心数据：</w:t>
      </w:r>
    </w:p>
    <w:tbl>
      <w:tblPr>
        <w:tblStyle w:val="42"/>
        <w:tblW w:w="5000" w:type="pct"/>
        <w:tblInd w:w="0" w:type="dxa"/>
        <w:tblLayout w:type="fixed"/>
        <w:tblCellMar>
          <w:top w:w="60" w:type="dxa"/>
          <w:left w:w="120" w:type="dxa"/>
          <w:bottom w:w="60" w:type="dxa"/>
          <w:right w:w="120" w:type="dxa"/>
        </w:tblCellMar>
      </w:tblPr>
      <w:tblGrid>
        <w:gridCol w:w="3089"/>
        <w:gridCol w:w="3089"/>
        <w:gridCol w:w="3089"/>
      </w:tblGrid>
      <w:tr w14:paraId="40D2315B">
        <w:trPr>
          <w:tblHeader/>
        </w:trPr>
        <w:tc>
          <w:p w14:paraId="6F87601F">
            <w:pPr>
              <w:pStyle w:val="25"/>
            </w:pPr>
            <w:r>
              <w:rPr>
                <w:rFonts w:hint="eastAsia"/>
              </w:rPr>
              <w:t>指标</w:t>
            </w:r>
          </w:p>
        </w:tc>
        <w:tc>
          <w:p w14:paraId="6933537F">
            <w:pPr>
              <w:pStyle w:val="25"/>
            </w:pPr>
            <w:r>
              <w:rPr>
                <w:rFonts w:hint="eastAsia"/>
              </w:rPr>
              <w:t>数值</w:t>
            </w:r>
          </w:p>
        </w:tc>
        <w:tc>
          <w:p w14:paraId="58304AFA">
            <w:pPr>
              <w:pStyle w:val="25"/>
            </w:pPr>
            <w:r>
              <w:rPr>
                <w:rFonts w:hint="eastAsia"/>
              </w:rPr>
              <w:t>说明</w:t>
            </w:r>
          </w:p>
        </w:tc>
      </w:tr>
      <w:tr w14:paraId="4793B938">
        <w:tc>
          <w:p w14:paraId="048FF4A2">
            <w:pPr>
              <w:pStyle w:val="25"/>
            </w:pPr>
            <w:r>
              <w:t>mAP50</w:t>
            </w:r>
          </w:p>
        </w:tc>
        <w:tc>
          <w:p w14:paraId="281FF78B">
            <w:pPr>
              <w:pStyle w:val="25"/>
            </w:pPr>
            <w:r>
              <w:rPr>
                <w:b/>
                <w:bCs/>
              </w:rPr>
              <w:t>84.7%</w:t>
            </w:r>
          </w:p>
        </w:tc>
        <w:tc>
          <w:p w14:paraId="617F02D3">
            <w:pPr>
              <w:pStyle w:val="25"/>
            </w:pPr>
            <w:r>
              <w:rPr>
                <w:rFonts w:hint="eastAsia"/>
              </w:rPr>
              <w:t>95类综合检测精度，结构化偏振输入较普通RGB提升约15个点</w:t>
            </w:r>
          </w:p>
        </w:tc>
      </w:tr>
      <w:tr w14:paraId="7D9F1614">
        <w:tc>
          <w:p w14:paraId="616F98F3">
            <w:pPr>
              <w:pStyle w:val="25"/>
            </w:pPr>
            <w:r>
              <w:rPr>
                <w:rFonts w:hint="eastAsia"/>
              </w:rPr>
              <w:t>单帧推理时间</w:t>
            </w:r>
          </w:p>
        </w:tc>
        <w:tc>
          <w:p w14:paraId="28589A1E">
            <w:pPr>
              <w:pStyle w:val="25"/>
            </w:pPr>
            <w:r>
              <w:rPr>
                <w:rFonts w:hint="eastAsia"/>
                <w:b/>
                <w:bCs/>
              </w:rPr>
              <w:t>0.1秒</w:t>
            </w:r>
          </w:p>
        </w:tc>
        <w:tc>
          <w:p w14:paraId="75B38B1F">
            <w:pPr>
              <w:pStyle w:val="25"/>
            </w:pPr>
            <w:r>
              <w:rPr>
                <w:rFonts w:hint="eastAsia"/>
              </w:rPr>
              <w:t>满足在线、原位、准实时工业级精度要求</w:t>
            </w:r>
          </w:p>
        </w:tc>
      </w:tr>
      <w:tr w14:paraId="5F03B01E">
        <w:tc>
          <w:p w14:paraId="690F1E11">
            <w:pPr>
              <w:pStyle w:val="25"/>
            </w:pPr>
            <w:r>
              <w:rPr>
                <w:rFonts w:hint="eastAsia"/>
              </w:rPr>
              <w:t>批量处理能力</w:t>
            </w:r>
          </w:p>
        </w:tc>
        <w:tc>
          <w:p w14:paraId="62BC24AE">
            <w:pPr>
              <w:pStyle w:val="25"/>
            </w:pPr>
            <w:r>
              <w:rPr>
                <w:rFonts w:hint="eastAsia"/>
                <w:b/>
                <w:bCs/>
              </w:rPr>
              <w:t>300张/30秒</w:t>
            </w:r>
          </w:p>
        </w:tc>
        <w:tc>
          <w:p w14:paraId="6C3B2D31">
            <w:pPr>
              <w:pStyle w:val="25"/>
            </w:pPr>
            <w:r>
              <w:rPr>
                <w:rFonts w:hint="eastAsia"/>
              </w:rPr>
              <w:t>等同于水下大流量连续采样的处理带宽</w:t>
            </w:r>
          </w:p>
        </w:tc>
      </w:tr>
      <w:tr w14:paraId="17CA814D">
        <w:tc>
          <w:p w14:paraId="1CF0C0C8">
            <w:pPr>
              <w:pStyle w:val="25"/>
            </w:pPr>
            <w:r>
              <w:rPr>
                <w:rFonts w:hint="eastAsia"/>
              </w:rPr>
              <w:t>推理设备</w:t>
            </w:r>
          </w:p>
        </w:tc>
        <w:tc>
          <w:p w14:paraId="32682268">
            <w:pPr>
              <w:pStyle w:val="25"/>
            </w:pPr>
            <w:r>
              <w:rPr>
                <w:rFonts w:hint="eastAsia"/>
              </w:rPr>
              <w:t>CPU即可运行</w:t>
            </w:r>
          </w:p>
        </w:tc>
        <w:tc>
          <w:p w14:paraId="16DA48B8">
            <w:pPr>
              <w:pStyle w:val="25"/>
            </w:pPr>
            <w:r>
              <w:rPr>
                <w:rFonts w:hint="eastAsia"/>
              </w:rPr>
              <w:t>无需GPU，适配野外部署的低功耗嵌入式平台</w:t>
            </w:r>
          </w:p>
        </w:tc>
      </w:tr>
    </w:tbl>
    <w:p w14:paraId="71EAC3AC">
      <w:pPr>
        <w:pStyle w:val="3"/>
      </w:pPr>
      <w:commentRangeStart w:id="9"/>
      <w:r>
        <w:rPr>
          <w:rFonts w:hint="eastAsia"/>
          <w:b/>
          <w:bCs/>
        </w:rPr>
        <w:t>浓度估算与增长趋势预测：</w:t>
      </w:r>
      <w:commentRangeEnd w:id="9"/>
      <w:r>
        <w:commentReference w:id="9"/>
      </w:r>
    </w:p>
    <w:p w14:paraId="70ACE7D1">
      <w:pPr>
        <w:pStyle w:val="3"/>
      </w:pPr>
      <w:r>
        <w:rPr>
          <w:rFonts w:hint="eastAsia"/>
        </w:rPr>
        <w:t>YOLO检测输出每帧图像中各藻种的目标框信息：y_i</w:t>
      </w:r>
      <w:r>
        <w:t xml:space="preserve"> = (x_i, y_i, w_i, h_i, cls_i, </w:t>
      </w:r>
      <w:r>
        <w:rPr>
          <w:rFonts w:hint="eastAsia"/>
        </w:rPr>
        <w:t>conf_i)。经置信度阈值τ筛选和NMS去重后，对目标藻种k的单帧计数为：</w:t>
      </w:r>
    </w:p>
    <w:p w14:paraId="5AA0409D">
      <w:pPr>
        <w:pStyle w:val="3"/>
      </w:pPr>
      <m:oMathPara>
        <m:oMathParaPr>
          <m:jc m:val="center"/>
        </m:oMathParaPr>
        <m:oMath>
          <m:sSub>
            <m:sSubPr/>
            <m:e>
              <m:r>
                <m:rPr/>
                <m:t>N</m:t>
              </m:r>
            </m:e>
            <m:sub>
              <m:r>
                <m:rPr/>
                <m:t>k</m:t>
              </m:r>
            </m:sub>
          </m:sSub>
          <m:r>
            <m:rPr>
              <m:sty m:val="p"/>
            </m:rPr>
            <m:t>=</m:t>
          </m:r>
          <m:nary>
            <m:naryPr>
              <m:chr m:val="∑"/>
              <m:limLoc m:val="undOvr"/>
              <m:supHide m:val="1"/>
            </m:naryPr>
            <m:sub>
              <m:r>
                <m:rPr/>
                <m:t>i</m:t>
              </m:r>
            </m:sub>
            <m:sup>
              <m:r>
                <m:rPr/>
                <m:t>​</m:t>
              </m:r>
            </m:sup>
            <m:e>
              <m:r>
                <m:rPr>
                  <m:sty m:val="b"/>
                </m:rPr>
                <m:t>1</m:t>
              </m:r>
            </m:e>
          </m:nary>
          <m:r>
            <m:rPr>
              <m:sty m:val="p"/>
            </m:rPr>
            <m:t>(</m:t>
          </m:r>
          <m:r>
            <m:rPr/>
            <m:t>cl</m:t>
          </m:r>
          <m:sSub>
            <m:sSubPr/>
            <m:e>
              <m:r>
                <m:rPr/>
                <m:t>s</m:t>
              </m:r>
            </m:e>
            <m:sub>
              <m:r>
                <m:rPr/>
                <m:t>i</m:t>
              </m:r>
            </m:sub>
          </m:sSub>
          <m:r>
            <m:rPr>
              <m:sty m:val="p"/>
            </m:rPr>
            <m:t>=</m:t>
          </m:r>
          <m:r>
            <m:rPr/>
            <m:t>k</m:t>
          </m:r>
          <m:r>
            <m:rPr>
              <m:sty m:val="p"/>
            </m:rPr>
            <m:t>,</m:t>
          </m:r>
          <m:r>
            <m:rPr/>
            <m:t> con</m:t>
          </m:r>
          <m:sSub>
            <m:sSubPr/>
            <m:e>
              <m:r>
                <m:rPr/>
                <m:t>f</m:t>
              </m:r>
            </m:e>
            <m:sub>
              <m:r>
                <m:rPr/>
                <m:t>i</m:t>
              </m:r>
            </m:sub>
          </m:sSub>
          <m:r>
            <m:rPr>
              <m:sty m:val="p"/>
            </m:rPr>
            <m:t>≥</m:t>
          </m:r>
          <m:r>
            <m:rPr/>
            <m:t>τ</m:t>
          </m:r>
          <m:r>
            <m:rPr>
              <m:sty m:val="p"/>
            </m:rPr>
            <m:t>)</m:t>
          </m:r>
        </m:oMath>
      </m:oMathPara>
    </w:p>
    <w:p w14:paraId="23EDFBA6">
      <w:pPr>
        <w:pStyle w:val="24"/>
      </w:pPr>
      <w:r>
        <w:rPr>
          <w:rFonts w:hint="eastAsia"/>
        </w:rPr>
        <w:t>结合显微系统标定参数——有效视场面积A_fov与有效景深d，计算等效采样体积V_eff</w:t>
      </w:r>
      <w:r>
        <w:t xml:space="preserve"> = A_fov · </w:t>
      </w:r>
      <w:r>
        <w:rPr>
          <w:rFonts w:hint="eastAsia"/>
        </w:rPr>
        <w:t>d，从而估算该帧对应的瞬时相对浓度：</w:t>
      </w:r>
    </w:p>
    <w:p w14:paraId="240ED6DE">
      <w:pPr>
        <w:pStyle w:val="3"/>
      </w:pPr>
      <m:oMathPara>
        <m:oMathParaPr>
          <m:jc m:val="center"/>
        </m:oMathParaPr>
        <m:oMath>
          <m:sSub>
            <m:sSubPr/>
            <m:e>
              <m:r>
                <m:rPr/>
                <m:t>C</m:t>
              </m:r>
            </m:e>
            <m:sub>
              <m:r>
                <m:rPr/>
                <m:t>k</m:t>
              </m:r>
            </m:sub>
          </m:sSub>
          <m:r>
            <m:rPr>
              <m:sty m:val="p"/>
            </m:rPr>
            <m:t>=</m:t>
          </m:r>
          <m:f>
            <m:fPr/>
            <m:num>
              <m:sSub>
                <m:sSubPr/>
                <m:e>
                  <m:r>
                    <m:rPr/>
                    <m:t>N</m:t>
                  </m:r>
                </m:e>
                <m:sub>
                  <m:r>
                    <m:rPr/>
                    <m:t>k</m:t>
                  </m:r>
                </m:sub>
              </m:sSub>
            </m:num>
            <m:den>
              <m:sSub>
                <m:sSubPr/>
                <m:e>
                  <m:r>
                    <m:rPr/>
                    <m:t>V</m:t>
                  </m:r>
                </m:e>
                <m:sub>
                  <m:r>
                    <m:rPr/>
                    <m:t>eff</m:t>
                  </m:r>
                </m:sub>
              </m:sSub>
            </m:den>
          </m:f>
          <m:r>
            <m:rPr>
              <m:sty m:val="p"/>
            </m:rPr>
            <m:t>⋅</m:t>
          </m:r>
          <m:r>
            <m:rPr/>
            <m:t>η</m:t>
          </m:r>
        </m:oMath>
      </m:oMathPara>
    </w:p>
    <w:p w14:paraId="4EA1EF22">
      <w:pPr>
        <w:pStyle w:val="24"/>
      </w:pPr>
      <w:r>
        <w:rPr>
          <w:rFonts w:hint="eastAsia"/>
        </w:rPr>
        <w:t>其中η为采样流速与稀释校正系数。为降低单帧统计波动，系统采用时间窗滑动平均：</w:t>
      </w:r>
    </w:p>
    <w:p w14:paraId="76803371">
      <w:pPr>
        <w:pStyle w:val="3"/>
      </w:pPr>
      <m:oMathPara>
        <m:oMathParaPr>
          <m:jc m:val="center"/>
        </m:oMathParaPr>
        <m:oMath>
          <m:sSub>
            <m:sSubPr/>
            <m:e>
              <m:acc>
                <m:accPr>
                  <m:chr m:val="‾"/>
                </m:accPr>
                <m:e>
                  <m:r>
                    <m:rPr/>
                    <m:t>C</m:t>
                  </m:r>
                </m:e>
              </m:acc>
            </m:e>
            <m:sub>
              <m:r>
                <m:rPr/>
                <m:t>k</m:t>
              </m:r>
            </m:sub>
          </m:sSub>
          <m:r>
            <m:rPr>
              <m:sty m:val="p"/>
            </m:rPr>
            <m:t>(</m:t>
          </m:r>
          <m:r>
            <m:rPr/>
            <m:t>t</m:t>
          </m:r>
          <m:r>
            <m:rPr>
              <m:sty m:val="p"/>
            </m:rPr>
            <m:t>)=</m:t>
          </m:r>
          <m:f>
            <m:fPr/>
            <m:num>
              <m:r>
                <m:rPr/>
                <m:t>1</m:t>
              </m:r>
            </m:num>
            <m:den>
              <m:r>
                <m:rPr/>
                <m:t>m</m:t>
              </m:r>
            </m:den>
          </m:f>
          <m:nary>
            <m:naryPr>
              <m:chr m:val="∑"/>
              <m:limLoc m:val="undOvr"/>
            </m:naryPr>
            <m:sub>
              <m:r>
                <m:rPr/>
                <m:t>j</m:t>
              </m:r>
              <m:r>
                <m:rPr>
                  <m:sty m:val="p"/>
                </m:rPr>
                <m:t>=</m:t>
              </m:r>
              <m:r>
                <m:rPr/>
                <m:t>0</m:t>
              </m:r>
            </m:sub>
            <m:sup>
              <m:r>
                <m:rPr/>
                <m:t>m</m:t>
              </m:r>
              <m:r>
                <m:rPr>
                  <m:sty m:val="p"/>
                </m:rPr>
                <m:t>−</m:t>
              </m:r>
              <m:r>
                <m:rPr/>
                <m:t>1</m:t>
              </m:r>
            </m:sup>
            <m:e>
              <m:sSub>
                <m:sSubPr/>
                <m:e>
                  <m:r>
                    <m:rPr/>
                    <m:t>C</m:t>
                  </m:r>
                </m:e>
                <m:sub>
                  <m:r>
                    <m:rPr/>
                    <m:t>k</m:t>
                  </m:r>
                </m:sub>
              </m:sSub>
            </m:e>
          </m:nary>
          <m:r>
            <m:rPr>
              <m:sty m:val="p"/>
            </m:rPr>
            <m:t>(</m:t>
          </m:r>
          <m:r>
            <m:rPr/>
            <m:t>t</m:t>
          </m:r>
          <m:r>
            <m:rPr>
              <m:sty m:val="p"/>
            </m:rPr>
            <m:t>−</m:t>
          </m:r>
          <m:r>
            <m:rPr/>
            <m:t>j</m:t>
          </m:r>
          <m:r>
            <m:rPr>
              <m:sty m:val="p"/>
            </m:rPr>
            <m:t>)</m:t>
          </m:r>
        </m:oMath>
      </m:oMathPara>
    </w:p>
    <w:p w14:paraId="3FE09E79">
      <w:pPr>
        <w:pStyle w:val="24"/>
      </w:pPr>
      <w:r>
        <w:rPr>
          <w:rFonts w:hint="eastAsia"/>
        </w:rPr>
        <w:t>基于时间窗均值，实时计算阶段增长率——这是预警决策的关键指标：</w:t>
      </w:r>
    </w:p>
    <w:p w14:paraId="1B84277B">
      <w:pPr>
        <w:pStyle w:val="3"/>
      </w:pPr>
      <m:oMathPara>
        <m:oMathParaPr>
          <m:jc m:val="center"/>
        </m:oMathParaPr>
        <m:oMath>
          <m:sSub>
            <m:sSubPr/>
            <m:e>
              <m:r>
                <m:rPr/>
                <m:t>G</m:t>
              </m:r>
            </m:e>
            <m:sub>
              <m:r>
                <m:rPr/>
                <m:t>k</m:t>
              </m:r>
            </m:sub>
          </m:sSub>
          <m:r>
            <m:rPr>
              <m:sty m:val="p"/>
            </m:rPr>
            <m:t>(</m:t>
          </m:r>
          <m:r>
            <m:rPr/>
            <m:t>t</m:t>
          </m:r>
          <m:r>
            <m:rPr>
              <m:sty m:val="p"/>
            </m:rPr>
            <m:t>)=</m:t>
          </m:r>
          <m:f>
            <m:fPr/>
            <m:num>
              <m:sSub>
                <m:sSubPr/>
                <m:e>
                  <m:acc>
                    <m:accPr>
                      <m:chr m:val="‾"/>
                    </m:accPr>
                    <m:e>
                      <m:r>
                        <m:rPr/>
                        <m:t>C</m:t>
                      </m:r>
                    </m:e>
                  </m:acc>
                </m:e>
                <m:sub>
                  <m:r>
                    <m:rPr/>
                    <m:t>k</m:t>
                  </m:r>
                </m:sub>
              </m:sSub>
              <m:r>
                <m:rPr>
                  <m:sty m:val="p"/>
                </m:rPr>
                <m:t>(</m:t>
              </m:r>
              <m:r>
                <m:rPr/>
                <m:t>t</m:t>
              </m:r>
              <m:r>
                <m:rPr>
                  <m:sty m:val="p"/>
                </m:rPr>
                <m:t>)−</m:t>
              </m:r>
              <m:sSub>
                <m:sSubPr/>
                <m:e>
                  <m:acc>
                    <m:accPr>
                      <m:chr m:val="‾"/>
                    </m:accPr>
                    <m:e>
                      <m:r>
                        <m:rPr/>
                        <m:t>C</m:t>
                      </m:r>
                    </m:e>
                  </m:acc>
                </m:e>
                <m:sub>
                  <m:r>
                    <m:rPr/>
                    <m:t>k</m:t>
                  </m:r>
                </m:sub>
              </m:sSub>
              <m:r>
                <m:rPr>
                  <m:sty m:val="p"/>
                </m:rPr>
                <m:t>(</m:t>
              </m:r>
              <m:r>
                <m:rPr/>
                <m:t>t</m:t>
              </m:r>
              <m:r>
                <m:rPr>
                  <m:sty m:val="p"/>
                </m:rPr>
                <m:t>−Δ</m:t>
              </m:r>
              <m:r>
                <m:rPr/>
                <m:t>t</m:t>
              </m:r>
              <m:r>
                <m:rPr>
                  <m:sty m:val="p"/>
                </m:rPr>
                <m:t>)</m:t>
              </m:r>
            </m:num>
            <m:den>
              <m:sSub>
                <m:sSubPr/>
                <m:e>
                  <m:acc>
                    <m:accPr>
                      <m:chr m:val="‾"/>
                    </m:accPr>
                    <m:e>
                      <m:r>
                        <m:rPr/>
                        <m:t>C</m:t>
                      </m:r>
                    </m:e>
                  </m:acc>
                </m:e>
                <m:sub>
                  <m:r>
                    <m:rPr/>
                    <m:t>k</m:t>
                  </m:r>
                </m:sub>
              </m:sSub>
              <m:r>
                <m:rPr>
                  <m:sty m:val="p"/>
                </m:rPr>
                <m:t>(</m:t>
              </m:r>
              <m:r>
                <m:rPr/>
                <m:t>t</m:t>
              </m:r>
              <m:r>
                <m:rPr>
                  <m:sty m:val="p"/>
                </m:rPr>
                <m:t>−Δ</m:t>
              </m:r>
              <m:r>
                <m:rPr/>
                <m:t>t</m:t>
              </m:r>
              <m:r>
                <m:rPr>
                  <m:sty m:val="p"/>
                </m:rPr>
                <m:t>)+</m:t>
              </m:r>
              <m:r>
                <m:rPr/>
                <m:t>ε</m:t>
              </m:r>
            </m:den>
          </m:f>
        </m:oMath>
      </m:oMathPara>
    </w:p>
    <w:p w14:paraId="1E68DEAE">
      <w:pPr>
        <w:pStyle w:val="24"/>
      </w:pPr>
      <w:r>
        <w:rPr>
          <w:rFonts w:hint="eastAsia"/>
        </w:rPr>
        <w:t>当G_k(t)超过预设增长率阈值且绝对浓度C_k高于风险浓度线时，系统自动判定为”藻华爆发趋势”，提前24-72小时发出分级预警。这一”从计数到趋势、从趋势到预警”的量化决策链路，使”预警早”从口号变为可落地的数学机制。</w:t>
      </w:r>
    </w:p>
    <w:bookmarkEnd w:id="5"/>
    <w:p w14:paraId="24047FBB">
      <w:pPr>
        <w:pStyle w:val="5"/>
      </w:pPr>
      <w:bookmarkStart w:id="6" w:name="软件平台与数据闭环"/>
      <w:commentRangeStart w:id="10"/>
      <w:r>
        <w:t xml:space="preserve">3.6 </w:t>
      </w:r>
      <w:r>
        <w:rPr>
          <w:rFonts w:hint="eastAsia"/>
        </w:rPr>
        <w:t>软件平台与数据闭环</w:t>
      </w:r>
      <w:commentRangeEnd w:id="10"/>
      <w:r>
        <w:commentReference w:id="10"/>
      </w:r>
    </w:p>
    <w:p w14:paraId="1EC049BD">
      <w:pPr>
        <w:pStyle w:val="24"/>
      </w:pPr>
      <w:r>
        <w:rPr>
          <w:rFonts w:hint="eastAsia"/>
          <w:b/>
          <w:bCs/>
        </w:rPr>
        <w:t>系统越用越准——从单点工具到区域监测网络的进化引擎。</w:t>
      </w:r>
    </w:p>
    <w:p w14:paraId="3DDDD392">
      <w:pPr>
        <w:pStyle w:val="3"/>
      </w:pPr>
      <w:r>
        <w:rPr>
          <w:rFonts w:hint="eastAsia"/>
        </w:rPr>
        <w:t>技术方案不仅包含算法管线，还包含支撑长期运行的软件平台体系。平台基于FastAPI后端框架构建RESTful</w:t>
      </w:r>
      <w:r>
        <w:t xml:space="preserve"> </w:t>
      </w:r>
      <w:r>
        <w:rPr>
          <w:rFonts w:hint="eastAsia"/>
        </w:rPr>
        <w:t>API服务，前端采用原生HTML5/CSS3/JavaScript</w:t>
      </w:r>
      <w:r>
        <w:t xml:space="preserve"> </w:t>
      </w:r>
      <w:r>
        <w:rPr>
          <w:rFonts w:hint="eastAsia"/>
        </w:rPr>
        <w:t>SPA架构（零构建工具依赖），集成Chart.js可视化引擎，提供六大功能模块：</w:t>
      </w:r>
    </w:p>
    <w:tbl>
      <w:tblPr>
        <w:tblStyle w:val="42"/>
        <w:tblW w:w="5000" w:type="pct"/>
        <w:tblInd w:w="0" w:type="dxa"/>
        <w:tblLayout w:type="fixed"/>
        <w:tblCellMar>
          <w:top w:w="60" w:type="dxa"/>
          <w:left w:w="120" w:type="dxa"/>
          <w:bottom w:w="60" w:type="dxa"/>
          <w:right w:w="120" w:type="dxa"/>
        </w:tblCellMar>
      </w:tblPr>
      <w:tblGrid>
        <w:gridCol w:w="4633"/>
        <w:gridCol w:w="4633"/>
      </w:tblGrid>
      <w:tr w14:paraId="7A8B6EFF">
        <w:trPr>
          <w:tblHeader/>
        </w:trPr>
        <w:tc>
          <w:p w14:paraId="5FFB45B8">
            <w:pPr>
              <w:pStyle w:val="25"/>
            </w:pPr>
            <w:r>
              <w:rPr>
                <w:rFonts w:hint="eastAsia"/>
              </w:rPr>
              <w:t>功能模块</w:t>
            </w:r>
          </w:p>
        </w:tc>
        <w:tc>
          <w:p w14:paraId="449976BD">
            <w:pPr>
              <w:pStyle w:val="25"/>
            </w:pPr>
            <w:r>
              <w:rPr>
                <w:rFonts w:hint="eastAsia"/>
              </w:rPr>
              <w:t>核心能力</w:t>
            </w:r>
          </w:p>
        </w:tc>
      </w:tr>
      <w:tr w14:paraId="529C812F">
        <w:tc>
          <w:p w14:paraId="078E5D2C">
            <w:pPr>
              <w:pStyle w:val="25"/>
            </w:pPr>
            <w:r>
              <w:rPr>
                <w:rFonts w:hint="eastAsia"/>
                <w:b/>
                <w:bCs/>
              </w:rPr>
              <w:t>设备管理</w:t>
            </w:r>
          </w:p>
        </w:tc>
        <w:tc>
          <w:p w14:paraId="21F60896">
            <w:pPr>
              <w:pStyle w:val="25"/>
            </w:pPr>
            <w:r>
              <w:rPr>
                <w:rFonts w:hint="eastAsia"/>
              </w:rPr>
              <w:t>设备注册、状态监控、远程参数配置、固件OTA升级</w:t>
            </w:r>
          </w:p>
        </w:tc>
      </w:tr>
      <w:tr w14:paraId="51BEA6AD">
        <w:tc>
          <w:p w14:paraId="20C1F293">
            <w:pPr>
              <w:pStyle w:val="25"/>
            </w:pPr>
            <w:r>
              <w:rPr>
                <w:rFonts w:hint="eastAsia"/>
                <w:b/>
                <w:bCs/>
              </w:rPr>
              <w:t>检测结果展示</w:t>
            </w:r>
          </w:p>
        </w:tc>
        <w:tc>
          <w:p w14:paraId="13D8C650">
            <w:pPr>
              <w:pStyle w:val="25"/>
            </w:pPr>
            <w:r>
              <w:rPr>
                <w:rFonts w:hint="eastAsia"/>
              </w:rPr>
              <w:t>原始图像-偏振重建-增强结果-检测画框四级可视化对比</w:t>
            </w:r>
          </w:p>
        </w:tc>
      </w:tr>
      <w:tr w14:paraId="5F823A4C">
        <w:tc>
          <w:p w14:paraId="42D72B27">
            <w:pPr>
              <w:pStyle w:val="25"/>
            </w:pPr>
            <w:r>
              <w:rPr>
                <w:rFonts w:hint="eastAsia"/>
                <w:b/>
                <w:bCs/>
              </w:rPr>
              <w:t>风险预警</w:t>
            </w:r>
          </w:p>
        </w:tc>
        <w:tc>
          <w:p w14:paraId="628016F8">
            <w:pPr>
              <w:pStyle w:val="25"/>
            </w:pPr>
            <w:r>
              <w:rPr>
                <w:rFonts w:hint="eastAsia"/>
              </w:rPr>
              <w:t>高危藻种即时告警、浓度趋势曲线、风险等级（红/橙/绿）实时变色</w:t>
            </w:r>
          </w:p>
        </w:tc>
      </w:tr>
      <w:tr w14:paraId="7A804322">
        <w:tc>
          <w:p w14:paraId="59107BA9">
            <w:pPr>
              <w:pStyle w:val="25"/>
            </w:pPr>
            <w:r>
              <w:rPr>
                <w:rFonts w:hint="eastAsia"/>
                <w:b/>
                <w:bCs/>
              </w:rPr>
              <w:t>数据汇流</w:t>
            </w:r>
          </w:p>
        </w:tc>
        <w:tc>
          <w:p w14:paraId="6542E726">
            <w:pPr>
              <w:pStyle w:val="25"/>
            </w:pPr>
            <w:r>
              <w:rPr>
                <w:rFonts w:hint="eastAsia"/>
              </w:rPr>
              <w:t>检测记录持久化存储（SQLite）、历史数据检索与导出</w:t>
            </w:r>
          </w:p>
        </w:tc>
      </w:tr>
      <w:tr w14:paraId="74064A65">
        <w:tc>
          <w:p w14:paraId="41BD54DC">
            <w:pPr>
              <w:pStyle w:val="25"/>
            </w:pPr>
            <w:r>
              <w:rPr>
                <w:rFonts w:hint="eastAsia"/>
                <w:b/>
                <w:bCs/>
              </w:rPr>
              <w:t>趋势分析</w:t>
            </w:r>
          </w:p>
        </w:tc>
        <w:tc>
          <w:p w14:paraId="565B8B3F">
            <w:pPr>
              <w:pStyle w:val="25"/>
            </w:pPr>
            <w:r>
              <w:rPr>
                <w:rFonts w:hint="eastAsia"/>
              </w:rPr>
              <w:t>多时间尺度浓度变化曲线、藻种群落演替图、环境因子联合分析</w:t>
            </w:r>
          </w:p>
        </w:tc>
      </w:tr>
      <w:tr w14:paraId="26B698BA">
        <w:tc>
          <w:p w14:paraId="4C7DDAE5">
            <w:pPr>
              <w:pStyle w:val="25"/>
            </w:pPr>
            <w:r>
              <w:rPr>
                <w:rFonts w:hint="eastAsia"/>
                <w:b/>
                <w:bCs/>
              </w:rPr>
              <w:t>报告生成</w:t>
            </w:r>
          </w:p>
        </w:tc>
        <w:tc>
          <w:p w14:paraId="3FA20F53">
            <w:pPr>
              <w:pStyle w:val="25"/>
            </w:pPr>
            <w:r>
              <w:rPr>
                <w:rFonts w:hint="eastAsia"/>
              </w:rPr>
              <w:t>一键生成巡检报告、月度水质藻情简报、超标事件专项分析报告</w:t>
            </w:r>
          </w:p>
        </w:tc>
      </w:tr>
    </w:tbl>
    <w:p w14:paraId="329BAF26">
      <w:pPr>
        <w:pStyle w:val="3"/>
      </w:pPr>
      <w:r>
        <w:rPr>
          <w:rFonts w:hint="eastAsia"/>
          <w:b/>
          <w:bCs/>
        </w:rPr>
        <w:t>数据闭环——系统的自我进化机制：</w:t>
      </w:r>
    </w:p>
    <w:p w14:paraId="6290BD4C">
      <w:pPr>
        <w:pStyle w:val="3"/>
      </w:pPr>
      <w:r>
        <w:rPr>
          <w:rFonts w:hint="eastAsia"/>
        </w:rPr>
        <w:t>平台构建了「采集→识别→复核→再训练」四步数据闭环：</w:t>
      </w:r>
    </w:p>
    <w:p w14:paraId="5F1DB94F">
      <w:pPr>
        <w:pStyle w:val="25"/>
        <w:numPr>
          <w:ilvl w:val="0"/>
          <w:numId w:val="3"/>
        </w:numPr>
      </w:pPr>
      <w:r>
        <w:rPr>
          <w:rFonts w:hint="eastAsia"/>
          <w:b/>
          <w:bCs/>
        </w:rPr>
        <w:t>采集：</w:t>
      </w:r>
      <w:r>
        <w:t xml:space="preserve"> </w:t>
      </w:r>
      <w:r>
        <w:rPr>
          <w:rFonts w:hint="eastAsia"/>
        </w:rPr>
        <w:t>水下原位偏振显微成像，图像通过质量评分Q筛选后入库；</w:t>
      </w:r>
    </w:p>
    <w:p w14:paraId="58CC5DC8">
      <w:pPr>
        <w:pStyle w:val="25"/>
        <w:numPr>
          <w:ilvl w:val="0"/>
          <w:numId w:val="3"/>
        </w:numPr>
      </w:pPr>
      <w:r>
        <w:rPr>
          <w:rFonts w:hint="eastAsia"/>
          <w:b/>
          <w:bCs/>
        </w:rPr>
        <w:t>识别：</w:t>
      </w:r>
      <w:r>
        <w:t xml:space="preserve"> </w:t>
      </w:r>
      <w:r>
        <w:rPr>
          <w:rFonts w:hint="eastAsia"/>
        </w:rPr>
        <w:t>YOLOv8s自动分类计数，输出检测结果与置信度；</w:t>
      </w:r>
    </w:p>
    <w:p w14:paraId="7568BDDC">
      <w:pPr>
        <w:pStyle w:val="25"/>
        <w:numPr>
          <w:ilvl w:val="0"/>
          <w:numId w:val="3"/>
        </w:numPr>
      </w:pPr>
      <w:r>
        <w:rPr>
          <w:rFonts w:hint="eastAsia"/>
          <w:b/>
          <w:bCs/>
        </w:rPr>
        <w:t>复核：</w:t>
      </w:r>
      <w:r>
        <w:t xml:space="preserve"> </w:t>
      </w:r>
      <w:r>
        <w:rPr>
          <w:rFonts w:hint="eastAsia"/>
        </w:rPr>
        <w:t>低置信度（conf</w:t>
      </w:r>
      <w:r>
        <w:t xml:space="preserve"> &lt; </w:t>
      </w:r>
      <w:r>
        <w:rPr>
          <w:rFonts w:hint="eastAsia"/>
        </w:rPr>
        <w:t>0.6）样本和Q值处于待复核区间的图像，推送至人工复核界面。专家校验后，修正标签（纠正误检、补充漏检、细化藻种），复核结果回流至训练池；</w:t>
      </w:r>
    </w:p>
    <w:p w14:paraId="1179BA35">
      <w:pPr>
        <w:pStyle w:val="25"/>
        <w:numPr>
          <w:ilvl w:val="0"/>
          <w:numId w:val="3"/>
        </w:numPr>
      </w:pPr>
      <w:r>
        <w:rPr>
          <w:rFonts w:hint="eastAsia"/>
          <w:b/>
          <w:bCs/>
        </w:rPr>
        <w:t>再训练：</w:t>
      </w:r>
      <w:r>
        <w:t xml:space="preserve"> </w:t>
      </w:r>
      <w:r>
        <w:rPr>
          <w:rFonts w:hint="eastAsia"/>
        </w:rPr>
        <w:t>当训练池新增样本达到一定规模（每类≥50张），触发增量训练或全量微调，更新模型权重，通过A/B测试验证新模型效果后热替换上线。</w:t>
      </w:r>
    </w:p>
    <w:p w14:paraId="1D3B5596">
      <w:pPr>
        <w:pStyle w:val="24"/>
      </w:pPr>
      <w:r>
        <w:rPr>
          <w:rFonts w:hint="eastAsia"/>
        </w:rPr>
        <w:t>这一闭环的核心价值在于：</w:t>
      </w:r>
      <w:r>
        <w:rPr>
          <w:rFonts w:hint="eastAsia"/>
          <w:b/>
          <w:bCs/>
        </w:rPr>
        <w:t>随着不同水体、不同季节、不同藻种数据的持续积累，系统检测精度将随时间单调递增。</w:t>
      </w:r>
      <w:r>
        <w:t xml:space="preserve"> </w:t>
      </w:r>
      <w:r>
        <w:rPr>
          <w:rFonts w:hint="eastAsia"/>
        </w:rPr>
        <w:t>从单个试点站开始，逐步联入更多节点，形成区域化的分布式监测网络——每个节点产生的数据都在反哺整个网络的模型能力。这正是”系统越用越准”的技术底气。</w:t>
      </w:r>
    </w:p>
    <w:bookmarkEnd w:id="6"/>
    <w:p w14:paraId="13991A3F">
      <w:pPr>
        <w:pStyle w:val="5"/>
      </w:pPr>
      <w:bookmarkStart w:id="7" w:name="技术创新点总结"/>
      <w:r>
        <w:t xml:space="preserve">3.7 </w:t>
      </w:r>
      <w:r>
        <w:rPr>
          <w:rFonts w:hint="eastAsia"/>
        </w:rPr>
        <w:t>技术创新点总结</w:t>
      </w:r>
    </w:p>
    <w:p w14:paraId="1FF125E9">
      <w:pPr>
        <w:pStyle w:val="24"/>
      </w:pPr>
      <w:r>
        <w:rPr>
          <w:rFonts w:hint="eastAsia"/>
        </w:rPr>
        <w:t>本项目在”</w:t>
      </w:r>
      <w:commentRangeStart w:id="11"/>
      <w:r>
        <w:rPr>
          <w:rFonts w:hint="eastAsia"/>
          <w:color w:val="FF0000"/>
        </w:rPr>
        <w:t>看得清、识得准、预警早、用得起</w:t>
      </w:r>
      <w:commentRangeEnd w:id="11"/>
      <w:r>
        <w:commentReference w:id="11"/>
      </w:r>
      <w:r>
        <w:rPr>
          <w:rFonts w:hint="eastAsia"/>
        </w:rPr>
        <w:t>”四大维度上，形成了五项可明确归因的技术创新：</w:t>
      </w:r>
    </w:p>
    <w:p w14:paraId="73289DD3">
      <w:pPr>
        <w:pStyle w:val="3"/>
      </w:pPr>
      <w:r>
        <w:rPr>
          <w:rFonts w:hint="eastAsia"/>
          <w:b/>
          <w:bCs/>
        </w:rPr>
        <w:t>创新点一：基于结构张量的无偏振硬件物理仿真（降本核心）</w:t>
      </w:r>
      <w:r>
        <w:t xml:space="preserve"> </w:t>
      </w:r>
      <w:r>
        <w:rPr>
          <w:rFonts w:hint="eastAsia"/>
        </w:rPr>
        <w:t>以普通RGB显微图像为唯一输入，利用结构张量梯度场和Malus定律从物理层面仿真合成四个偏振通道，彻底摆脱对昂贵DoFP偏振相机的硬件依赖，将系统BOM成本降低约60%，是</w:t>
      </w:r>
      <w:bookmarkStart w:id="8" w:name="_GoBack"/>
      <w:bookmarkEnd w:id="8"/>
      <w:r>
        <w:rPr>
          <w:rFonts w:hint="eastAsia"/>
        </w:rPr>
        <w:t>实现”用得起”的物理基石。该方法的YOLO检测精度（mAP50</w:t>
      </w:r>
      <w:r>
        <w:t xml:space="preserve"> </w:t>
      </w:r>
      <w:r>
        <w:rPr>
          <w:rFonts w:hint="eastAsia"/>
        </w:rPr>
        <w:t>84.7%）远超HSV仿真方案（mAP50</w:t>
      </w:r>
      <w:r>
        <w:t xml:space="preserve"> </w:t>
      </w:r>
      <w:r>
        <w:rPr>
          <w:rFonts w:hint="eastAsia"/>
        </w:rPr>
        <w:t>37.9%），验证了物理建模路线的绝对优势。</w:t>
      </w:r>
    </w:p>
    <w:p w14:paraId="1BFC0B35">
      <w:pPr>
        <w:pStyle w:val="3"/>
      </w:pPr>
      <w:r>
        <w:rPr>
          <w:rFonts w:hint="eastAsia"/>
          <w:b/>
          <w:bCs/>
        </w:rPr>
        <w:t>创新点二：0.6M参数超轻量RDN偏振重建网络（精度核心）</w:t>
      </w:r>
      <w:r>
        <w:t xml:space="preserve"> </w:t>
      </w:r>
      <w:r>
        <w:rPr>
          <w:rFonts w:hint="eastAsia"/>
        </w:rPr>
        <w:t>设计12个残差稠密块级联的RDN网络，以仅60万参数（2.5MB模型文件）实现PSNR</w:t>
      </w:r>
      <w:r>
        <w:t xml:space="preserve"> </w:t>
      </w:r>
      <w:r>
        <w:rPr>
          <w:rFonts w:hint="eastAsia"/>
        </w:rPr>
        <w:t>62.46dB的偏振信息重建精度。稠密连接机制和全局残差学习策略确保了微藻细胞壁边界、鞭毛纹理和群体轮廓等亚像素级高频特征的完整保留，为后续检测提供”看得清”的输入保障。</w:t>
      </w:r>
    </w:p>
    <w:p w14:paraId="41D8B399">
      <w:pPr>
        <w:pStyle w:val="3"/>
      </w:pPr>
      <w:r>
        <w:rPr>
          <w:rFonts w:hint="eastAsia"/>
          <w:b/>
          <w:bCs/>
        </w:rPr>
        <w:t>创新点三：I_enh</w:t>
      </w:r>
      <w:r>
        <w:rPr>
          <w:b/>
          <w:bCs/>
        </w:rPr>
        <w:t xml:space="preserve"> </w:t>
      </w:r>
      <w:r>
        <w:rPr>
          <w:rFonts w:hint="eastAsia"/>
          <w:b/>
          <w:bCs/>
        </w:rPr>
        <w:t>v2偏振物理去散射增强模型（成像核心）</w:t>
      </w:r>
      <w:r>
        <w:t xml:space="preserve"> </w:t>
      </w:r>
      <w:r>
        <w:rPr>
          <w:rFonts w:hint="eastAsia"/>
        </w:rPr>
        <w:t>基于Stokes偏振参量（DoLP、AoP）的物理补偿机制，创新性地将水体背向散射压制（-γ·DoLP项）与藻体边缘选择性增强（+β·|sin(2·AoP)|·DoLP项）统一在单一公式中，实现”去散射而不伤目标”的选择性处理，藻体边缘对比度提升3-5倍。</w:t>
      </w:r>
    </w:p>
    <w:p w14:paraId="43AFC964">
      <w:pPr>
        <w:pStyle w:val="3"/>
      </w:pPr>
      <w:r>
        <w:rPr>
          <w:rFonts w:hint="eastAsia"/>
          <w:b/>
          <w:bCs/>
        </w:rPr>
        <w:t>创新点四：95类LifeWatch标准体系YOLOv8s检测模型（识别核心）</w:t>
      </w:r>
      <w:r>
        <w:t xml:space="preserve"> </w:t>
      </w:r>
      <w:r>
        <w:rPr>
          <w:rFonts w:hint="eastAsia"/>
        </w:rPr>
        <w:t>将藻种识别从6类跃升至95类，覆盖蓝藻、绿藻、硅藻、甲藻、隐藻、裸藻等主要浮游植物门类及非目标干扰物类别。mAP50达到84.7%，单帧推理仅需0.1秒，内置高危/中危/低危三级风险映射，支撑从”计数”到”预警”的全自动决策链路。</w:t>
      </w:r>
    </w:p>
    <w:p w14:paraId="01F442CA">
      <w:pPr>
        <w:pStyle w:val="3"/>
      </w:pPr>
      <w:r>
        <w:rPr>
          <w:rFonts w:hint="eastAsia"/>
          <w:b/>
          <w:bCs/>
        </w:rPr>
        <w:t>创新点五：「采集-识别-复核-再训练」四步数据闭环（进化核心）</w:t>
      </w:r>
      <w:r>
        <w:t xml:space="preserve"> </w:t>
      </w:r>
      <w:r>
        <w:rPr>
          <w:rFonts w:hint="eastAsia"/>
        </w:rPr>
        <w:t>构建了从水下原位采集到人工复核回流再到模型增量训练的完整数据飞轮。系统不依赖一次性训练——部署越多、采集越多、复核越多、模型越准，实现检测精度的时间单调递增和区域化网络协同进化。</w:t>
      </w:r>
    </w:p>
    <w:p w14:paraId="08D1B99B">
      <w:r>
        <w:pict>
          <v:rect id="_x0000_i1025" o:spt="1" style="height:1.5pt;width:0pt;" coordsize="21600,21600" o:hr="t" o:hrstd="t" o:hralign="center">
            <v:path/>
            <v:fill focussize="0,0"/>
            <v:stroke/>
            <v:imagedata o:title=""/>
            <o:lock v:ext="edit"/>
            <w10:wrap type="none"/>
            <w10:anchorlock/>
          </v:rect>
        </w:pict>
      </w:r>
    </w:p>
    <w:p w14:paraId="637EEDBF">
      <w:pPr>
        <w:pStyle w:val="24"/>
      </w:pPr>
      <w:r>
        <w:rPr>
          <w:rFonts w:hint="eastAsia"/>
          <w:b/>
          <w:bCs/>
        </w:rPr>
        <w:t>技术方案核心指标速览：</w:t>
      </w:r>
    </w:p>
    <w:tbl>
      <w:tblPr>
        <w:tblStyle w:val="42"/>
        <w:tblW w:w="0" w:type="auto"/>
        <w:tblInd w:w="0" w:type="dxa"/>
        <w:tblLayout w:type="autofit"/>
        <w:tblCellMar>
          <w:top w:w="60" w:type="dxa"/>
          <w:left w:w="120" w:type="dxa"/>
          <w:bottom w:w="60" w:type="dxa"/>
          <w:right w:w="120" w:type="dxa"/>
        </w:tblCellMar>
      </w:tblPr>
      <w:tblGrid>
        <w:gridCol w:w="960"/>
        <w:gridCol w:w="2461"/>
        <w:gridCol w:w="3977"/>
      </w:tblGrid>
      <w:tr w14:paraId="72624D6B">
        <w:trPr>
          <w:tblHeader/>
        </w:trPr>
        <w:tc>
          <w:p w14:paraId="6D64A868">
            <w:pPr>
              <w:pStyle w:val="25"/>
            </w:pPr>
            <w:r>
              <w:rPr>
                <w:rFonts w:hint="eastAsia"/>
              </w:rPr>
              <w:t>维度</w:t>
            </w:r>
          </w:p>
        </w:tc>
        <w:tc>
          <w:p w14:paraId="5C8422AB">
            <w:pPr>
              <w:pStyle w:val="25"/>
            </w:pPr>
            <w:r>
              <w:rPr>
                <w:rFonts w:hint="eastAsia"/>
              </w:rPr>
              <w:t>指标</w:t>
            </w:r>
          </w:p>
        </w:tc>
        <w:tc>
          <w:p w14:paraId="5215413F">
            <w:pPr>
              <w:pStyle w:val="25"/>
            </w:pPr>
            <w:r>
              <w:rPr>
                <w:rFonts w:hint="eastAsia"/>
              </w:rPr>
              <w:t>数值</w:t>
            </w:r>
          </w:p>
        </w:tc>
      </w:tr>
      <w:tr w14:paraId="130798AD">
        <w:tc>
          <w:p w14:paraId="666A012A">
            <w:pPr>
              <w:pStyle w:val="25"/>
            </w:pPr>
            <w:r>
              <w:rPr>
                <w:rFonts w:hint="eastAsia"/>
              </w:rPr>
              <w:t>看得清</w:t>
            </w:r>
          </w:p>
        </w:tc>
        <w:tc>
          <w:p w14:paraId="5171314F">
            <w:pPr>
              <w:pStyle w:val="25"/>
            </w:pPr>
            <w:r>
              <w:rPr>
                <w:rFonts w:hint="eastAsia"/>
              </w:rPr>
              <w:t>RDN偏振重建PSNR</w:t>
            </w:r>
          </w:p>
        </w:tc>
        <w:tc>
          <w:p w14:paraId="4DE689DF">
            <w:pPr>
              <w:pStyle w:val="25"/>
            </w:pPr>
            <w:r>
              <w:t>62.46 dB</w:t>
            </w:r>
          </w:p>
        </w:tc>
      </w:tr>
      <w:tr w14:paraId="29A3AC49">
        <w:tc>
          <w:p w14:paraId="3498B1AD">
            <w:pPr>
              <w:pStyle w:val="25"/>
            </w:pPr>
            <w:r>
              <w:rPr>
                <w:rFonts w:hint="eastAsia"/>
              </w:rPr>
              <w:t>看得清</w:t>
            </w:r>
          </w:p>
        </w:tc>
        <w:tc>
          <w:p w14:paraId="4FB3C863">
            <w:pPr>
              <w:pStyle w:val="25"/>
            </w:pPr>
            <w:r>
              <w:rPr>
                <w:rFonts w:hint="eastAsia"/>
              </w:rPr>
              <w:t>RDN模型参数量</w:t>
            </w:r>
          </w:p>
        </w:tc>
        <w:tc>
          <w:p w14:paraId="4897CBDD">
            <w:pPr>
              <w:pStyle w:val="25"/>
            </w:pPr>
            <w:r>
              <w:rPr>
                <w:rFonts w:hint="eastAsia"/>
              </w:rPr>
              <w:t>0.6M（2.5MB）</w:t>
            </w:r>
          </w:p>
        </w:tc>
      </w:tr>
      <w:tr w14:paraId="2D2D947C">
        <w:tc>
          <w:p w14:paraId="6F29A3F6">
            <w:pPr>
              <w:pStyle w:val="25"/>
            </w:pPr>
            <w:r>
              <w:rPr>
                <w:rFonts w:hint="eastAsia"/>
              </w:rPr>
              <w:t>识得准</w:t>
            </w:r>
          </w:p>
        </w:tc>
        <w:tc>
          <w:p w14:paraId="60B22B24">
            <w:pPr>
              <w:pStyle w:val="25"/>
            </w:pPr>
            <w:r>
              <w:rPr>
                <w:rFonts w:hint="eastAsia"/>
              </w:rPr>
              <w:t>藻种覆盖</w:t>
            </w:r>
          </w:p>
        </w:tc>
        <w:tc>
          <w:p w14:paraId="2B19F284">
            <w:pPr>
              <w:pStyle w:val="25"/>
            </w:pPr>
            <w:r>
              <w:rPr>
                <w:rFonts w:hint="eastAsia"/>
              </w:rPr>
              <w:t>95类（LifeWatch标准）</w:t>
            </w:r>
          </w:p>
        </w:tc>
      </w:tr>
      <w:tr w14:paraId="730283ED">
        <w:tc>
          <w:p w14:paraId="5AE28AF8">
            <w:pPr>
              <w:pStyle w:val="25"/>
            </w:pPr>
            <w:r>
              <w:rPr>
                <w:rFonts w:hint="eastAsia"/>
              </w:rPr>
              <w:t>识得准</w:t>
            </w:r>
          </w:p>
        </w:tc>
        <w:tc>
          <w:p w14:paraId="55F9A5BA">
            <w:pPr>
              <w:pStyle w:val="25"/>
            </w:pPr>
            <w:r>
              <w:rPr>
                <w:rFonts w:hint="eastAsia"/>
              </w:rPr>
              <w:t>检测精度mAP50</w:t>
            </w:r>
          </w:p>
        </w:tc>
        <w:tc>
          <w:p w14:paraId="10480976">
            <w:pPr>
              <w:pStyle w:val="25"/>
            </w:pPr>
            <w:r>
              <w:t>84.7%</w:t>
            </w:r>
          </w:p>
        </w:tc>
      </w:tr>
      <w:tr w14:paraId="5C567C4A">
        <w:tc>
          <w:p w14:paraId="1D27C489">
            <w:pPr>
              <w:pStyle w:val="25"/>
            </w:pPr>
            <w:r>
              <w:rPr>
                <w:rFonts w:hint="eastAsia"/>
              </w:rPr>
              <w:t>预警早</w:t>
            </w:r>
          </w:p>
        </w:tc>
        <w:tc>
          <w:p w14:paraId="4DF816E4">
            <w:pPr>
              <w:pStyle w:val="25"/>
            </w:pPr>
            <w:r>
              <w:rPr>
                <w:rFonts w:hint="eastAsia"/>
              </w:rPr>
              <w:t>单帧推理速度</w:t>
            </w:r>
          </w:p>
        </w:tc>
        <w:tc>
          <w:p w14:paraId="44D66FC7">
            <w:pPr>
              <w:pStyle w:val="25"/>
            </w:pPr>
            <w:r>
              <w:rPr>
                <w:rFonts w:hint="eastAsia"/>
              </w:rPr>
              <w:t>0.1秒（300张/30秒）</w:t>
            </w:r>
          </w:p>
        </w:tc>
      </w:tr>
      <w:tr w14:paraId="6475B567">
        <w:tc>
          <w:p w14:paraId="681835BD">
            <w:pPr>
              <w:pStyle w:val="25"/>
            </w:pPr>
            <w:r>
              <w:rPr>
                <w:rFonts w:hint="eastAsia"/>
              </w:rPr>
              <w:t>预警早</w:t>
            </w:r>
          </w:p>
        </w:tc>
        <w:tc>
          <w:p w14:paraId="6DF683BE">
            <w:pPr>
              <w:pStyle w:val="25"/>
            </w:pPr>
            <w:r>
              <w:rPr>
                <w:rFonts w:hint="eastAsia"/>
              </w:rPr>
              <w:t>浓度趋势预警</w:t>
            </w:r>
          </w:p>
        </w:tc>
        <w:tc>
          <w:p w14:paraId="783681FF">
            <w:pPr>
              <w:pStyle w:val="25"/>
            </w:pPr>
            <w:r>
              <w:rPr>
                <w:rFonts w:hint="eastAsia"/>
              </w:rPr>
              <w:t>实时G_k(t)增长率计算</w:t>
            </w:r>
          </w:p>
        </w:tc>
      </w:tr>
      <w:tr w14:paraId="158CE2E9">
        <w:tc>
          <w:p w14:paraId="42FE6CB6">
            <w:pPr>
              <w:pStyle w:val="25"/>
            </w:pPr>
            <w:r>
              <w:rPr>
                <w:rFonts w:hint="eastAsia"/>
              </w:rPr>
              <w:t>用得起</w:t>
            </w:r>
          </w:p>
        </w:tc>
        <w:tc>
          <w:p w14:paraId="6BAABD39">
            <w:pPr>
              <w:pStyle w:val="25"/>
            </w:pPr>
            <w:r>
              <w:rPr>
                <w:rFonts w:hint="eastAsia"/>
              </w:rPr>
              <w:t>样机BOM成本</w:t>
            </w:r>
          </w:p>
        </w:tc>
        <w:tc>
          <w:p w14:paraId="7FC53E11">
            <w:pPr>
              <w:pStyle w:val="25"/>
            </w:pPr>
            <w:r>
              <w:rPr>
                <w:rFonts w:hint="eastAsia"/>
              </w:rPr>
              <w:t>1.6万-2.4万元</w:t>
            </w:r>
          </w:p>
        </w:tc>
      </w:tr>
      <w:tr w14:paraId="2F679056">
        <w:tc>
          <w:p w14:paraId="0B26586A">
            <w:pPr>
              <w:pStyle w:val="25"/>
            </w:pPr>
            <w:r>
              <w:rPr>
                <w:rFonts w:hint="eastAsia"/>
              </w:rPr>
              <w:t>用得起</w:t>
            </w:r>
          </w:p>
        </w:tc>
        <w:tc>
          <w:p w14:paraId="4FCC0081">
            <w:pPr>
              <w:pStyle w:val="25"/>
            </w:pPr>
            <w:r>
              <w:rPr>
                <w:rFonts w:hint="eastAsia"/>
              </w:rPr>
              <w:t>无特殊硬件需求</w:t>
            </w:r>
          </w:p>
        </w:tc>
        <w:tc>
          <w:p w14:paraId="2909E5D4">
            <w:pPr>
              <w:pStyle w:val="25"/>
            </w:pPr>
            <w:r>
              <w:rPr>
                <w:rFonts w:hint="eastAsia"/>
              </w:rPr>
              <w:t>普通RGB相机即可，无需偏振相机</w:t>
            </w:r>
          </w:p>
        </w:tc>
      </w:tr>
      <w:bookmarkEnd w:id="0"/>
      <w:bookmarkEnd w:id="7"/>
    </w:tbl>
    <w:p w14:paraId="6F8027BE"/>
    <w:sectPr>
      <w:headerReference r:id="rId6" w:type="default"/>
      <w:footerReference r:id="rId7" w:type="default"/>
      <w:footnotePr>
        <w:numRestart w:val="eachSect"/>
      </w:footnotePr>
      <w:pgSz w:w="11906" w:h="16838"/>
      <w:pgMar w:top="1440" w:right="1440" w:bottom="1440" w:left="144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兰元哲" w:date="2026-05-26T09:22:33Z" w:initials="">
    <w:p w14:paraId="02C33DD4">
      <w:pPr>
        <w:pStyle w:val="13"/>
        <w:rPr>
          <w:rFonts w:hint="default" w:eastAsiaTheme="minorEastAsia"/>
          <w:lang w:val="en-US" w:eastAsia="zh-CN"/>
        </w:rPr>
      </w:pPr>
      <w:r>
        <w:rPr>
          <w:rFonts w:hint="eastAsia"/>
          <w:lang w:val="en-US" w:eastAsia="zh-CN"/>
        </w:rPr>
        <w:t>这里有两个方案，一个是说这个很小参数量然后放前后对比图，一个是不说参数量，只说速度，例如全管线</w:t>
      </w:r>
    </w:p>
  </w:comment>
  <w:comment w:id="1" w:author="兰元哲" w:date="2026-05-26T11:01:46Z" w:initials="">
    <w:p w14:paraId="353608C7">
      <w:pPr>
        <w:pStyle w:val="13"/>
        <w:rPr>
          <w:rFonts w:hint="eastAsia"/>
          <w:lang w:val="en-US" w:eastAsia="zh-CN"/>
        </w:rPr>
      </w:pPr>
      <w:r>
        <w:rPr>
          <w:rFonts w:hint="eastAsia"/>
          <w:lang w:val="en-US" w:eastAsia="zh-CN"/>
        </w:rPr>
        <w:t>讲的话，肯定是HSV讲起来更好听，但是HSV需要亮度信息，不能是灰度图，所以适合于FWPD的这种明场成像，但是我造一点明场图像不就行了，这后面看，是细节问题</w:t>
      </w:r>
    </w:p>
    <w:p w14:paraId="2C8B335D">
      <w:pPr>
        <w:pStyle w:val="13"/>
        <w:rPr>
          <w:rFonts w:hint="eastAsia"/>
          <w:lang w:val="en-US" w:eastAsia="zh-CN"/>
        </w:rPr>
      </w:pPr>
      <w:r>
        <w:rPr>
          <w:rFonts w:hint="eastAsia"/>
          <w:lang w:val="en-US" w:eastAsia="zh-CN"/>
        </w:rPr>
        <w:t>或者就直接阐述我们的工作，我们用了两种偏振模拟方法来训练罢了，</w:t>
      </w:r>
    </w:p>
    <w:p w14:paraId="0DB1693E">
      <w:pPr>
        <w:pStyle w:val="13"/>
        <w:rPr>
          <w:rFonts w:hint="default"/>
          <w:lang w:val="en-US" w:eastAsia="zh-CN"/>
        </w:rPr>
      </w:pPr>
      <w:r>
        <w:rPr>
          <w:rFonts w:hint="eastAsia"/>
          <w:lang w:val="en-US" w:eastAsia="zh-CN"/>
        </w:rPr>
        <w:t>最后一定要补一组实际实验的数据训练，最后视频不能用训练集，就是自己录的然后造，但这个视频咋录，真要商量商量，效率高</w:t>
      </w:r>
    </w:p>
  </w:comment>
  <w:comment w:id="2" w:author="兰元哲" w:date="2026-05-26T11:18:43Z" w:initials="">
    <w:p w14:paraId="648B2BC0">
      <w:pPr>
        <w:pStyle w:val="13"/>
        <w:rPr>
          <w:rFonts w:hint="default" w:eastAsiaTheme="minorEastAsia"/>
          <w:lang w:val="en-US" w:eastAsia="zh-CN"/>
        </w:rPr>
      </w:pPr>
      <w:r>
        <w:rPr>
          <w:rFonts w:hint="eastAsia"/>
          <w:lang w:val="en-US" w:eastAsia="zh-CN"/>
        </w:rPr>
        <w:t>有图就行，不需要解释，参数量我后面看看，不是，真的超轻量化吗，这种东西说大一点其实挺好</w:t>
      </w:r>
    </w:p>
  </w:comment>
  <w:comment w:id="3" w:author="兰元哲" w:date="2026-05-26T11:19:45Z" w:initials="">
    <w:p w14:paraId="03EAC25C">
      <w:pPr>
        <w:pStyle w:val="13"/>
        <w:rPr>
          <w:rFonts w:hint="eastAsia" w:eastAsiaTheme="minorEastAsia"/>
          <w:lang w:val="en-US" w:eastAsia="zh-CN"/>
        </w:rPr>
      </w:pPr>
      <w:r>
        <w:rPr>
          <w:rFonts w:hint="eastAsia"/>
          <w:lang w:val="en-US" w:eastAsia="zh-CN"/>
        </w:rPr>
        <w:t>我看看</w:t>
      </w:r>
    </w:p>
  </w:comment>
  <w:comment w:id="4" w:author="兰元哲" w:date="2026-05-26T11:21:00Z" w:initials="">
    <w:p w14:paraId="36DA3054">
      <w:pPr>
        <w:pStyle w:val="13"/>
        <w:rPr>
          <w:rFonts w:hint="default" w:eastAsiaTheme="minorEastAsia"/>
          <w:lang w:val="en-US" w:eastAsia="zh-CN"/>
        </w:rPr>
      </w:pPr>
      <w:r>
        <w:rPr>
          <w:rFonts w:hint="eastAsia"/>
          <w:lang w:val="en-US" w:eastAsia="zh-CN"/>
        </w:rPr>
        <w:t>错在这里了，但是我那啥去</w:t>
      </w:r>
    </w:p>
  </w:comment>
  <w:comment w:id="5" w:author="兰元哲" w:date="2026-05-26T11:24:22Z" w:initials="">
    <w:p w14:paraId="0A1B6375">
      <w:pPr>
        <w:pStyle w:val="13"/>
        <w:rPr>
          <w:rFonts w:hint="default" w:eastAsiaTheme="minorEastAsia"/>
          <w:lang w:val="en-US" w:eastAsia="zh-CN"/>
        </w:rPr>
      </w:pPr>
      <w:r>
        <w:rPr>
          <w:rFonts w:hint="eastAsia"/>
          <w:lang w:val="en-US" w:eastAsia="zh-CN"/>
        </w:rPr>
        <w:t>这公式可以，亮点在于引入偏振物理补偿机制，实现对散射对选择性压制和藻体边缘对选择性增强</w:t>
      </w:r>
    </w:p>
  </w:comment>
  <w:comment w:id="6" w:author="兰元哲" w:date="2026-05-26T11:25:33Z" w:initials="">
    <w:p w14:paraId="496DBBF2">
      <w:pPr>
        <w:pStyle w:val="13"/>
        <w:rPr>
          <w:rFonts w:hint="eastAsia"/>
          <w:lang w:val="en-US" w:eastAsia="zh-CN"/>
        </w:rPr>
      </w:pPr>
      <w:r>
        <w:rPr>
          <w:rFonts w:hint="eastAsia"/>
          <w:lang w:val="en-US" w:eastAsia="zh-CN"/>
        </w:rPr>
        <w:t>可以，ppt上放上图像对比</w:t>
      </w:r>
    </w:p>
    <w:p w14:paraId="5CF3AE13">
      <w:pPr>
        <w:pStyle w:val="13"/>
        <w:rPr>
          <w:rFonts w:hint="default"/>
          <w:lang w:val="en-US" w:eastAsia="zh-CN"/>
        </w:rPr>
      </w:pPr>
    </w:p>
  </w:comment>
  <w:comment w:id="7" w:author="兰元哲" w:date="2026-05-26T11:25:53Z" w:initials="">
    <w:p w14:paraId="0C123B75">
      <w:pPr>
        <w:pStyle w:val="13"/>
        <w:rPr>
          <w:rFonts w:hint="eastAsia"/>
          <w:lang w:val="en-US" w:eastAsia="zh-CN"/>
        </w:rPr>
      </w:pPr>
      <w:r>
        <w:rPr>
          <w:rFonts w:hint="eastAsia"/>
          <w:lang w:val="en-US" w:eastAsia="zh-CN"/>
        </w:rPr>
        <w:t>跟前面在一页ppt上最好，到这里感觉就会过多</w:t>
      </w:r>
    </w:p>
    <w:p w14:paraId="46E765A1">
      <w:pPr>
        <w:pStyle w:val="13"/>
        <w:rPr>
          <w:rFonts w:hint="default"/>
          <w:lang w:val="en-US" w:eastAsia="zh-CN"/>
        </w:rPr>
      </w:pPr>
    </w:p>
  </w:comment>
  <w:comment w:id="8" w:author="兰元哲" w:date="2026-05-26T11:27:00Z" w:initials="">
    <w:p w14:paraId="7F134A16">
      <w:pPr>
        <w:pStyle w:val="13"/>
        <w:rPr>
          <w:rFonts w:hint="default" w:eastAsiaTheme="minorEastAsia"/>
          <w:lang w:val="en-US" w:eastAsia="zh-CN"/>
        </w:rPr>
      </w:pPr>
      <w:r>
        <w:rPr>
          <w:rFonts w:hint="eastAsia"/>
          <w:lang w:val="en-US" w:eastAsia="zh-CN"/>
        </w:rPr>
        <w:t>到这里对话可以稍微展示一下数据集，包含蓝藻门，绿藻门，硅藻门等等95类标签体系，构建了三个预警等级比如说把微囊藻等产毒蓝藻划为高危藻种</w:t>
      </w:r>
    </w:p>
  </w:comment>
  <w:comment w:id="9" w:author="兰元哲" w:date="2026-05-26T11:29:01Z" w:initials="">
    <w:p w14:paraId="5C9EE7C5">
      <w:pPr>
        <w:pStyle w:val="13"/>
        <w:rPr>
          <w:rFonts w:hint="default" w:eastAsiaTheme="minorEastAsia"/>
          <w:lang w:val="en-US" w:eastAsia="zh-CN"/>
        </w:rPr>
      </w:pPr>
      <w:r>
        <w:rPr>
          <w:rFonts w:hint="eastAsia"/>
          <w:lang w:val="en-US" w:eastAsia="zh-CN"/>
        </w:rPr>
        <w:t>简易等公式罢了，跟后面等软件预留接口接入环境探测器结合起来，这里我们在识别模型端给出了估算公式</w:t>
      </w:r>
    </w:p>
  </w:comment>
  <w:comment w:id="10" w:author="兰元哲" w:date="2026-05-26T11:30:08Z" w:initials="">
    <w:p w14:paraId="2C754560">
      <w:pPr>
        <w:pStyle w:val="13"/>
        <w:rPr>
          <w:rFonts w:hint="default" w:eastAsiaTheme="minorEastAsia"/>
          <w:lang w:val="en-US" w:eastAsia="zh-CN"/>
        </w:rPr>
      </w:pPr>
      <w:r>
        <w:rPr>
          <w:rFonts w:hint="eastAsia"/>
          <w:lang w:val="en-US" w:eastAsia="zh-CN"/>
        </w:rPr>
        <w:t>着重讲呀，大亮点，可运行软件（过两天就有了）或者是两种订阅方式：提供服务器部署服务然后多台电脑终端可以在网页端使用；制作exe软件售卖</w:t>
      </w:r>
    </w:p>
  </w:comment>
  <w:comment w:id="11" w:author="兰元哲" w:date="2026-05-26T11:31:42Z" w:initials="">
    <w:p w14:paraId="2CC364F0">
      <w:pPr>
        <w:pStyle w:val="13"/>
        <w:rPr>
          <w:rFonts w:hint="eastAsia"/>
          <w:lang w:val="en-US" w:eastAsia="zh-CN"/>
        </w:rPr>
      </w:pPr>
      <w:r>
        <w:rPr>
          <w:rFonts w:hint="eastAsia"/>
          <w:lang w:val="en-US" w:eastAsia="zh-CN"/>
        </w:rPr>
        <w:t>看到这里心安了</w:t>
      </w:r>
    </w:p>
    <w:p w14:paraId="3C259E69">
      <w:pPr>
        <w:pStyle w:val="13"/>
        <w:rPr>
          <w:rFonts w:hint="default"/>
          <w:lang w:val="en-US" w:eastAsia="zh-CN"/>
        </w:rPr>
      </w:pPr>
      <w:r>
        <w:rPr>
          <w:rFonts w:hint="eastAsia"/>
          <w:lang w:val="en-US" w:eastAsia="zh-CN"/>
        </w:rPr>
        <w:t>下面都是技术亮点，可以放在每页标题或者技术等总起那一页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2C33DD4" w15:done="0"/>
  <w15:commentEx w15:paraId="0DB1693E" w15:done="0"/>
  <w15:commentEx w15:paraId="648B2BC0" w15:done="0"/>
  <w15:commentEx w15:paraId="03EAC25C" w15:done="0"/>
  <w15:commentEx w15:paraId="36DA3054" w15:done="0"/>
  <w15:commentEx w15:paraId="0A1B6375" w15:done="0"/>
  <w15:commentEx w15:paraId="5CF3AE13" w15:done="0"/>
  <w15:commentEx w15:paraId="46E765A1" w15:done="0"/>
  <w15:commentEx w15:paraId="7F134A16" w15:done="0"/>
  <w15:commentEx w15:paraId="5C9EE7C5" w15:done="0"/>
  <w15:commentEx w15:paraId="2C754560" w15:done="0"/>
  <w15:commentEx w15:paraId="3C259E6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8432B">
    <w:pPr>
      <w:pBdr>
        <w:top w:val="single" w:color="CCCCCC" w:sz="4" w:space="1"/>
      </w:pBdr>
      <w:jc w:val="center"/>
    </w:pPr>
    <w:r>
      <w:rPr>
        <w:rFonts w:eastAsia="宋体"/>
        <w:color w:val="999999"/>
        <w:sz w:val="18"/>
      </w:rPr>
      <w:t xml:space="preserve">— </w:t>
    </w:r>
    <w:r>
      <w:rPr>
        <w:rFonts w:eastAsia="宋体"/>
        <w:color w:val="999999"/>
        <w:sz w:val="18"/>
      </w:rPr>
      <w:fldChar w:fldCharType="begin"/>
    </w:r>
    <w:r>
      <w:rPr>
        <w:rFonts w:eastAsia="宋体"/>
        <w:color w:val="999999"/>
        <w:sz w:val="18"/>
      </w:rPr>
      <w:instrText xml:space="preserve"> PAGE </w:instrText>
    </w:r>
    <w:r>
      <w:rPr>
        <w:rFonts w:eastAsia="宋体"/>
        <w:color w:val="999999"/>
        <w:sz w:val="18"/>
      </w:rPr>
      <w:fldChar w:fldCharType="end"/>
    </w:r>
    <w:r>
      <w:rPr>
        <w:rFonts w:eastAsia="宋体"/>
        <w:color w:val="999999"/>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0422F">
    <w:pPr>
      <w:jc w:val="right"/>
      <w:rPr>
        <w:rFonts w:eastAsia="宋体"/>
        <w:color w:val="999999"/>
        <w:sz w:val="18"/>
      </w:rPr>
    </w:pPr>
    <w:r>
      <w:rPr>
        <w:rFonts w:eastAsia="宋体"/>
        <w:color w:val="999999"/>
        <w:sz w:val="18"/>
      </w:rPr>
      <w:t>藻影知微——水下偏振原位智能成像系统 · 技术方案</w:t>
    </w:r>
  </w:p>
  <w:p w14:paraId="1FFE2A16">
    <w:pPr>
      <w:pBdr>
        <w:bottom w:val="single" w:color="CCCCCC"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兰元哲">
    <w15:presenceInfo w15:providerId="WPS Office" w15:userId="3417538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77EFDC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uiPriority w:val="0"/>
    <w:pPr>
      <w:spacing w:before="0" w:after="120"/>
    </w:pPr>
    <w:rPr>
      <w:i/>
    </w:rPr>
  </w:style>
  <w:style w:type="paragraph" w:styleId="13">
    <w:name w:val="annotation text"/>
    <w:basedOn w:val="1"/>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Subtitle"/>
    <w:basedOn w:val="16"/>
    <w:next w:val="3"/>
    <w:link w:val="27"/>
    <w:qFormat/>
    <w:uiPriority w:val="11"/>
    <w:rPr>
      <w:rFonts w:eastAsiaTheme="majorEastAsia" w:cstheme="majorBidi"/>
      <w:spacing w:val="15"/>
      <w:sz w:val="28"/>
      <w:szCs w:val="28"/>
    </w:rPr>
  </w:style>
  <w:style w:type="paragraph" w:styleId="18">
    <w:name w:val="footnote text"/>
    <w:basedOn w:val="1"/>
    <w:unhideWhenUsed/>
    <w:qFormat/>
    <w:uiPriority w:val="9"/>
  </w:style>
  <w:style w:type="character" w:styleId="21">
    <w:name w:val="Hyperlink"/>
    <w:basedOn w:val="22"/>
    <w:uiPriority w:val="0"/>
    <w:rPr>
      <w:color w:val="156082" w:themeColor="accent1"/>
    </w:rPr>
  </w:style>
  <w:style w:type="character" w:customStyle="1" w:styleId="22">
    <w:name w:val="Body Text Char"/>
    <w:basedOn w:val="20"/>
    <w:link w:val="3"/>
    <w:uiPriority w:val="0"/>
  </w:style>
  <w:style w:type="character" w:styleId="23">
    <w:name w:val="footnote reference"/>
    <w:basedOn w:val="22"/>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20"/>
    <w:link w:val="16"/>
    <w:uiPriority w:val="10"/>
    <w:rPr>
      <w:rFonts w:asciiTheme="majorHAnsi" w:hAnsiTheme="majorHAnsi" w:eastAsiaTheme="majorEastAsia" w:cstheme="majorBidi"/>
      <w:sz w:val="56"/>
      <w:szCs w:val="56"/>
    </w:rPr>
  </w:style>
  <w:style w:type="character" w:customStyle="1" w:styleId="27">
    <w:name w:val="Subtitle Char"/>
    <w:basedOn w:val="20"/>
    <w:link w:val="17"/>
    <w:uiPriority w:val="11"/>
    <w:rPr>
      <w:rFonts w:eastAsiaTheme="majorEastAsia" w:cstheme="majorBidi"/>
      <w:color w:val="585858" w:themeColor="text1" w:themeTint="A6"/>
      <w:spacing w:val="15"/>
      <w:sz w:val="28"/>
      <w:szCs w:val="28"/>
    </w:rPr>
  </w:style>
  <w:style w:type="paragraph" w:customStyle="1" w:styleId="28">
    <w:name w:val="Author"/>
    <w:basedOn w:val="16"/>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20"/>
    <w:link w:val="2"/>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20"/>
    <w:link w:val="4"/>
    <w:semiHidden/>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20"/>
    <w:link w:val="5"/>
    <w:semiHidden/>
    <w:uiPriority w:val="9"/>
    <w:rPr>
      <w:rFonts w:eastAsiaTheme="majorEastAsia" w:cstheme="majorBidi"/>
      <w:color w:val="0F4761" w:themeColor="accent1" w:themeShade="BF"/>
      <w:sz w:val="28"/>
      <w:szCs w:val="28"/>
    </w:rPr>
  </w:style>
  <w:style w:type="character" w:customStyle="1" w:styleId="35">
    <w:name w:val="Heading 4 Char"/>
    <w:basedOn w:val="20"/>
    <w:link w:val="6"/>
    <w:semiHidden/>
    <w:uiPriority w:val="9"/>
    <w:rPr>
      <w:rFonts w:eastAsiaTheme="majorEastAsia" w:cstheme="majorBidi"/>
      <w:i/>
      <w:iCs/>
      <w:color w:val="0F4761" w:themeColor="accent1" w:themeShade="BF"/>
    </w:rPr>
  </w:style>
  <w:style w:type="character" w:customStyle="1" w:styleId="36">
    <w:name w:val="Heading 5 Char"/>
    <w:basedOn w:val="20"/>
    <w:link w:val="7"/>
    <w:semiHidden/>
    <w:uiPriority w:val="9"/>
    <w:rPr>
      <w:rFonts w:eastAsiaTheme="majorEastAsia" w:cstheme="majorBidi"/>
      <w:color w:val="0F4761" w:themeColor="accent1" w:themeShade="BF"/>
    </w:rPr>
  </w:style>
  <w:style w:type="character" w:customStyle="1" w:styleId="37">
    <w:name w:val="Heading 6 Char"/>
    <w:basedOn w:val="20"/>
    <w:link w:val="8"/>
    <w:semiHidden/>
    <w:uiPriority w:val="9"/>
    <w:rPr>
      <w:rFonts w:eastAsiaTheme="majorEastAsia" w:cstheme="majorBidi"/>
      <w:i/>
      <w:iCs/>
      <w:color w:val="585858" w:themeColor="text1" w:themeTint="A6"/>
    </w:rPr>
  </w:style>
  <w:style w:type="character" w:customStyle="1" w:styleId="38">
    <w:name w:val="Heading 7 Char"/>
    <w:basedOn w:val="20"/>
    <w:link w:val="9"/>
    <w:semiHidden/>
    <w:uiPriority w:val="9"/>
    <w:rPr>
      <w:rFonts w:eastAsiaTheme="majorEastAsia" w:cstheme="majorBidi"/>
      <w:color w:val="585858" w:themeColor="text1" w:themeTint="A6"/>
    </w:rPr>
  </w:style>
  <w:style w:type="character" w:customStyle="1" w:styleId="39">
    <w:name w:val="Heading 8 Char"/>
    <w:basedOn w:val="20"/>
    <w:link w:val="10"/>
    <w:semiHidden/>
    <w:uiPriority w:val="9"/>
    <w:rPr>
      <w:rFonts w:eastAsiaTheme="majorEastAsia" w:cstheme="majorBidi"/>
      <w:i/>
      <w:iCs/>
      <w:color w:val="262626" w:themeColor="text1" w:themeTint="D8"/>
    </w:rPr>
  </w:style>
  <w:style w:type="character" w:customStyle="1" w:styleId="40">
    <w:name w:val="Heading 9 Char"/>
    <w:basedOn w:val="20"/>
    <w:link w:val="11"/>
    <w:semiHidden/>
    <w:uiPriority w:val="9"/>
    <w:rPr>
      <w:rFonts w:eastAsiaTheme="majorEastAsia" w:cstheme="majorBidi"/>
      <w:color w:val="262626" w:themeColor="text1" w:themeTint="D8"/>
    </w:rPr>
  </w:style>
  <w:style w:type="paragraph" w:customStyle="1" w:styleId="41">
    <w:name w:val="Footnote Block Text"/>
    <w:basedOn w:val="18"/>
    <w:next w:val="18"/>
    <w:unhideWhenUsed/>
    <w:qFormat/>
    <w:uiPriority w:val="9"/>
    <w:pPr>
      <w:spacing w:before="100" w:after="100"/>
      <w:ind w:left="480" w:right="480" w:firstLine="0"/>
    </w:pPr>
  </w:style>
  <w:style w:type="table" w:customStyle="1" w:styleId="42">
    <w:name w:val="Table"/>
    <w:semiHidden/>
    <w:unhideWhenUsed/>
    <w:qFormat/>
    <w:uiPriority w:val="0"/>
    <w:tblPr>
      <w:tblCellMar>
        <w:top w:w="60" w:type="dxa"/>
        <w:left w:w="120" w:type="dxa"/>
        <w:bottom w:w="60" w:type="dxa"/>
        <w:right w:w="120" w:type="dxa"/>
      </w:tblCellMar>
    </w:tblPr>
    <w:tblStylePr w:type="firstRow">
      <w:rPr>
        <w:b/>
        <w:color w:val="FFFFFF"/>
        <w:sz w:val="22"/>
      </w:rPr>
      <w:tcPr>
        <w:tcBorders>
          <w:top w:val="single" w:color="0F4761" w:sz="6" w:space="0"/>
          <w:bottom w:val="single" w:color="0F4761" w:sz="6" w:space="0"/>
        </w:tcBorders>
        <w:shd w:val="clear" w:color="auto" w:fill="0F4761"/>
        <w:vAlign w:val="center"/>
      </w:tcPr>
    </w:tblStylePr>
    <w:tblStylePr w:type="lastRow">
      <w:tcPr>
        <w:tcBorders>
          <w:bottom w:val="single" w:color="0F4761" w:sz="6" w:space="0"/>
        </w:tcBorders>
      </w:tcPr>
    </w:tblStylePr>
    <w:tblStylePr w:type="band1Horz">
      <w:tcPr>
        <w:shd w:val="clear" w:color="auto" w:fill="EBF0F5"/>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2"/>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22"/>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uiPriority w:val="0"/>
    <w:rPr>
      <w:b/>
      <w:color w:val="007020"/>
    </w:rPr>
  </w:style>
  <w:style w:type="character" w:customStyle="1" w:styleId="54">
    <w:name w:val="DataTypeTok"/>
    <w:basedOn w:val="49"/>
    <w:uiPriority w:val="0"/>
    <w:rPr>
      <w:color w:val="902000"/>
    </w:rPr>
  </w:style>
  <w:style w:type="character" w:customStyle="1" w:styleId="55">
    <w:name w:val="DecValTok"/>
    <w:basedOn w:val="49"/>
    <w:uiPriority w:val="0"/>
    <w:rPr>
      <w:color w:val="40A070"/>
    </w:rPr>
  </w:style>
  <w:style w:type="character" w:customStyle="1" w:styleId="56">
    <w:name w:val="BaseNTok"/>
    <w:basedOn w:val="49"/>
    <w:uiPriority w:val="0"/>
    <w:rPr>
      <w:color w:val="40A070"/>
    </w:rPr>
  </w:style>
  <w:style w:type="character" w:customStyle="1" w:styleId="57">
    <w:name w:val="FloatTok"/>
    <w:basedOn w:val="49"/>
    <w:uiPriority w:val="0"/>
    <w:rPr>
      <w:color w:val="40A070"/>
    </w:rPr>
  </w:style>
  <w:style w:type="character" w:customStyle="1" w:styleId="58">
    <w:name w:val="ConstantTok"/>
    <w:basedOn w:val="49"/>
    <w:uiPriority w:val="0"/>
    <w:rPr>
      <w:color w:val="880000"/>
    </w:rPr>
  </w:style>
  <w:style w:type="character" w:customStyle="1" w:styleId="59">
    <w:name w:val="CharTok"/>
    <w:basedOn w:val="49"/>
    <w:uiPriority w:val="0"/>
    <w:rPr>
      <w:color w:val="4070A0"/>
    </w:rPr>
  </w:style>
  <w:style w:type="character" w:customStyle="1" w:styleId="60">
    <w:name w:val="SpecialCharTok"/>
    <w:basedOn w:val="49"/>
    <w:uiPriority w:val="0"/>
    <w:rPr>
      <w:color w:val="4070A0"/>
    </w:rPr>
  </w:style>
  <w:style w:type="character" w:customStyle="1" w:styleId="61">
    <w:name w:val="StringTok"/>
    <w:basedOn w:val="49"/>
    <w:uiPriority w:val="0"/>
    <w:rPr>
      <w:color w:val="4070A0"/>
    </w:rPr>
  </w:style>
  <w:style w:type="character" w:customStyle="1" w:styleId="62">
    <w:name w:val="VerbatimStringTok"/>
    <w:basedOn w:val="49"/>
    <w:uiPriority w:val="0"/>
    <w:rPr>
      <w:color w:val="4070A0"/>
    </w:rPr>
  </w:style>
  <w:style w:type="character" w:customStyle="1" w:styleId="63">
    <w:name w:val="SpecialStringTok"/>
    <w:basedOn w:val="49"/>
    <w:uiPriority w:val="0"/>
    <w:rPr>
      <w:color w:val="BB6688"/>
    </w:rPr>
  </w:style>
  <w:style w:type="character" w:customStyle="1" w:styleId="64">
    <w:name w:val="ImportTok"/>
    <w:basedOn w:val="49"/>
    <w:uiPriority w:val="0"/>
    <w:rPr>
      <w:b/>
      <w:color w:val="008000"/>
    </w:rPr>
  </w:style>
  <w:style w:type="character" w:customStyle="1" w:styleId="65">
    <w:name w:val="CommentTok"/>
    <w:basedOn w:val="49"/>
    <w:uiPriority w:val="0"/>
    <w:rPr>
      <w:i/>
      <w:color w:val="60A0B0"/>
    </w:rPr>
  </w:style>
  <w:style w:type="character" w:customStyle="1" w:styleId="66">
    <w:name w:val="DocumentationTok"/>
    <w:basedOn w:val="49"/>
    <w:uiPriority w:val="0"/>
    <w:rPr>
      <w:i/>
      <w:color w:val="BA2121"/>
    </w:rPr>
  </w:style>
  <w:style w:type="character" w:customStyle="1" w:styleId="67">
    <w:name w:val="AnnotationTok"/>
    <w:basedOn w:val="49"/>
    <w:uiPriority w:val="0"/>
    <w:rPr>
      <w:b/>
      <w:i/>
      <w:color w:val="60A0B0"/>
    </w:rPr>
  </w:style>
  <w:style w:type="character" w:customStyle="1" w:styleId="68">
    <w:name w:val="CommentVarTok"/>
    <w:basedOn w:val="49"/>
    <w:uiPriority w:val="0"/>
    <w:rPr>
      <w:b/>
      <w:i/>
      <w:color w:val="60A0B0"/>
    </w:rPr>
  </w:style>
  <w:style w:type="character" w:customStyle="1" w:styleId="69">
    <w:name w:val="OtherTok"/>
    <w:basedOn w:val="49"/>
    <w:uiPriority w:val="0"/>
    <w:rPr>
      <w:color w:val="007020"/>
    </w:rPr>
  </w:style>
  <w:style w:type="character" w:customStyle="1" w:styleId="70">
    <w:name w:val="FunctionTok"/>
    <w:basedOn w:val="49"/>
    <w:uiPriority w:val="0"/>
    <w:rPr>
      <w:color w:val="06287E"/>
    </w:rPr>
  </w:style>
  <w:style w:type="character" w:customStyle="1" w:styleId="71">
    <w:name w:val="VariableTok"/>
    <w:basedOn w:val="49"/>
    <w:uiPriority w:val="0"/>
    <w:rPr>
      <w:color w:val="19177C"/>
    </w:rPr>
  </w:style>
  <w:style w:type="character" w:customStyle="1" w:styleId="72">
    <w:name w:val="ControlFlowTok"/>
    <w:basedOn w:val="49"/>
    <w:uiPriority w:val="0"/>
    <w:rPr>
      <w:b/>
      <w:color w:val="007020"/>
    </w:rPr>
  </w:style>
  <w:style w:type="character" w:customStyle="1" w:styleId="73">
    <w:name w:val="OperatorTok"/>
    <w:basedOn w:val="49"/>
    <w:uiPriority w:val="0"/>
    <w:rPr>
      <w:color w:val="666666"/>
    </w:rPr>
  </w:style>
  <w:style w:type="character" w:customStyle="1" w:styleId="74">
    <w:name w:val="BuiltInTok"/>
    <w:basedOn w:val="49"/>
    <w:uiPriority w:val="0"/>
    <w:rPr>
      <w:color w:val="008000"/>
    </w:rPr>
  </w:style>
  <w:style w:type="character" w:customStyle="1" w:styleId="75">
    <w:name w:val="ExtensionTok"/>
    <w:basedOn w:val="49"/>
    <w:uiPriority w:val="0"/>
  </w:style>
  <w:style w:type="character" w:customStyle="1" w:styleId="76">
    <w:name w:val="PreprocessorTok"/>
    <w:basedOn w:val="49"/>
    <w:uiPriority w:val="0"/>
    <w:rPr>
      <w:color w:val="BC7A00"/>
    </w:rPr>
  </w:style>
  <w:style w:type="character" w:customStyle="1" w:styleId="77">
    <w:name w:val="AttributeTok"/>
    <w:basedOn w:val="49"/>
    <w:uiPriority w:val="0"/>
    <w:rPr>
      <w:color w:val="7D9029"/>
    </w:rPr>
  </w:style>
  <w:style w:type="character" w:customStyle="1" w:styleId="78">
    <w:name w:val="RegionMarkerTok"/>
    <w:basedOn w:val="49"/>
    <w:uiPriority w:val="0"/>
  </w:style>
  <w:style w:type="character" w:customStyle="1" w:styleId="79">
    <w:name w:val="InformationTok"/>
    <w:basedOn w:val="49"/>
    <w:uiPriority w:val="0"/>
    <w:rPr>
      <w:b/>
      <w:i/>
      <w:color w:val="60A0B0"/>
    </w:rPr>
  </w:style>
  <w:style w:type="character" w:customStyle="1" w:styleId="80">
    <w:name w:val="WarningTok"/>
    <w:basedOn w:val="49"/>
    <w:uiPriority w:val="0"/>
    <w:rPr>
      <w:b/>
      <w:i/>
      <w:color w:val="60A0B0"/>
    </w:rPr>
  </w:style>
  <w:style w:type="character" w:customStyle="1" w:styleId="81">
    <w:name w:val="AlertTok"/>
    <w:basedOn w:val="49"/>
    <w:uiPriority w:val="0"/>
    <w:rPr>
      <w:b/>
      <w:color w:val="FF0000"/>
    </w:rPr>
  </w:style>
  <w:style w:type="character" w:customStyle="1" w:styleId="82">
    <w:name w:val="ErrorTok"/>
    <w:basedOn w:val="49"/>
    <w:uiPriority w:val="0"/>
    <w:rPr>
      <w:b/>
      <w:color w:val="FF0000"/>
    </w:rPr>
  </w:style>
  <w:style w:type="character" w:customStyle="1" w:styleId="83">
    <w:name w:val="NormalTok"/>
    <w:basedOn w:val="49"/>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83</Words>
  <Characters>475</Characters>
  <Lines>12</Lines>
  <Paragraphs>8</Paragraphs>
  <TotalTime>95</TotalTime>
  <ScaleCrop>false</ScaleCrop>
  <LinksUpToDate>false</LinksUpToDate>
  <CharactersWithSpaces>583</CharactersWithSpaces>
  <Application>WPS Office_12.9.0.20513_F1E327BC-269C-435d-A152-05C5408002CA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2026-05-26T08:36:00Z</dcterms:created>
  <dc:creator>兰元哲</dc:creator>
  <cp:lastModifiedBy>兰元哲</cp:lastModifiedBy>
  <dcterms:modified xsi:type="dcterms:W3CDTF">2026-05-26T11:32:32Z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2052-12.9.0.20513</vt:lpwstr>
  </property>
  <property fmtid="{D5CDD505-2E9C-101B-9397-08002B2CF9AE}" pid="3" name="ICV">
    <vt:lpwstr>A9595D1051796AB55014156A85E3C9E6_42</vt:lpwstr>
  </property>
</Properties>
</file>