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CA4A8" w14:textId="77777777" w:rsidR="00617DBA" w:rsidRDefault="00000000">
      <w:pPr>
        <w:pStyle w:val="1"/>
      </w:pPr>
      <w:bookmarkStart w:id="0" w:name="第一部分-藻华监测背景与市场分析"/>
      <w:r>
        <w:rPr>
          <w:rFonts w:hint="eastAsia"/>
        </w:rPr>
        <w:t>第一部分</w:t>
      </w:r>
      <w:r>
        <w:t xml:space="preserve"> </w:t>
      </w:r>
      <w:r>
        <w:rPr>
          <w:rFonts w:hint="eastAsia"/>
        </w:rPr>
        <w:t>藻华监测背景与市场分析</w:t>
      </w:r>
    </w:p>
    <w:p w14:paraId="3E259F11" w14:textId="77777777" w:rsidR="00617DBA" w:rsidRDefault="00000000">
      <w:pPr>
        <w:pStyle w:val="2"/>
      </w:pPr>
      <w:bookmarkStart w:id="1" w:name="问题背景"/>
      <w:r>
        <w:rPr>
          <w:rFonts w:hint="eastAsia"/>
        </w:rPr>
        <w:t>问题背景</w:t>
      </w:r>
    </w:p>
    <w:p w14:paraId="44542771" w14:textId="77777777" w:rsidR="00617DBA" w:rsidRDefault="00000000">
      <w:pPr>
        <w:pStyle w:val="FirstParagraph"/>
      </w:pPr>
      <w:r>
        <w:rPr>
          <w:rFonts w:hint="eastAsia"/>
        </w:rPr>
        <w:t>有害藻华不是单纯的“水变绿”或“水体变色”现象，而是一类会同时牵动生态安全、公共卫生、产业生产和基础设施连续运行的复合型风险事件。藻类在适宜水温、营养盐输入、水动力条件和光照条件下快速增殖后，会造成水体透明度下降、溶解氧剧烈波动、食物网结构改变，严重时还会释放藻毒素、形成黏性团聚物，进而影响水产养殖、水源地安全、海洋牧场运行以及滨海工业取水系统。</w:t>
      </w:r>
    </w:p>
    <w:p w14:paraId="6B79F2D7" w14:textId="77777777" w:rsidR="00617DBA" w:rsidRDefault="00000000">
      <w:pPr>
        <w:pStyle w:val="a0"/>
      </w:pPr>
      <w:r>
        <w:rPr>
          <w:rFonts w:hint="eastAsia"/>
        </w:rPr>
        <w:t>近年来，近岸海域、湖泊水库和养殖水体中的藻华风险呈现出更强的突发性和区域差异性。一方面，气候变化带来的水温升高，会延长适宜藻类快速生长的时间窗口；另一方面，陆源污染、农业面源输入、生活污水和工业排放会改变水体氮、磷等营养盐结构，使藻类在短时间内获得爆发条件。论文中以北部湾近岸海域为例指出，有害藻华具有区域性、非线性、随机性和原因种多样性等特征，这说明藻华预警不能只依赖经验判断，而需要长期、连续、可量化的数据支撑。</w:t>
      </w:r>
    </w:p>
    <w:p w14:paraId="40660550" w14:textId="77777777" w:rsidR="00617DBA" w:rsidRDefault="00000000">
      <w:pPr>
        <w:pStyle w:val="a0"/>
      </w:pPr>
      <w:r>
        <w:rPr>
          <w:noProof/>
        </w:rPr>
        <w:drawing>
          <wp:inline distT="0" distB="0" distL="0" distR="0" wp14:anchorId="2B823B24" wp14:editId="3E238F0C">
            <wp:extent cx="5334000" cy="3780758"/>
            <wp:effectExtent l="0" t="0" r="0" b="0"/>
            <wp:docPr id="10" name="Picture" title="fig:"/>
            <wp:cNvGraphicFramePr/>
            <a:graphic xmlns:a="http://schemas.openxmlformats.org/drawingml/2006/main">
              <a:graphicData uri="http://schemas.openxmlformats.org/drawingml/2006/picture">
                <pic:pic xmlns:pic="http://schemas.openxmlformats.org/drawingml/2006/picture">
                  <pic:nvPicPr>
                    <pic:cNvPr id="11" name="Picture" descr="C:\Users\HP\AppData\Roaming\Typora\typora-user-images\image-20260506194841687.png"/>
                    <pic:cNvPicPr>
                      <a:picLocks noChangeAspect="1" noChangeArrowheads="1"/>
                    </pic:cNvPicPr>
                  </pic:nvPicPr>
                  <pic:blipFill>
                    <a:blip r:embed="rId7"/>
                    <a:stretch>
                      <a:fillRect/>
                    </a:stretch>
                  </pic:blipFill>
                  <pic:spPr bwMode="auto">
                    <a:xfrm>
                      <a:off x="0" y="0"/>
                      <a:ext cx="5334000" cy="3780758"/>
                    </a:xfrm>
                    <a:prstGeom prst="rect">
                      <a:avLst/>
                    </a:prstGeom>
                    <a:noFill/>
                    <a:ln w="9525">
                      <a:noFill/>
                      <a:headEnd/>
                      <a:tailEnd/>
                    </a:ln>
                  </pic:spPr>
                </pic:pic>
              </a:graphicData>
            </a:graphic>
          </wp:inline>
        </w:drawing>
      </w:r>
    </w:p>
    <w:p w14:paraId="24E6946C" w14:textId="77777777" w:rsidR="00617DBA" w:rsidRDefault="00000000">
      <w:pPr>
        <w:pStyle w:val="a0"/>
      </w:pPr>
      <w:r>
        <w:rPr>
          <w:rFonts w:hint="eastAsia"/>
        </w:rPr>
        <w:t>国内外有害藻华现场照片</w:t>
      </w:r>
    </w:p>
    <w:p w14:paraId="3CD8BC37" w14:textId="77777777" w:rsidR="00617DBA" w:rsidRDefault="00000000">
      <w:pPr>
        <w:pStyle w:val="a0"/>
      </w:pPr>
      <w:r>
        <w:rPr>
          <w:noProof/>
        </w:rPr>
        <w:lastRenderedPageBreak/>
        <w:drawing>
          <wp:inline distT="0" distB="0" distL="0" distR="0" wp14:anchorId="75339753" wp14:editId="57412E6E">
            <wp:extent cx="5334000" cy="4003510"/>
            <wp:effectExtent l="0" t="0" r="0" b="0"/>
            <wp:docPr id="13" name="Picture" title="fig:"/>
            <wp:cNvGraphicFramePr/>
            <a:graphic xmlns:a="http://schemas.openxmlformats.org/drawingml/2006/main">
              <a:graphicData uri="http://schemas.openxmlformats.org/drawingml/2006/picture">
                <pic:pic xmlns:pic="http://schemas.openxmlformats.org/drawingml/2006/picture">
                  <pic:nvPicPr>
                    <pic:cNvPr id="14" name="Picture" descr="C:\Users\HP\AppData\Roaming\Typora\typora-user-images\image-20260506194911523.png"/>
                    <pic:cNvPicPr>
                      <a:picLocks noChangeAspect="1" noChangeArrowheads="1"/>
                    </pic:cNvPicPr>
                  </pic:nvPicPr>
                  <pic:blipFill>
                    <a:blip r:embed="rId8"/>
                    <a:stretch>
                      <a:fillRect/>
                    </a:stretch>
                  </pic:blipFill>
                  <pic:spPr bwMode="auto">
                    <a:xfrm>
                      <a:off x="0" y="0"/>
                      <a:ext cx="5334000" cy="4003510"/>
                    </a:xfrm>
                    <a:prstGeom prst="rect">
                      <a:avLst/>
                    </a:prstGeom>
                    <a:noFill/>
                    <a:ln w="9525">
                      <a:noFill/>
                      <a:headEnd/>
                      <a:tailEnd/>
                    </a:ln>
                  </pic:spPr>
                </pic:pic>
              </a:graphicData>
            </a:graphic>
          </wp:inline>
        </w:drawing>
      </w:r>
    </w:p>
    <w:p w14:paraId="61B960AC" w14:textId="77777777" w:rsidR="00617DBA" w:rsidRDefault="00000000">
      <w:pPr>
        <w:pStyle w:val="a0"/>
      </w:pPr>
      <w:r>
        <w:rPr>
          <w:rFonts w:hint="eastAsia"/>
        </w:rPr>
        <w:t>藻华导致核电站冷源进水口堵塞</w:t>
      </w:r>
    </w:p>
    <w:p w14:paraId="1FBE8665" w14:textId="77777777" w:rsidR="00617DBA" w:rsidRDefault="00000000">
      <w:pPr>
        <w:pStyle w:val="a0"/>
      </w:pPr>
      <w:r>
        <w:rPr>
          <w:rFonts w:hint="eastAsia"/>
        </w:rPr>
        <w:t>藻华带来的影响具有明显的场景差异。对水产养殖企业来说，藻华可能引发鱼虾贝类缺氧、摄食异常甚至大规模死亡，直接转化为经济损失；对水库和自来水厂来说，藻类异常会增加取水处理压力，并影响饮用水安全保障；对核电冷源和工业取水口来说，水母、毛虾、棕囊藻等海生物暴发可能造成滤网堵塞、取水效率下降，甚至引发降负荷或停机风险；对监管部门和科研机构来说，缺少连续生物监测数据，会导致灾害发生前看不见、发生中说不清、发生后难复盘。</w:t>
      </w:r>
    </w:p>
    <w:p w14:paraId="6B369759" w14:textId="77777777" w:rsidR="00617DBA" w:rsidRDefault="00000000">
      <w:pPr>
        <w:pStyle w:val="a0"/>
      </w:pPr>
      <w:r>
        <w:rPr>
          <w:rFonts w:hint="eastAsia"/>
        </w:rPr>
        <w:t>因此，藻华监测的核心矛盾可以概括为：风险发生很快，但识别链条太慢。传统监测往往先采样，再运输到实验室，再由专业人员镜检或做理化分析，等结果出来时，藻类群落结构可能已经发生变化。真正适合早期预警的能力，不是单次检测报告，而是能够在现场持续捕捉藻类种类、数量和变化趋势的原位监测能力。</w:t>
      </w:r>
    </w:p>
    <w:tbl>
      <w:tblPr>
        <w:tblStyle w:val="5-5"/>
        <w:tblW w:w="906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47"/>
        <w:gridCol w:w="3882"/>
        <w:gridCol w:w="2531"/>
      </w:tblGrid>
      <w:tr w:rsidR="00D97F48" w:rsidRPr="00865480" w14:paraId="6D646EEE" w14:textId="77777777" w:rsidTr="00837C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7" w:type="dxa"/>
            <w:tcBorders>
              <w:top w:val="single" w:sz="12" w:space="0" w:color="auto"/>
              <w:left w:val="single" w:sz="12" w:space="0" w:color="auto"/>
              <w:bottom w:val="single" w:sz="12" w:space="0" w:color="auto"/>
              <w:right w:val="single" w:sz="12" w:space="0" w:color="auto"/>
            </w:tcBorders>
            <w:shd w:val="clear" w:color="auto" w:fill="45B0E1" w:themeFill="accent1" w:themeFillTint="99"/>
            <w:vAlign w:val="center"/>
          </w:tcPr>
          <w:p w14:paraId="44EF0650" w14:textId="77777777" w:rsidR="00D97F48" w:rsidRPr="00865480" w:rsidRDefault="00D97F48" w:rsidP="00837C4E">
            <w:pPr>
              <w:jc w:val="center"/>
              <w:rPr>
                <w:color w:val="auto"/>
              </w:rPr>
            </w:pPr>
            <w:r w:rsidRPr="00865480">
              <w:rPr>
                <w:rFonts w:hint="eastAsia"/>
                <w:color w:val="auto"/>
              </w:rPr>
              <w:t>目标客户</w:t>
            </w:r>
          </w:p>
        </w:tc>
        <w:tc>
          <w:tcPr>
            <w:tcW w:w="3882" w:type="dxa"/>
            <w:tcBorders>
              <w:top w:val="single" w:sz="12" w:space="0" w:color="auto"/>
              <w:left w:val="single" w:sz="12" w:space="0" w:color="auto"/>
              <w:right w:val="single" w:sz="12" w:space="0" w:color="auto"/>
            </w:tcBorders>
            <w:shd w:val="clear" w:color="auto" w:fill="45B0E1" w:themeFill="accent1" w:themeFillTint="99"/>
            <w:vAlign w:val="center"/>
          </w:tcPr>
          <w:p w14:paraId="20D20102" w14:textId="77777777" w:rsidR="00D97F48" w:rsidRPr="00865480" w:rsidRDefault="00D97F48" w:rsidP="00837C4E">
            <w:pPr>
              <w:jc w:val="center"/>
              <w:cnfStyle w:val="100000000000" w:firstRow="1" w:lastRow="0" w:firstColumn="0" w:lastColumn="0" w:oddVBand="0" w:evenVBand="0" w:oddHBand="0" w:evenHBand="0" w:firstRowFirstColumn="0" w:firstRowLastColumn="0" w:lastRowFirstColumn="0" w:lastRowLastColumn="0"/>
              <w:rPr>
                <w:color w:val="auto"/>
              </w:rPr>
            </w:pPr>
            <w:r w:rsidRPr="00865480">
              <w:rPr>
                <w:rFonts w:hint="eastAsia"/>
                <w:color w:val="auto"/>
              </w:rPr>
              <w:t>痛点</w:t>
            </w:r>
          </w:p>
        </w:tc>
        <w:tc>
          <w:tcPr>
            <w:tcW w:w="2531" w:type="dxa"/>
            <w:tcBorders>
              <w:top w:val="single" w:sz="12" w:space="0" w:color="auto"/>
              <w:left w:val="single" w:sz="12" w:space="0" w:color="auto"/>
              <w:right w:val="single" w:sz="12" w:space="0" w:color="auto"/>
            </w:tcBorders>
            <w:shd w:val="clear" w:color="auto" w:fill="45B0E1" w:themeFill="accent1" w:themeFillTint="99"/>
            <w:vAlign w:val="center"/>
          </w:tcPr>
          <w:p w14:paraId="337D6A51" w14:textId="77777777" w:rsidR="00D97F48" w:rsidRPr="00865480" w:rsidRDefault="00D97F48" w:rsidP="00837C4E">
            <w:pPr>
              <w:jc w:val="center"/>
              <w:cnfStyle w:val="100000000000" w:firstRow="1" w:lastRow="0" w:firstColumn="0" w:lastColumn="0" w:oddVBand="0" w:evenVBand="0" w:oddHBand="0" w:evenHBand="0" w:firstRowFirstColumn="0" w:firstRowLastColumn="0" w:lastRowFirstColumn="0" w:lastRowLastColumn="0"/>
              <w:rPr>
                <w:color w:val="auto"/>
              </w:rPr>
            </w:pPr>
            <w:r w:rsidRPr="00865480">
              <w:rPr>
                <w:rFonts w:hint="eastAsia"/>
                <w:color w:val="auto"/>
              </w:rPr>
              <w:t>购买理由</w:t>
            </w:r>
          </w:p>
        </w:tc>
      </w:tr>
      <w:tr w:rsidR="00D97F48" w:rsidRPr="00865480" w14:paraId="241D2AC6" w14:textId="77777777" w:rsidTr="00837C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7" w:type="dxa"/>
            <w:tcBorders>
              <w:left w:val="single" w:sz="12" w:space="0" w:color="auto"/>
            </w:tcBorders>
            <w:shd w:val="clear" w:color="auto" w:fill="83CAEB" w:themeFill="accent1" w:themeFillTint="66"/>
            <w:vAlign w:val="center"/>
          </w:tcPr>
          <w:p w14:paraId="41008191" w14:textId="77777777" w:rsidR="00D97F48" w:rsidRPr="00865480" w:rsidRDefault="00D97F48" w:rsidP="00837C4E">
            <w:pPr>
              <w:jc w:val="center"/>
              <w:rPr>
                <w:color w:val="auto"/>
              </w:rPr>
            </w:pPr>
            <w:r w:rsidRPr="00865480">
              <w:rPr>
                <w:rFonts w:hint="eastAsia"/>
                <w:color w:val="auto"/>
              </w:rPr>
              <w:t>水库、自来水厂</w:t>
            </w:r>
          </w:p>
        </w:tc>
        <w:tc>
          <w:tcPr>
            <w:tcW w:w="3882" w:type="dxa"/>
            <w:shd w:val="clear" w:color="auto" w:fill="FFFFFF" w:themeFill="background1"/>
            <w:vAlign w:val="center"/>
          </w:tcPr>
          <w:p w14:paraId="4B778119" w14:textId="77777777" w:rsidR="00D97F48" w:rsidRPr="00865480" w:rsidRDefault="00D97F48" w:rsidP="00837C4E">
            <w:pPr>
              <w:cnfStyle w:val="000000100000" w:firstRow="0" w:lastRow="0" w:firstColumn="0" w:lastColumn="0" w:oddVBand="0" w:evenVBand="0" w:oddHBand="1" w:evenHBand="0" w:firstRowFirstColumn="0" w:firstRowLastColumn="0" w:lastRowFirstColumn="0" w:lastRowLastColumn="0"/>
            </w:pPr>
            <w:r>
              <w:rPr>
                <w:rFonts w:hint="eastAsia"/>
              </w:rPr>
              <w:t>水源安全责任重，藻类异常需要提前准备</w:t>
            </w:r>
          </w:p>
        </w:tc>
        <w:tc>
          <w:tcPr>
            <w:tcW w:w="2531" w:type="dxa"/>
            <w:shd w:val="clear" w:color="auto" w:fill="FFFFFF" w:themeFill="background1"/>
            <w:vAlign w:val="center"/>
          </w:tcPr>
          <w:p w14:paraId="42A08BBA" w14:textId="77777777" w:rsidR="00D97F48" w:rsidRPr="00865480" w:rsidRDefault="00D97F48" w:rsidP="00837C4E">
            <w:pPr>
              <w:cnfStyle w:val="000000100000" w:firstRow="0" w:lastRow="0" w:firstColumn="0" w:lastColumn="0" w:oddVBand="0" w:evenVBand="0" w:oddHBand="1" w:evenHBand="0" w:firstRowFirstColumn="0" w:firstRowLastColumn="0" w:lastRowFirstColumn="0" w:lastRowLastColumn="0"/>
            </w:pPr>
            <w:r>
              <w:rPr>
                <w:rFonts w:hint="eastAsia"/>
              </w:rPr>
              <w:t>直观看到藻类种类，可以补充生物图像证据</w:t>
            </w:r>
          </w:p>
        </w:tc>
      </w:tr>
      <w:tr w:rsidR="00D97F48" w:rsidRPr="00865480" w14:paraId="41287E44" w14:textId="77777777" w:rsidTr="00837C4E">
        <w:trPr>
          <w:jc w:val="center"/>
        </w:trPr>
        <w:tc>
          <w:tcPr>
            <w:cnfStyle w:val="001000000000" w:firstRow="0" w:lastRow="0" w:firstColumn="1" w:lastColumn="0" w:oddVBand="0" w:evenVBand="0" w:oddHBand="0" w:evenHBand="0" w:firstRowFirstColumn="0" w:firstRowLastColumn="0" w:lastRowFirstColumn="0" w:lastRowLastColumn="0"/>
            <w:tcW w:w="2647" w:type="dxa"/>
            <w:tcBorders>
              <w:left w:val="single" w:sz="12" w:space="0" w:color="auto"/>
            </w:tcBorders>
            <w:shd w:val="clear" w:color="auto" w:fill="83CAEB" w:themeFill="accent1" w:themeFillTint="66"/>
            <w:vAlign w:val="center"/>
          </w:tcPr>
          <w:p w14:paraId="0DFEBD5B" w14:textId="77777777" w:rsidR="00D97F48" w:rsidRPr="00865480" w:rsidRDefault="00D97F48" w:rsidP="00837C4E">
            <w:pPr>
              <w:jc w:val="center"/>
              <w:rPr>
                <w:color w:val="auto"/>
              </w:rPr>
            </w:pPr>
            <w:r w:rsidRPr="00865480">
              <w:rPr>
                <w:rFonts w:hint="eastAsia"/>
                <w:color w:val="auto"/>
              </w:rPr>
              <w:t>水产养殖企业和海洋牧场</w:t>
            </w:r>
          </w:p>
        </w:tc>
        <w:tc>
          <w:tcPr>
            <w:tcW w:w="3882" w:type="dxa"/>
            <w:shd w:val="clear" w:color="auto" w:fill="FFFFFF" w:themeFill="background1"/>
            <w:vAlign w:val="center"/>
          </w:tcPr>
          <w:p w14:paraId="00B31438" w14:textId="77777777" w:rsidR="00D97F48" w:rsidRPr="00865480" w:rsidRDefault="00D97F48" w:rsidP="00837C4E">
            <w:pPr>
              <w:cnfStyle w:val="000000000000" w:firstRow="0" w:lastRow="0" w:firstColumn="0" w:lastColumn="0" w:oddVBand="0" w:evenVBand="0" w:oddHBand="0" w:evenHBand="0" w:firstRowFirstColumn="0" w:firstRowLastColumn="0" w:lastRowFirstColumn="0" w:lastRowLastColumn="0"/>
            </w:pPr>
            <w:r>
              <w:rPr>
                <w:rFonts w:hint="eastAsia"/>
              </w:rPr>
              <w:t>风险来得快、损失大、监测能力弱</w:t>
            </w:r>
          </w:p>
        </w:tc>
        <w:tc>
          <w:tcPr>
            <w:tcW w:w="2531" w:type="dxa"/>
            <w:shd w:val="clear" w:color="auto" w:fill="FFFFFF" w:themeFill="background1"/>
            <w:vAlign w:val="center"/>
          </w:tcPr>
          <w:p w14:paraId="711B58BF" w14:textId="77777777" w:rsidR="00D97F48" w:rsidRPr="00865480" w:rsidRDefault="00D97F48" w:rsidP="00837C4E">
            <w:pPr>
              <w:cnfStyle w:val="000000000000" w:firstRow="0" w:lastRow="0" w:firstColumn="0" w:lastColumn="0" w:oddVBand="0" w:evenVBand="0" w:oddHBand="0" w:evenHBand="0" w:firstRowFirstColumn="0" w:firstRowLastColumn="0" w:lastRowFirstColumn="0" w:lastRowLastColumn="0"/>
            </w:pPr>
            <w:r>
              <w:rPr>
                <w:rFonts w:hint="eastAsia"/>
              </w:rPr>
              <w:t>能够提供连续趋势和早期提醒，帮助用户提前采取措施</w:t>
            </w:r>
          </w:p>
        </w:tc>
      </w:tr>
      <w:tr w:rsidR="00D97F48" w:rsidRPr="00865480" w14:paraId="4CAE06C2" w14:textId="77777777" w:rsidTr="00837C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7" w:type="dxa"/>
            <w:tcBorders>
              <w:left w:val="single" w:sz="12" w:space="0" w:color="auto"/>
            </w:tcBorders>
            <w:shd w:val="clear" w:color="auto" w:fill="83CAEB" w:themeFill="accent1" w:themeFillTint="66"/>
            <w:vAlign w:val="center"/>
          </w:tcPr>
          <w:p w14:paraId="4980C4DA" w14:textId="77777777" w:rsidR="00D97F48" w:rsidRPr="00865480" w:rsidRDefault="00D97F48" w:rsidP="00837C4E">
            <w:pPr>
              <w:jc w:val="center"/>
              <w:rPr>
                <w:color w:val="auto"/>
              </w:rPr>
            </w:pPr>
            <w:r w:rsidRPr="00865480">
              <w:rPr>
                <w:rFonts w:hint="eastAsia"/>
                <w:color w:val="auto"/>
              </w:rPr>
              <w:t>环保、海洋、水利等政府相关部门</w:t>
            </w:r>
          </w:p>
        </w:tc>
        <w:tc>
          <w:tcPr>
            <w:tcW w:w="3882" w:type="dxa"/>
            <w:shd w:val="clear" w:color="auto" w:fill="FFFFFF" w:themeFill="background1"/>
            <w:vAlign w:val="center"/>
          </w:tcPr>
          <w:p w14:paraId="6C0CCA57" w14:textId="77777777" w:rsidR="00D97F48" w:rsidRPr="00865480" w:rsidRDefault="00D97F48" w:rsidP="00837C4E">
            <w:pPr>
              <w:cnfStyle w:val="000000100000" w:firstRow="0" w:lastRow="0" w:firstColumn="0" w:lastColumn="0" w:oddVBand="0" w:evenVBand="0" w:oddHBand="1" w:evenHBand="0" w:firstRowFirstColumn="0" w:firstRowLastColumn="0" w:lastRowFirstColumn="0" w:lastRowLastColumn="0"/>
            </w:pPr>
            <w:r>
              <w:rPr>
                <w:rFonts w:hint="eastAsia"/>
              </w:rPr>
              <w:t>基层监测任务多、人工力量有限、应急响应压力大</w:t>
            </w:r>
          </w:p>
        </w:tc>
        <w:tc>
          <w:tcPr>
            <w:tcW w:w="2531" w:type="dxa"/>
            <w:shd w:val="clear" w:color="auto" w:fill="FFFFFF" w:themeFill="background1"/>
            <w:vAlign w:val="center"/>
          </w:tcPr>
          <w:p w14:paraId="41BB6211" w14:textId="77777777" w:rsidR="00D97F48" w:rsidRPr="00865480" w:rsidRDefault="00D97F48" w:rsidP="00837C4E">
            <w:pPr>
              <w:cnfStyle w:val="000000100000" w:firstRow="0" w:lastRow="0" w:firstColumn="0" w:lastColumn="0" w:oddVBand="0" w:evenVBand="0" w:oddHBand="1" w:evenHBand="0" w:firstRowFirstColumn="0" w:firstRowLastColumn="0" w:lastRowFirstColumn="0" w:lastRowLastColumn="0"/>
            </w:pPr>
            <w:r>
              <w:rPr>
                <w:rFonts w:hint="eastAsia"/>
              </w:rPr>
              <w:t>成本低，实时响应，具备预警功能</w:t>
            </w:r>
          </w:p>
        </w:tc>
      </w:tr>
      <w:tr w:rsidR="00D97F48" w:rsidRPr="00865480" w14:paraId="736FA52C" w14:textId="77777777" w:rsidTr="00837C4E">
        <w:trPr>
          <w:jc w:val="center"/>
        </w:trPr>
        <w:tc>
          <w:tcPr>
            <w:cnfStyle w:val="001000000000" w:firstRow="0" w:lastRow="0" w:firstColumn="1" w:lastColumn="0" w:oddVBand="0" w:evenVBand="0" w:oddHBand="0" w:evenHBand="0" w:firstRowFirstColumn="0" w:firstRowLastColumn="0" w:lastRowFirstColumn="0" w:lastRowLastColumn="0"/>
            <w:tcW w:w="2647" w:type="dxa"/>
            <w:tcBorders>
              <w:left w:val="single" w:sz="12" w:space="0" w:color="auto"/>
            </w:tcBorders>
            <w:shd w:val="clear" w:color="auto" w:fill="83CAEB" w:themeFill="accent1" w:themeFillTint="66"/>
            <w:vAlign w:val="center"/>
          </w:tcPr>
          <w:p w14:paraId="4B461F7C" w14:textId="77777777" w:rsidR="00D97F48" w:rsidRPr="00865480" w:rsidRDefault="00D97F48" w:rsidP="00837C4E">
            <w:pPr>
              <w:jc w:val="center"/>
              <w:rPr>
                <w:color w:val="auto"/>
              </w:rPr>
            </w:pPr>
            <w:r w:rsidRPr="00865480">
              <w:rPr>
                <w:rFonts w:hint="eastAsia"/>
                <w:color w:val="auto"/>
              </w:rPr>
              <w:t>核电和工业取水</w:t>
            </w:r>
          </w:p>
        </w:tc>
        <w:tc>
          <w:tcPr>
            <w:tcW w:w="3882" w:type="dxa"/>
            <w:shd w:val="clear" w:color="auto" w:fill="FFFFFF" w:themeFill="background1"/>
            <w:vAlign w:val="center"/>
          </w:tcPr>
          <w:p w14:paraId="5C32BE2C" w14:textId="77777777" w:rsidR="00D97F48" w:rsidRPr="00865480" w:rsidRDefault="00D97F48" w:rsidP="00837C4E">
            <w:pPr>
              <w:cnfStyle w:val="000000000000" w:firstRow="0" w:lastRow="0" w:firstColumn="0" w:lastColumn="0" w:oddVBand="0" w:evenVBand="0" w:oddHBand="0" w:evenHBand="0" w:firstRowFirstColumn="0" w:firstRowLastColumn="0" w:lastRowFirstColumn="0" w:lastRowLastColumn="0"/>
            </w:pPr>
            <w:r>
              <w:rPr>
                <w:rFonts w:hint="eastAsia"/>
              </w:rPr>
              <w:t>冷源安全要求高，生物堵塞后果严重</w:t>
            </w:r>
          </w:p>
        </w:tc>
        <w:tc>
          <w:tcPr>
            <w:tcW w:w="2531" w:type="dxa"/>
            <w:shd w:val="clear" w:color="auto" w:fill="FFFFFF" w:themeFill="background1"/>
            <w:vAlign w:val="center"/>
          </w:tcPr>
          <w:p w14:paraId="21B68DEE" w14:textId="77777777" w:rsidR="00D97F48" w:rsidRPr="00865480" w:rsidRDefault="00D97F48" w:rsidP="00837C4E">
            <w:pPr>
              <w:cnfStyle w:val="000000000000" w:firstRow="0" w:lastRow="0" w:firstColumn="0" w:lastColumn="0" w:oddVBand="0" w:evenVBand="0" w:oddHBand="0" w:evenHBand="0" w:firstRowFirstColumn="0" w:firstRowLastColumn="0" w:lastRowFirstColumn="0" w:lastRowLastColumn="0"/>
            </w:pPr>
            <w:r>
              <w:rPr>
                <w:rFonts w:hint="eastAsia"/>
              </w:rPr>
              <w:t>监测准确，实时快速</w:t>
            </w:r>
          </w:p>
        </w:tc>
      </w:tr>
      <w:tr w:rsidR="00D97F48" w:rsidRPr="00865480" w14:paraId="0588F0C0" w14:textId="77777777" w:rsidTr="00837C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7" w:type="dxa"/>
            <w:tcBorders>
              <w:left w:val="single" w:sz="12" w:space="0" w:color="auto"/>
              <w:bottom w:val="single" w:sz="12" w:space="0" w:color="auto"/>
            </w:tcBorders>
            <w:shd w:val="clear" w:color="auto" w:fill="83CAEB" w:themeFill="accent1" w:themeFillTint="66"/>
            <w:vAlign w:val="center"/>
          </w:tcPr>
          <w:p w14:paraId="1D206E4A" w14:textId="77777777" w:rsidR="00D97F48" w:rsidRPr="00865480" w:rsidRDefault="00D97F48" w:rsidP="00837C4E">
            <w:pPr>
              <w:jc w:val="center"/>
              <w:rPr>
                <w:color w:val="auto"/>
              </w:rPr>
            </w:pPr>
            <w:r w:rsidRPr="00865480">
              <w:rPr>
                <w:rFonts w:hint="eastAsia"/>
                <w:color w:val="auto"/>
              </w:rPr>
              <w:t>高校、科研院所</w:t>
            </w:r>
          </w:p>
        </w:tc>
        <w:tc>
          <w:tcPr>
            <w:tcW w:w="3882" w:type="dxa"/>
            <w:shd w:val="clear" w:color="auto" w:fill="FFFFFF" w:themeFill="background1"/>
            <w:vAlign w:val="center"/>
          </w:tcPr>
          <w:p w14:paraId="0033D68B" w14:textId="77777777" w:rsidR="00D97F48" w:rsidRPr="00865480" w:rsidRDefault="00D97F48" w:rsidP="00837C4E">
            <w:pPr>
              <w:cnfStyle w:val="000000100000" w:firstRow="0" w:lastRow="0" w:firstColumn="0" w:lastColumn="0" w:oddVBand="0" w:evenVBand="0" w:oddHBand="1" w:evenHBand="0" w:firstRowFirstColumn="0" w:firstRowLastColumn="0" w:lastRowFirstColumn="0" w:lastRowLastColumn="0"/>
            </w:pPr>
            <w:r>
              <w:rPr>
                <w:rFonts w:hint="eastAsia"/>
              </w:rPr>
              <w:t>高端设备昂贵、野外实验平台不足、数据采集成本高</w:t>
            </w:r>
          </w:p>
        </w:tc>
        <w:tc>
          <w:tcPr>
            <w:tcW w:w="2531" w:type="dxa"/>
            <w:shd w:val="clear" w:color="auto" w:fill="FFFFFF" w:themeFill="background1"/>
            <w:vAlign w:val="center"/>
          </w:tcPr>
          <w:p w14:paraId="5FBA34D0" w14:textId="77777777" w:rsidR="00D97F48" w:rsidRPr="00865480" w:rsidRDefault="00D97F48" w:rsidP="00837C4E">
            <w:pPr>
              <w:cnfStyle w:val="000000100000" w:firstRow="0" w:lastRow="0" w:firstColumn="0" w:lastColumn="0" w:oddVBand="0" w:evenVBand="0" w:oddHBand="1" w:evenHBand="0" w:firstRowFirstColumn="0" w:firstRowLastColumn="0" w:lastRowFirstColumn="0" w:lastRowLastColumn="0"/>
            </w:pPr>
            <w:r>
              <w:rPr>
                <w:rFonts w:hint="eastAsia"/>
              </w:rPr>
              <w:t>可作为低成本实验平台</w:t>
            </w:r>
          </w:p>
        </w:tc>
      </w:tr>
    </w:tbl>
    <w:p w14:paraId="18502EA5" w14:textId="77777777" w:rsidR="00D97F48" w:rsidRPr="00D97F48" w:rsidRDefault="00D97F48">
      <w:pPr>
        <w:pStyle w:val="a0"/>
        <w:rPr>
          <w:rFonts w:hint="eastAsia"/>
        </w:rPr>
      </w:pPr>
    </w:p>
    <w:p w14:paraId="28591630" w14:textId="77777777" w:rsidR="00617DBA" w:rsidRDefault="00000000">
      <w:pPr>
        <w:pStyle w:val="2"/>
      </w:pPr>
      <w:bookmarkStart w:id="2" w:name="现有监测方式的不足"/>
      <w:bookmarkEnd w:id="1"/>
      <w:r>
        <w:rPr>
          <w:rFonts w:hint="eastAsia"/>
        </w:rPr>
        <w:t>现有监测方式的不足</w:t>
      </w:r>
    </w:p>
    <w:p w14:paraId="7CB4F5CB" w14:textId="77777777" w:rsidR="00617DBA" w:rsidRDefault="00000000">
      <w:pPr>
        <w:pStyle w:val="FirstParagraph"/>
      </w:pPr>
      <w:r>
        <w:rPr>
          <w:rFonts w:hint="eastAsia"/>
        </w:rPr>
        <w:t>目前水环境监测中，物理化学指标已经比较成熟，例如温度、盐度、</w:t>
      </w:r>
      <w:r>
        <w:rPr>
          <w:rFonts w:hint="eastAsia"/>
        </w:rPr>
        <w:t>pH</w:t>
      </w:r>
      <w:r>
        <w:rPr>
          <w:rFonts w:hint="eastAsia"/>
        </w:rPr>
        <w:t>、溶解氧、浊度、叶绿素荧光等传感器都可以连续在线部署。但这些指标更多反映的是水体环境状态，不能直接回答“是哪一种藻在增加”“是否为致灾原因种”“风险是否正在转化为藻华”等关键问题。论文结论也指出，叶绿素</w:t>
      </w:r>
      <w:r>
        <w:t xml:space="preserve"> a </w:t>
      </w:r>
      <w:r>
        <w:rPr>
          <w:rFonts w:hint="eastAsia"/>
        </w:rPr>
        <w:t>可以作为浮游藻类生物量和藻华风险的重要指标，但仅凭叶绿素</w:t>
      </w:r>
      <w:r>
        <w:t xml:space="preserve"> a </w:t>
      </w:r>
      <w:r>
        <w:rPr>
          <w:rFonts w:hint="eastAsia"/>
        </w:rPr>
        <w:t>或环境因子，仍难以判断藻华的有害程度和具体原因种。</w:t>
      </w:r>
    </w:p>
    <w:p w14:paraId="45465C17" w14:textId="77777777" w:rsidR="00617DBA" w:rsidRDefault="00000000">
      <w:pPr>
        <w:pStyle w:val="a0"/>
      </w:pPr>
      <w:r>
        <w:rPr>
          <w:rFonts w:hint="eastAsia"/>
        </w:rPr>
        <w:t>人工镜检依然是准确可靠的基础方法，尤其适合做藻种确认和结果复核。但它依赖人工取样、制片、显微观察和专业人员统计，人力和时间成本高，难以覆盖高频、长期、多点位的现场监测任务。对于藻华这种可能在数小时到数天内快速变化的风险事件，低频人工检测很容易错过早期信号。</w:t>
      </w:r>
    </w:p>
    <w:p w14:paraId="3747B533" w14:textId="77777777" w:rsidR="00617DBA" w:rsidRDefault="00000000">
      <w:pPr>
        <w:pStyle w:val="a0"/>
      </w:pPr>
      <w:r>
        <w:rPr>
          <w:rFonts w:hint="eastAsia"/>
        </w:rPr>
        <w:t>遥感监测适合大范围巡查，可以帮助判断大尺度水华或赤潮的空间分布，但它也有明显边界：一是受天气、云层、水体表层状态影响；二是空间分辨率有限；三是对低生物量、小范围、早期阶段的藻华不够敏感；四是无法直接获得微观层面的藻种图像证据。因此，遥感更适合做宏观发现，不能替代现场原因种识别。</w:t>
      </w:r>
    </w:p>
    <w:p w14:paraId="54FF2D02" w14:textId="77777777" w:rsidR="00617DBA" w:rsidRDefault="00000000">
      <w:pPr>
        <w:pStyle w:val="a0"/>
      </w:pPr>
      <w:r>
        <w:rPr>
          <w:rFonts w:hint="eastAsia"/>
        </w:rPr>
        <w:t>高端浮游生物成像设备已经证明了“原位成像</w:t>
      </w:r>
      <w:r>
        <w:t xml:space="preserve"> + </w:t>
      </w:r>
      <w:r>
        <w:rPr>
          <w:rFonts w:hint="eastAsia"/>
        </w:rPr>
        <w:t>智能识别</w:t>
      </w:r>
      <w:r>
        <w:t xml:space="preserve"> + </w:t>
      </w:r>
      <w:r>
        <w:rPr>
          <w:rFonts w:hint="eastAsia"/>
        </w:rPr>
        <w:t>数据服务”的技术方向。商业计划书中提到的</w:t>
      </w:r>
      <w:r>
        <w:t xml:space="preserve"> IFCB</w:t>
      </w:r>
      <w:r>
        <w:t>、</w:t>
      </w:r>
      <w:r>
        <w:t>FlowCAM</w:t>
      </w:r>
      <w:r>
        <w:t>、</w:t>
      </w:r>
      <w:r>
        <w:t xml:space="preserve">Video Plankton </w:t>
      </w:r>
      <w:r>
        <w:rPr>
          <w:rFonts w:hint="eastAsia"/>
        </w:rPr>
        <w:t>Recorder</w:t>
      </w:r>
      <w:r>
        <w:rPr>
          <w:rFonts w:hint="eastAsia"/>
        </w:rPr>
        <w:t>，以及绿洲光生物</w:t>
      </w:r>
      <w:r>
        <w:t xml:space="preserve"> PlanktonScope </w:t>
      </w:r>
      <w:r>
        <w:rPr>
          <w:rFonts w:hint="eastAsia"/>
        </w:rPr>
        <w:t>等设备，能够把浮游生物监测从人工采样推向现场连续观测。但这类系统通常面向科研调查、海洋长期观测和大型工程项目，设备成本、维护门槛、部署条件和后端数据处理复杂度都较高，中小养殖场、基层监测站、水库点位和多点位低成本布设场景难以大规模采用。</w:t>
      </w:r>
    </w:p>
    <w:p w14:paraId="5C6E8A81" w14:textId="77777777" w:rsidR="00617DBA" w:rsidRDefault="00000000">
      <w:pPr>
        <w:pStyle w:val="2"/>
      </w:pPr>
      <w:bookmarkStart w:id="3" w:name="原因种识别是早期预警的关键"/>
      <w:bookmarkEnd w:id="2"/>
      <w:r>
        <w:rPr>
          <w:rFonts w:hint="eastAsia"/>
        </w:rPr>
        <w:t>原因种识别是早期预警的关键</w:t>
      </w:r>
    </w:p>
    <w:p w14:paraId="17C45C78" w14:textId="77777777" w:rsidR="00617DBA" w:rsidRDefault="00000000">
      <w:pPr>
        <w:pStyle w:val="FirstParagraph"/>
      </w:pPr>
      <w:r>
        <w:rPr>
          <w:rFonts w:hint="eastAsia"/>
        </w:rPr>
        <w:t>藻华预警不能只看“水体是否变绿”，也不能只看“叶绿素是否升高”。不同原因种对营养盐的吸收偏好、适宜温盐条件、形态特征和致灾方式并不相同。论文中通过北部湾近岸海域研究发现，水温、无机营养盐和盐度是影响叶绿素</w:t>
      </w:r>
      <w:r>
        <w:t xml:space="preserve"> a </w:t>
      </w:r>
      <w:r>
        <w:rPr>
          <w:rFonts w:hint="eastAsia"/>
        </w:rPr>
        <w:t>浓度的重要因素；硝氮和活性磷酸盐在</w:t>
      </w:r>
      <w:r>
        <w:t xml:space="preserve"> 24 </w:t>
      </w:r>
      <w:r>
        <w:rPr>
          <w:rFonts w:hint="eastAsia"/>
        </w:rPr>
        <w:t>小时内大幅下降，可以作为藻华风险上升的重要信号；当温度和盐度适宜时，营养盐下降与藻华爆发之间的间隔甚至可能缩短到</w:t>
      </w:r>
      <w:r>
        <w:t xml:space="preserve"> 4 </w:t>
      </w:r>
      <w:r>
        <w:rPr>
          <w:rFonts w:hint="eastAsia"/>
        </w:rPr>
        <w:t>小时以内。</w:t>
      </w:r>
    </w:p>
    <w:p w14:paraId="631C26C2" w14:textId="77777777" w:rsidR="00617DBA" w:rsidRDefault="00000000">
      <w:pPr>
        <w:pStyle w:val="a0"/>
      </w:pPr>
      <w:r>
        <w:rPr>
          <w:rFonts w:hint="eastAsia"/>
        </w:rPr>
        <w:t>但论文同时强调，不同原因种会显著影响预测效果。蓝绿藻、球形棕囊藻、中肋骨条藻等优势种对硝氮和活性磷酸盐的吸收表现并不一致，导致基于环境因子的预测模型精度出现差异。换句话说，如果系统只知道“温度、盐度、营养盐变了”，但不知道“是哪种藻正在增长”，预警就容易出现误判或滞后。</w:t>
      </w:r>
    </w:p>
    <w:p w14:paraId="4A07BF09" w14:textId="77777777" w:rsidR="00617DBA" w:rsidRDefault="00000000">
      <w:pPr>
        <w:pStyle w:val="a0"/>
      </w:pPr>
      <w:r>
        <w:rPr>
          <w:rFonts w:hint="eastAsia"/>
        </w:rPr>
        <w:t>这正是水下显微成像与智能识别技术的价值所在。论文提出的“水下显微成像</w:t>
      </w:r>
      <w:r>
        <w:t xml:space="preserve"> - </w:t>
      </w:r>
      <w:r>
        <w:rPr>
          <w:rFonts w:hint="eastAsia"/>
        </w:rPr>
        <w:t>图像处理</w:t>
      </w:r>
      <w:r>
        <w:t xml:space="preserve"> - </w:t>
      </w:r>
      <w:r>
        <w:rPr>
          <w:rFonts w:hint="eastAsia"/>
        </w:rPr>
        <w:t>目标检测”技术框架，以球形棕囊藻为目标开展实验，证明了通过暗场照明、自适应对比度增强、暗通道去散射和</w:t>
      </w:r>
      <w:r>
        <w:t xml:space="preserve"> YOLOv8 </w:t>
      </w:r>
      <w:r>
        <w:rPr>
          <w:rFonts w:hint="eastAsia"/>
        </w:rPr>
        <w:t>目标检测模型，可以提高对目标藻类的识别能力。其结论显示，图像增强和去散射处理可以改善水下图像质量，</w:t>
      </w:r>
      <w:r>
        <w:rPr>
          <w:rFonts w:hint="eastAsia"/>
        </w:rPr>
        <w:t>YOLOv8</w:t>
      </w:r>
      <w:r>
        <w:t xml:space="preserve"> </w:t>
      </w:r>
      <w:r>
        <w:rPr>
          <w:rFonts w:hint="eastAsia"/>
        </w:rPr>
        <w:t>对球形棕囊藻的识别精确率从</w:t>
      </w:r>
      <w:r>
        <w:t xml:space="preserve"> </w:t>
      </w:r>
      <w:r>
        <w:rPr>
          <w:rFonts w:hint="eastAsia"/>
        </w:rPr>
        <w:t>74%</w:t>
      </w:r>
      <w:r>
        <w:rPr>
          <w:rFonts w:hint="eastAsia"/>
        </w:rPr>
        <w:t>提升到</w:t>
      </w:r>
      <w:r>
        <w:t xml:space="preserve"> </w:t>
      </w:r>
      <w:r>
        <w:rPr>
          <w:rFonts w:hint="eastAsia"/>
        </w:rPr>
        <w:t>91%</w:t>
      </w:r>
      <w:r>
        <w:rPr>
          <w:rFonts w:hint="eastAsia"/>
        </w:rPr>
        <w:t>。这说明，面向藻华早期预警，生物图像数据不是附加材料，而是提高预测可靠性的核心数据源。</w:t>
      </w:r>
    </w:p>
    <w:p>
      <w:pPr>
        <w:pStyle w:val="2"/>
      </w:pPr>
      <w:r>
        <w:t>水下生物监测设备市场调查</w:t>
      </w:r>
    </w:p>
    <w:p>
      <w:r>
        <w:rPr>
          <w:sz w:val="21"/>
        </w:rPr>
        <w:t>水下生物监测设备并不是一个孤立的小众仪器市场，而是处在水环境治理、海洋生态预警、智慧水务、水产养殖数字化和工业取水安全几类需求的交叉点上。传统水质监测更多围绕温度、pH、溶解氧、浊度、叶绿素、COD、氨氮、总磷、总氮等理化指标展开，已经形成较成熟的在线仪表和运维服务市场；但随着生态风险管理从"水质达标"走向"生态健康和灾害预警"，用户开始需要能够直接看见浮游植物、浮游动物、藻类、黏性团聚物、水母幼体、毛虾等生物对象的设备。也就是说，市场正在从单一水质参数监测，向"理化传感 + 生物图像 + 智能识别 + 预警服务"升级。</w:t>
      </w:r>
    </w:p>
    <w:p>
      <w:r>
        <w:rPr>
          <w:sz w:val="21"/>
        </w:rPr>
        <w:t>从宏观需求看，市场增长主要来自四个方向。第一，海洋生态预警监测体系持续扩张。自然资源部发布的海洋生态预警监测信息显示，我国已经形成海洋站、雷达、浮标、船舶、无人机、卫星遥感等综合观测体系，2024年在14条近海标准断面、1621个近海监测站位开展生态趋势性监测，并对赤潮、浒苔绿潮、局地性生物暴发和低氧等问题开展预警监测。这说明国家层面对海洋生态灾害的监测需求不是一次性项目，而是长期网络化投入。第二，水产养殖规模巨大且对风险敏感。农业农村部2024年渔业统计数据显示，全国水产品总产量7357.59万吨，其中养殖产量6060.03万吨，占比超过八成；全国水产养殖面积7567.88千公顷。如此大的养殖基数意味着只要局部区域发生藻华、缺氧或有害生物暴发，就可能带来明显经济损失。第三，饮用水源地和水厂对藻类异常的管理要求提高。水库、湖泊和取水口不仅需要知道叶绿素是否升高，还需要判断是否出现蓝藻、硅藻、棕囊藻等重点对象，以便提前调整取水、混凝、过滤、活性炭投加和应急处置方案。第四，核电冷源、火电、化工、海水淡化等工业取水口对连续运行安全要求极高，一旦海生物聚集或黏性藻类堵塞滤网，损失往往远高于监测设备本身成本。</w:t>
      </w:r>
    </w:p>
    <w:p>
      <w:r>
        <w:rPr>
          <w:sz w:val="21"/>
        </w:rPr>
        <w:t>从相邻市场规模看，水质监测和环境监测行业已经验证了用户付费基础。公开行业研究显示，全球水质传感器市场2024年规模约57亿美元，并预计2030年达到约91亿美元；中国环境监测行业2023年市场规模约466亿元，2024年预计超过500亿元。虽然这些数据并不等同于"水下生物显微监测设备"的直接市场规模，但能说明水环境监测设备、在线仪表和运维服务已有稳定采购渠道。藻影卫士切入的是其中尚未被充分满足的生物图像监测细分环节，属于在现有水质监测预算、生态监测项目、养殖数字化投入和工业安全监测预算中寻找增量。</w:t>
      </w:r>
    </w:p>
    <w:p>
      <w:r>
        <w:rPr>
          <w:sz w:val="21"/>
        </w:rPr>
        <w:t>从用户需求层次看，市场可分为基础监测、风险预警、原因种识别和数据服务四层。基础监测层关注设备能否长期稳定采集现场图像；风险预警层关注藻类数量、增长速度和异常聚集趋势；原因种识别层关注是否能区分球形棕囊藻、微囊藻、直链藻、小球藻等重点对象；数据服务层关注是否能形成多点位趋势、历史报告、人工复核和模型更新。现有水质仪表主要覆盖基础环境参数，高端浮游生物成像设备覆盖科研级图像分析，而中低成本、可多点布设、面向早期预警的水下显微智能设备仍存在明显空位。</w:t>
      </w:r>
    </w:p>
    <w:p/>
    <w:p>
      <w:r>
        <w:rPr>
          <w:sz w:val="21"/>
        </w:rPr>
        <w:t>从采购逻辑看，不同客户的付费方式存在明显差异。政府和监管用户通常以项目制、设备采购和运维服务方式采购，关注合规、稳定、报告输出和多点管理；水务和工业用户更关注风险减损，愿意为可靠性、运维和告警准确率付费；养殖用户价格敏感，但对减损效果敏感，适合通过示范点、租赁服务或"设备 + 年服务费"方式进入；科研用户更关注可改造性、数据开放和算法接口，适合早期样机验证和联合课题合作。因此，本产品不能只按"卖一台设备"设计商业路径，而应把硬件、平台、运维、模型升级和数据服务打包成不同版本。</w:t>
      </w:r>
    </w:p>
    <w:p>
      <w:r>
        <w:rPr>
          <w:sz w:val="21"/>
        </w:rPr>
        <w:t>从价格带看，市场大致可以分为三层：一是常规水质传感器和藻类荧光传感器，单个探头通常从数千元到数万元不等，优势是成熟稳定，但无法输出显微图像和藻种识别；二是高端流式成像、原位浮游生物成像和自动显微分析设备，通常面向科研和重点工程，系统价格、维护门槛和后端分析要求较高；三是低成本开源或半开源显微成像方案，成本低但工程化、防水、长期运行、标准化运维和预警闭环不足。藻影卫士应定位在第一层和第二层之间，以万元级样机成本、标准化平台和重点藻种模型，形成"比普通传感器更有生物证据，比高端科研设备更容易布点"的差异化。</w:t>
      </w:r>
    </w:p>
    <w:p>
      <w:r>
        <w:rPr>
          <w:sz w:val="21"/>
        </w:rPr>
        <w:t>从竞争格局看，现有产品并没有完全覆盖本项目定位。IFCB、FlowCam、VPR等设备证明了浮游生物成像识别的技术价值，但更偏科研级、实验室或大型监测任务；常规水质多参数仪、叶绿素和蓝绿藻传感器部署成熟，但只能间接反映藻类变化；摄像头和水下视频设备能看到宏观生物或水体状态，却难以稳定识别微米级藻类；国内部分原位生态监测产品具备工程化能力，但往往面向综合生态监测或高端项目。藻影卫士的机会在于把目标收窄到"有害藻华早期预警和重点微藻识别"，用偏振暗场显微成像提高低密度、透明或半透明微藻的可见度，再用轻量化识别模型和平台预警降低使用门槛。</w:t>
      </w:r>
    </w:p>
    <w:p>
      <w:r>
        <w:rPr>
          <w:sz w:val="21"/>
        </w:rPr>
        <w:t>综合判断，水下生物监测设备市场目前处在"需求明确、技术路线正在成熟、低成本产品供给不足"的阶段。短期看，最容易落地的是高校科研、养殖示范点、水库取水口和基层监测站，因为这些用户对试点接受度高，现场数据价值明显；中期可进入海洋牧场、地方生态监测网络和水务集团，形成标准化点位部署；长期可作为核电冷源、工业取水和智慧海洋平台的辅助监测模块，与现有传感器、视频系统和平台接口融合。对藻影卫士而言，市场突破的关键不是宣称替代所有设备，而是抓住"早期、低成本、多点位、可识别原因种"这四个关键词，先在真实场景中证明预警价值。</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市场方向</w:t>
            </w:r>
          </w:p>
        </w:tc>
        <w:tc>
          <w:tcPr>
            <w:tcW w:type="dxa" w:w="1872"/>
          </w:tcPr>
          <w:p>
            <w:r>
              <w:rPr>
                <w:b/>
                <w:sz w:val="16"/>
              </w:rPr>
              <w:t>典型用户</w:t>
            </w:r>
          </w:p>
        </w:tc>
        <w:tc>
          <w:tcPr>
            <w:tcW w:type="dxa" w:w="1872"/>
          </w:tcPr>
          <w:p>
            <w:r>
              <w:rPr>
                <w:b/>
                <w:sz w:val="16"/>
              </w:rPr>
              <w:t>现有监测方式</w:t>
            </w:r>
          </w:p>
        </w:tc>
        <w:tc>
          <w:tcPr>
            <w:tcW w:type="dxa" w:w="1872"/>
          </w:tcPr>
          <w:p>
            <w:r>
              <w:rPr>
                <w:b/>
                <w:sz w:val="16"/>
              </w:rPr>
              <w:t>未满足需求</w:t>
            </w:r>
          </w:p>
        </w:tc>
        <w:tc>
          <w:tcPr>
            <w:tcW w:type="dxa" w:w="1872"/>
          </w:tcPr>
          <w:p>
            <w:r>
              <w:rPr>
                <w:b/>
                <w:sz w:val="16"/>
              </w:rPr>
              <w:t>藻影卫士切入点</w:t>
            </w:r>
          </w:p>
        </w:tc>
      </w:tr>
      <w:tr>
        <w:tc>
          <w:tcPr>
            <w:tcW w:type="dxa" w:w="1872"/>
          </w:tcPr>
          <w:p>
            <w:r>
              <w:rPr>
                <w:sz w:val="16"/>
              </w:rPr>
              <w:t>水产养殖与海洋牧场</w:t>
            </w:r>
          </w:p>
        </w:tc>
        <w:tc>
          <w:tcPr>
            <w:tcW w:type="dxa" w:w="1872"/>
          </w:tcPr>
          <w:p>
            <w:r>
              <w:rPr>
                <w:sz w:val="16"/>
              </w:rPr>
              <w:t>规模化养殖企业、养殖合作社、海洋牧场运营方</w:t>
            </w:r>
          </w:p>
        </w:tc>
        <w:tc>
          <w:tcPr>
            <w:tcW w:type="dxa" w:w="1872"/>
          </w:tcPr>
          <w:p>
            <w:r>
              <w:rPr>
                <w:sz w:val="16"/>
              </w:rPr>
              <w:t>人工巡塘、水质传感器、第三方检测</w:t>
            </w:r>
          </w:p>
        </w:tc>
        <w:tc>
          <w:tcPr>
            <w:tcW w:type="dxa" w:w="1872"/>
          </w:tcPr>
          <w:p>
            <w:r>
              <w:rPr>
                <w:sz w:val="16"/>
              </w:rPr>
              <w:t>低成本、连续、能提前发现藻类异常和水体生物风险</w:t>
            </w:r>
          </w:p>
        </w:tc>
        <w:tc>
          <w:tcPr>
            <w:tcW w:type="dxa" w:w="1872"/>
          </w:tcPr>
          <w:p>
            <w:r>
              <w:rPr>
                <w:sz w:val="16"/>
              </w:rPr>
              <w:t>提供固定点位显微图像、藻类计数趋势和早期提醒</w:t>
            </w:r>
          </w:p>
        </w:tc>
      </w:tr>
      <w:tr>
        <w:tc>
          <w:tcPr>
            <w:tcW w:type="dxa" w:w="1872"/>
          </w:tcPr>
          <w:p>
            <w:r>
              <w:rPr>
                <w:sz w:val="16"/>
              </w:rPr>
              <w:t>水库与自来水厂</w:t>
            </w:r>
          </w:p>
        </w:tc>
        <w:tc>
          <w:tcPr>
            <w:tcW w:type="dxa" w:w="1872"/>
          </w:tcPr>
          <w:p>
            <w:r>
              <w:rPr>
                <w:sz w:val="16"/>
              </w:rPr>
              <w:t>水库管理单位、水务集团、水厂化验室</w:t>
            </w:r>
          </w:p>
        </w:tc>
        <w:tc>
          <w:tcPr>
            <w:tcW w:type="dxa" w:w="1872"/>
          </w:tcPr>
          <w:p>
            <w:r>
              <w:rPr>
                <w:sz w:val="16"/>
              </w:rPr>
              <w:t>水质在线仪表、人工采样镜检、实验室检测</w:t>
            </w:r>
          </w:p>
        </w:tc>
        <w:tc>
          <w:tcPr>
            <w:tcW w:type="dxa" w:w="1872"/>
          </w:tcPr>
          <w:p>
            <w:r>
              <w:rPr>
                <w:sz w:val="16"/>
              </w:rPr>
              <w:t>需要知道"是哪类藻在增加"，为工艺调整提供证据</w:t>
            </w:r>
          </w:p>
        </w:tc>
        <w:tc>
          <w:tcPr>
            <w:tcW w:type="dxa" w:w="1872"/>
          </w:tcPr>
          <w:p>
            <w:r>
              <w:rPr>
                <w:sz w:val="16"/>
              </w:rPr>
              <w:t>补充原因种图像证据，辅助工艺调整和应急预案</w:t>
            </w:r>
          </w:p>
        </w:tc>
      </w:tr>
      <w:tr>
        <w:tc>
          <w:tcPr>
            <w:tcW w:type="dxa" w:w="1872"/>
          </w:tcPr>
          <w:p>
            <w:r>
              <w:rPr>
                <w:sz w:val="16"/>
              </w:rPr>
              <w:t>海洋生态与监管</w:t>
            </w:r>
          </w:p>
        </w:tc>
        <w:tc>
          <w:tcPr>
            <w:tcW w:type="dxa" w:w="1872"/>
          </w:tcPr>
          <w:p>
            <w:r>
              <w:rPr>
                <w:sz w:val="16"/>
              </w:rPr>
              <w:t>海洋、生态环境、水利等部门及监测站</w:t>
            </w:r>
          </w:p>
        </w:tc>
        <w:tc>
          <w:tcPr>
            <w:tcW w:type="dxa" w:w="1872"/>
          </w:tcPr>
          <w:p>
            <w:r>
              <w:rPr>
                <w:sz w:val="16"/>
              </w:rPr>
              <w:t>船舶调查、浮标、遥感、人工采样</w:t>
            </w:r>
          </w:p>
        </w:tc>
        <w:tc>
          <w:tcPr>
            <w:tcW w:type="dxa" w:w="1872"/>
          </w:tcPr>
          <w:p>
            <w:r>
              <w:rPr>
                <w:sz w:val="16"/>
              </w:rPr>
              <w:t>近岸小尺度、低密度、早期阶段缺少生物图像证据</w:t>
            </w:r>
          </w:p>
        </w:tc>
        <w:tc>
          <w:tcPr>
            <w:tcW w:type="dxa" w:w="1872"/>
          </w:tcPr>
          <w:p>
            <w:r>
              <w:rPr>
                <w:sz w:val="16"/>
              </w:rPr>
              <w:t>作为低成本站位补充，提升多点覆盖率</w:t>
            </w:r>
          </w:p>
        </w:tc>
      </w:tr>
      <w:tr>
        <w:tc>
          <w:tcPr>
            <w:tcW w:type="dxa" w:w="1872"/>
          </w:tcPr>
          <w:p>
            <w:r>
              <w:rPr>
                <w:sz w:val="16"/>
              </w:rPr>
              <w:t>核电冷源与工业取水</w:t>
            </w:r>
          </w:p>
        </w:tc>
        <w:tc>
          <w:tcPr>
            <w:tcW w:type="dxa" w:w="1872"/>
          </w:tcPr>
          <w:p>
            <w:r>
              <w:rPr>
                <w:sz w:val="16"/>
              </w:rPr>
              <w:t>核电、火电、化工、海水淡化、港口取水单位</w:t>
            </w:r>
          </w:p>
        </w:tc>
        <w:tc>
          <w:tcPr>
            <w:tcW w:type="dxa" w:w="1872"/>
          </w:tcPr>
          <w:p>
            <w:r>
              <w:rPr>
                <w:sz w:val="16"/>
              </w:rPr>
              <w:t>拦污网、视频巡检、水质仪表、人工观察</w:t>
            </w:r>
          </w:p>
        </w:tc>
        <w:tc>
          <w:tcPr>
            <w:tcW w:type="dxa" w:w="1872"/>
          </w:tcPr>
          <w:p>
            <w:r>
              <w:rPr>
                <w:sz w:val="16"/>
              </w:rPr>
              <w:t>对堵塞风险生物缺少早期识别和趋势判断</w:t>
            </w:r>
          </w:p>
        </w:tc>
        <w:tc>
          <w:tcPr>
            <w:tcW w:type="dxa" w:w="1872"/>
          </w:tcPr>
          <w:p>
            <w:r>
              <w:rPr>
                <w:sz w:val="16"/>
              </w:rPr>
              <w:t>监测黏性藻类、浮游生物和颗粒聚集趋势，作为辅助预警</w:t>
            </w:r>
          </w:p>
        </w:tc>
      </w:tr>
      <w:tr>
        <w:tc>
          <w:tcPr>
            <w:tcW w:type="dxa" w:w="1872"/>
          </w:tcPr>
          <w:p>
            <w:r>
              <w:rPr>
                <w:sz w:val="16"/>
              </w:rPr>
              <w:t>科研教学与算法数据</w:t>
            </w:r>
          </w:p>
        </w:tc>
        <w:tc>
          <w:tcPr>
            <w:tcW w:type="dxa" w:w="1872"/>
          </w:tcPr>
          <w:p>
            <w:r>
              <w:rPr>
                <w:sz w:val="16"/>
              </w:rPr>
              <w:t>高校、科研院所、实验站</w:t>
            </w:r>
          </w:p>
        </w:tc>
        <w:tc>
          <w:tcPr>
            <w:tcW w:type="dxa" w:w="1872"/>
          </w:tcPr>
          <w:p>
            <w:r>
              <w:rPr>
                <w:sz w:val="16"/>
              </w:rPr>
              <w:t>显微镜、FlowCam、IFCB等高端设备或人工采样</w:t>
            </w:r>
          </w:p>
        </w:tc>
        <w:tc>
          <w:tcPr>
            <w:tcW w:type="dxa" w:w="1872"/>
          </w:tcPr>
          <w:p>
            <w:r>
              <w:rPr>
                <w:sz w:val="16"/>
              </w:rPr>
              <w:t>高端设备昂贵，野外原位数据采集成本高</w:t>
            </w:r>
          </w:p>
        </w:tc>
        <w:tc>
          <w:tcPr>
            <w:tcW w:type="dxa" w:w="1872"/>
          </w:tcPr>
          <w:p>
            <w:r>
              <w:rPr>
                <w:sz w:val="16"/>
              </w:rPr>
              <w:t>提供低成本原位成像平台和可积累的数据集</w:t>
            </w:r>
          </w:p>
        </w:tc>
      </w:tr>
    </w:tbl>
    <w:p w14:paraId="26389EF4" w14:textId="77777777" w:rsidR="00617DBA" w:rsidRDefault="00000000">
      <w:pPr>
        <w:pStyle w:val="2"/>
      </w:pPr>
      <w:bookmarkStart w:id="4" w:name="国内外技术与竞品分析"/>
      <w:bookmarkEnd w:id="3"/>
      <w:r>
        <w:rPr>
          <w:rFonts w:hint="eastAsia"/>
        </w:rPr>
        <w:t>国内外技术与竞品分析</w:t>
      </w:r>
    </w:p>
    <w:p w14:paraId="6536B295" w14:textId="77777777" w:rsidR="00617DBA" w:rsidRDefault="00000000">
      <w:pPr>
        <w:pStyle w:val="FirstParagraph"/>
      </w:pPr>
      <w:r>
        <w:rPr>
          <w:rFonts w:hint="eastAsia"/>
        </w:rPr>
        <w:t>现有技术路线可以分为四类：人工镜检、常规水质传感器、遥感监测和高端原位成像设备。它们分别解决了“准不准”“能不能连续”“范围够不够大”“能不能看到生物图像”的问题，但还没有充分解决“低成本、多点位、早期原因种识别”的综合需求。</w:t>
      </w:r>
    </w:p>
    <w:tbl>
      <w:tblPr>
        <w:tblStyle w:val="Table"/>
        <w:tblW w:w="0" w:type="auto"/>
        <w:tblLook w:val="0020" w:firstRow="1" w:lastRow="0" w:firstColumn="0" w:lastColumn="0" w:noHBand="0" w:noVBand="0"/>
      </w:tblPr>
      <w:tblGrid>
        <w:gridCol w:w="947"/>
        <w:gridCol w:w="2380"/>
        <w:gridCol w:w="1734"/>
        <w:gridCol w:w="1952"/>
        <w:gridCol w:w="1843"/>
      </w:tblGrid>
      <w:tr w:rsidR="00617DBA" w14:paraId="1CB97709" w14:textId="77777777" w:rsidTr="00617DBA">
        <w:trPr>
          <w:cnfStyle w:val="100000000000" w:firstRow="1" w:lastRow="0" w:firstColumn="0" w:lastColumn="0" w:oddVBand="0" w:evenVBand="0" w:oddHBand="0" w:evenHBand="0" w:firstRowFirstColumn="0" w:firstRowLastColumn="0" w:lastRowFirstColumn="0" w:lastRowLastColumn="0"/>
          <w:tblHeader/>
        </w:trPr>
        <w:tc>
          <w:tcPr>
            <w:tcW w:w="0" w:type="auto"/>
          </w:tcPr>
          <w:p w14:paraId="7E6DE3F4" w14:textId="77777777" w:rsidR="00617DBA" w:rsidRDefault="00000000">
            <w:pPr>
              <w:pStyle w:val="Compact"/>
            </w:pPr>
            <w:r>
              <w:rPr>
                <w:rFonts w:hint="eastAsia"/>
              </w:rPr>
              <w:t>产品或方法</w:t>
            </w:r>
          </w:p>
        </w:tc>
        <w:tc>
          <w:tcPr>
            <w:tcW w:w="0" w:type="auto"/>
          </w:tcPr>
          <w:p w14:paraId="58CF0213" w14:textId="77777777" w:rsidR="00617DBA" w:rsidRDefault="00000000">
            <w:pPr>
              <w:pStyle w:val="Compact"/>
            </w:pPr>
            <w:r>
              <w:rPr>
                <w:rFonts w:hint="eastAsia"/>
              </w:rPr>
              <w:t>代表产品</w:t>
            </w:r>
            <w:r>
              <w:rPr>
                <w:rFonts w:hint="eastAsia"/>
              </w:rPr>
              <w:t>/</w:t>
            </w:r>
            <w:r>
              <w:rPr>
                <w:rFonts w:hint="eastAsia"/>
              </w:rPr>
              <w:t>原理</w:t>
            </w:r>
          </w:p>
        </w:tc>
        <w:tc>
          <w:tcPr>
            <w:tcW w:w="0" w:type="auto"/>
          </w:tcPr>
          <w:p w14:paraId="188F6540" w14:textId="77777777" w:rsidR="00617DBA" w:rsidRDefault="00000000">
            <w:pPr>
              <w:pStyle w:val="Compact"/>
            </w:pPr>
            <w:r>
              <w:rPr>
                <w:rFonts w:hint="eastAsia"/>
              </w:rPr>
              <w:t>主要优势</w:t>
            </w:r>
          </w:p>
        </w:tc>
        <w:tc>
          <w:tcPr>
            <w:tcW w:w="0" w:type="auto"/>
          </w:tcPr>
          <w:p w14:paraId="502C13A1" w14:textId="77777777" w:rsidR="00617DBA" w:rsidRDefault="00000000">
            <w:pPr>
              <w:pStyle w:val="Compact"/>
            </w:pPr>
            <w:r>
              <w:rPr>
                <w:rFonts w:hint="eastAsia"/>
              </w:rPr>
              <w:t>主要不足</w:t>
            </w:r>
          </w:p>
        </w:tc>
        <w:tc>
          <w:tcPr>
            <w:tcW w:w="0" w:type="auto"/>
          </w:tcPr>
          <w:p w14:paraId="45F9D6FD" w14:textId="77777777" w:rsidR="00617DBA" w:rsidRDefault="00000000">
            <w:pPr>
              <w:pStyle w:val="Compact"/>
            </w:pPr>
            <w:r>
              <w:rPr>
                <w:rFonts w:hint="eastAsia"/>
              </w:rPr>
              <w:t>藻影卫士的机会点</w:t>
            </w:r>
          </w:p>
        </w:tc>
      </w:tr>
      <w:tr w:rsidR="00617DBA" w14:paraId="5B855DE8" w14:textId="77777777">
        <w:tc>
          <w:tcPr>
            <w:tcW w:w="0" w:type="auto"/>
          </w:tcPr>
          <w:p w14:paraId="121866EB" w14:textId="77777777" w:rsidR="00617DBA" w:rsidRDefault="00000000">
            <w:pPr>
              <w:pStyle w:val="Compact"/>
            </w:pPr>
            <w:r>
              <w:rPr>
                <w:rFonts w:hint="eastAsia"/>
              </w:rPr>
              <w:t>传统人工镜检</w:t>
            </w:r>
          </w:p>
        </w:tc>
        <w:tc>
          <w:tcPr>
            <w:tcW w:w="0" w:type="auto"/>
          </w:tcPr>
          <w:p w14:paraId="4D310642" w14:textId="77777777" w:rsidR="00617DBA" w:rsidRDefault="00000000">
            <w:pPr>
              <w:pStyle w:val="Compact"/>
            </w:pPr>
            <w:r>
              <w:rPr>
                <w:rFonts w:hint="eastAsia"/>
              </w:rPr>
              <w:t>人工取样、实验室显微镜鉴定</w:t>
            </w:r>
          </w:p>
        </w:tc>
        <w:tc>
          <w:tcPr>
            <w:tcW w:w="0" w:type="auto"/>
          </w:tcPr>
          <w:p w14:paraId="6CC9F75A" w14:textId="77777777" w:rsidR="00617DBA" w:rsidRDefault="00000000">
            <w:pPr>
              <w:pStyle w:val="Compact"/>
            </w:pPr>
            <w:r>
              <w:rPr>
                <w:rFonts w:hint="eastAsia"/>
              </w:rPr>
              <w:t>藻种识别可靠，可作为复核标准</w:t>
            </w:r>
          </w:p>
        </w:tc>
        <w:tc>
          <w:tcPr>
            <w:tcW w:w="0" w:type="auto"/>
          </w:tcPr>
          <w:p w14:paraId="1B232EAF" w14:textId="77777777" w:rsidR="00617DBA" w:rsidRDefault="00000000">
            <w:pPr>
              <w:pStyle w:val="Compact"/>
            </w:pPr>
            <w:r>
              <w:rPr>
                <w:rFonts w:hint="eastAsia"/>
              </w:rPr>
              <w:t>低频、滞后、依赖专业人员，难以连续预警</w:t>
            </w:r>
          </w:p>
        </w:tc>
        <w:tc>
          <w:tcPr>
            <w:tcW w:w="0" w:type="auto"/>
          </w:tcPr>
          <w:p w14:paraId="2FC2B423" w14:textId="77777777" w:rsidR="00617DBA" w:rsidRDefault="00000000">
            <w:pPr>
              <w:pStyle w:val="Compact"/>
            </w:pPr>
            <w:r>
              <w:rPr>
                <w:rFonts w:hint="eastAsia"/>
              </w:rPr>
              <w:t>提供连续原位图像，先做早期筛查，再辅助人工复核</w:t>
            </w:r>
          </w:p>
        </w:tc>
      </w:tr>
      <w:tr w:rsidR="00617DBA" w14:paraId="4AB452AE" w14:textId="77777777">
        <w:tc>
          <w:tcPr>
            <w:tcW w:w="0" w:type="auto"/>
          </w:tcPr>
          <w:p w14:paraId="26707A27" w14:textId="77777777" w:rsidR="00617DBA" w:rsidRDefault="00000000">
            <w:pPr>
              <w:pStyle w:val="Compact"/>
            </w:pPr>
            <w:r>
              <w:rPr>
                <w:rFonts w:hint="eastAsia"/>
              </w:rPr>
              <w:t>常规水质传感器</w:t>
            </w:r>
          </w:p>
        </w:tc>
        <w:tc>
          <w:tcPr>
            <w:tcW w:w="0" w:type="auto"/>
          </w:tcPr>
          <w:p w14:paraId="440B0116" w14:textId="77777777" w:rsidR="00617DBA" w:rsidRDefault="00000000">
            <w:pPr>
              <w:pStyle w:val="Compact"/>
            </w:pPr>
            <w:r>
              <w:rPr>
                <w:rFonts w:hint="eastAsia"/>
              </w:rPr>
              <w:t>温度、盐度、</w:t>
            </w:r>
            <w:r>
              <w:rPr>
                <w:rFonts w:hint="eastAsia"/>
              </w:rPr>
              <w:t>pH</w:t>
            </w:r>
            <w:r>
              <w:rPr>
                <w:rFonts w:hint="eastAsia"/>
              </w:rPr>
              <w:t>、溶解氧、叶绿素、浊度等</w:t>
            </w:r>
          </w:p>
        </w:tc>
        <w:tc>
          <w:tcPr>
            <w:tcW w:w="0" w:type="auto"/>
          </w:tcPr>
          <w:p w14:paraId="75357770" w14:textId="77777777" w:rsidR="00617DBA" w:rsidRDefault="00000000">
            <w:pPr>
              <w:pStyle w:val="Compact"/>
            </w:pPr>
            <w:r>
              <w:rPr>
                <w:rFonts w:hint="eastAsia"/>
              </w:rPr>
              <w:t>可长期在线监测，部署成熟</w:t>
            </w:r>
          </w:p>
        </w:tc>
        <w:tc>
          <w:tcPr>
            <w:tcW w:w="0" w:type="auto"/>
          </w:tcPr>
          <w:p w14:paraId="1F340AB6" w14:textId="77777777" w:rsidR="00617DBA" w:rsidRDefault="00000000">
            <w:pPr>
              <w:pStyle w:val="Compact"/>
            </w:pPr>
            <w:r>
              <w:rPr>
                <w:rFonts w:hint="eastAsia"/>
              </w:rPr>
              <w:t>只能反映环境变化，不能直接识别原因种</w:t>
            </w:r>
          </w:p>
        </w:tc>
        <w:tc>
          <w:tcPr>
            <w:tcW w:w="0" w:type="auto"/>
          </w:tcPr>
          <w:p w14:paraId="2A8BA7E2" w14:textId="77777777" w:rsidR="00617DBA" w:rsidRDefault="00000000">
            <w:pPr>
              <w:pStyle w:val="Compact"/>
            </w:pPr>
            <w:r>
              <w:rPr>
                <w:rFonts w:hint="eastAsia"/>
              </w:rPr>
              <w:t>把环境参数和藻类图像结合，提高预警解释力</w:t>
            </w:r>
          </w:p>
        </w:tc>
      </w:tr>
      <w:tr w:rsidR="00617DBA" w14:paraId="64E39CB3" w14:textId="77777777">
        <w:tc>
          <w:tcPr>
            <w:tcW w:w="0" w:type="auto"/>
          </w:tcPr>
          <w:p w14:paraId="02D4C54A" w14:textId="77777777" w:rsidR="00617DBA" w:rsidRDefault="00000000">
            <w:pPr>
              <w:pStyle w:val="Compact"/>
            </w:pPr>
            <w:r>
              <w:rPr>
                <w:rFonts w:hint="eastAsia"/>
              </w:rPr>
              <w:t>遥感监测</w:t>
            </w:r>
          </w:p>
        </w:tc>
        <w:tc>
          <w:tcPr>
            <w:tcW w:w="0" w:type="auto"/>
          </w:tcPr>
          <w:p w14:paraId="37A166D3" w14:textId="77777777" w:rsidR="00617DBA" w:rsidRDefault="00000000">
            <w:pPr>
              <w:pStyle w:val="Compact"/>
            </w:pPr>
            <w:r>
              <w:rPr>
                <w:rFonts w:hint="eastAsia"/>
              </w:rPr>
              <w:t>卫星或无人机反演叶绿素、色素和水体光谱</w:t>
            </w:r>
          </w:p>
        </w:tc>
        <w:tc>
          <w:tcPr>
            <w:tcW w:w="0" w:type="auto"/>
          </w:tcPr>
          <w:p w14:paraId="45F2764F" w14:textId="77777777" w:rsidR="00617DBA" w:rsidRDefault="00000000">
            <w:pPr>
              <w:pStyle w:val="Compact"/>
            </w:pPr>
            <w:r>
              <w:rPr>
                <w:rFonts w:hint="eastAsia"/>
              </w:rPr>
              <w:t>范围大、效率高，适合宏观巡查</w:t>
            </w:r>
          </w:p>
        </w:tc>
        <w:tc>
          <w:tcPr>
            <w:tcW w:w="0" w:type="auto"/>
          </w:tcPr>
          <w:p w14:paraId="01B19463" w14:textId="77777777" w:rsidR="00617DBA" w:rsidRDefault="00000000">
            <w:pPr>
              <w:pStyle w:val="Compact"/>
            </w:pPr>
            <w:r>
              <w:rPr>
                <w:rFonts w:hint="eastAsia"/>
              </w:rPr>
              <w:t>对小范围、低生物量、早期藻华和具体藻种识别不足</w:t>
            </w:r>
          </w:p>
        </w:tc>
        <w:tc>
          <w:tcPr>
            <w:tcW w:w="0" w:type="auto"/>
          </w:tcPr>
          <w:p w14:paraId="14964BB8" w14:textId="77777777" w:rsidR="00617DBA" w:rsidRDefault="00000000">
            <w:pPr>
              <w:pStyle w:val="Compact"/>
            </w:pPr>
            <w:r>
              <w:rPr>
                <w:rFonts w:hint="eastAsia"/>
              </w:rPr>
              <w:t>用岸基或水下点位补足遥感的现场证据</w:t>
            </w:r>
          </w:p>
        </w:tc>
      </w:tr>
      <w:tr w:rsidR="00617DBA" w14:paraId="539D55DE" w14:textId="77777777">
        <w:tc>
          <w:tcPr>
            <w:tcW w:w="0" w:type="auto"/>
          </w:tcPr>
          <w:p w14:paraId="0AFF5B1E" w14:textId="77777777" w:rsidR="00617DBA" w:rsidRDefault="00000000">
            <w:pPr>
              <w:pStyle w:val="Compact"/>
            </w:pPr>
            <w:r>
              <w:rPr>
                <w:rFonts w:hint="eastAsia"/>
              </w:rPr>
              <w:t>高端浮游生物成像设备</w:t>
            </w:r>
          </w:p>
        </w:tc>
        <w:tc>
          <w:tcPr>
            <w:tcW w:w="0" w:type="auto"/>
          </w:tcPr>
          <w:p w14:paraId="01574A72" w14:textId="77777777" w:rsidR="00617DBA" w:rsidRDefault="00000000">
            <w:pPr>
              <w:pStyle w:val="Compact"/>
            </w:pPr>
            <w:r>
              <w:t>IFCB</w:t>
            </w:r>
            <w:r>
              <w:t>、</w:t>
            </w:r>
            <w:r>
              <w:t>FlowCAM</w:t>
            </w:r>
            <w:r>
              <w:t>、</w:t>
            </w:r>
            <w:r>
              <w:t>VPR</w:t>
            </w:r>
            <w:r>
              <w:t>、</w:t>
            </w:r>
            <w:r>
              <w:t xml:space="preserve">PlanktonScope </w:t>
            </w:r>
            <w:r>
              <w:rPr>
                <w:rFonts w:hint="eastAsia"/>
              </w:rPr>
              <w:t>等</w:t>
            </w:r>
          </w:p>
        </w:tc>
        <w:tc>
          <w:tcPr>
            <w:tcW w:w="0" w:type="auto"/>
          </w:tcPr>
          <w:p w14:paraId="0CCFA1E7" w14:textId="77777777" w:rsidR="00617DBA" w:rsidRDefault="00000000">
            <w:pPr>
              <w:pStyle w:val="Compact"/>
            </w:pPr>
            <w:r>
              <w:rPr>
                <w:rFonts w:hint="eastAsia"/>
              </w:rPr>
              <w:t>成像能力强，适合科研和大型工程监测</w:t>
            </w:r>
          </w:p>
        </w:tc>
        <w:tc>
          <w:tcPr>
            <w:tcW w:w="0" w:type="auto"/>
          </w:tcPr>
          <w:p w14:paraId="1482CE06" w14:textId="77777777" w:rsidR="00617DBA" w:rsidRDefault="00000000">
            <w:pPr>
              <w:pStyle w:val="Compact"/>
            </w:pPr>
            <w:r>
              <w:rPr>
                <w:rFonts w:hint="eastAsia"/>
              </w:rPr>
              <w:t>价格高、系统复杂、维护门槛高，多点位普及难</w:t>
            </w:r>
          </w:p>
        </w:tc>
        <w:tc>
          <w:tcPr>
            <w:tcW w:w="0" w:type="auto"/>
          </w:tcPr>
          <w:p w14:paraId="79267682" w14:textId="77777777" w:rsidR="00617DBA" w:rsidRDefault="00000000">
            <w:pPr>
              <w:pStyle w:val="Compact"/>
            </w:pPr>
            <w:r>
              <w:rPr>
                <w:rFonts w:hint="eastAsia"/>
              </w:rPr>
              <w:t>做低成本、小型化、重点藻种识别的早期预警设备</w:t>
            </w:r>
          </w:p>
        </w:tc>
      </w:tr>
      <w:tr w:rsidR="00617DBA" w14:paraId="1AD99E2F" w14:textId="77777777">
        <w:tc>
          <w:tcPr>
            <w:tcW w:w="0" w:type="auto"/>
          </w:tcPr>
          <w:p w14:paraId="55F418D0" w14:textId="77777777" w:rsidR="00617DBA" w:rsidRDefault="00000000">
            <w:pPr>
              <w:pStyle w:val="Compact"/>
            </w:pPr>
            <w:r>
              <w:rPr>
                <w:rFonts w:hint="eastAsia"/>
              </w:rPr>
              <w:t>国内原位生态监测系统</w:t>
            </w:r>
          </w:p>
        </w:tc>
        <w:tc>
          <w:tcPr>
            <w:tcW w:w="0" w:type="auto"/>
          </w:tcPr>
          <w:p w14:paraId="1068C460" w14:textId="77777777" w:rsidR="00617DBA" w:rsidRDefault="00000000">
            <w:pPr>
              <w:pStyle w:val="Compact"/>
            </w:pPr>
            <w:r>
              <w:rPr>
                <w:rFonts w:hint="eastAsia"/>
              </w:rPr>
              <w:t>设备</w:t>
            </w:r>
            <w:r>
              <w:t xml:space="preserve"> + </w:t>
            </w:r>
            <w:r>
              <w:rPr>
                <w:rFonts w:hint="eastAsia"/>
              </w:rPr>
              <w:t>平台</w:t>
            </w:r>
            <w:r>
              <w:t xml:space="preserve"> + </w:t>
            </w:r>
            <w:r>
              <w:rPr>
                <w:rFonts w:hint="eastAsia"/>
              </w:rPr>
              <w:t>数据服务方案</w:t>
            </w:r>
          </w:p>
        </w:tc>
        <w:tc>
          <w:tcPr>
            <w:tcW w:w="0" w:type="auto"/>
          </w:tcPr>
          <w:p w14:paraId="1E423E11" w14:textId="77777777" w:rsidR="00617DBA" w:rsidRDefault="00000000">
            <w:pPr>
              <w:pStyle w:val="Compact"/>
            </w:pPr>
            <w:r>
              <w:rPr>
                <w:rFonts w:hint="eastAsia"/>
              </w:rPr>
              <w:t>工程化程度高，适合核电、海洋监测等重点项目</w:t>
            </w:r>
          </w:p>
        </w:tc>
        <w:tc>
          <w:tcPr>
            <w:tcW w:w="0" w:type="auto"/>
          </w:tcPr>
          <w:p w14:paraId="6E53C593" w14:textId="77777777" w:rsidR="00617DBA" w:rsidRDefault="00000000">
            <w:pPr>
              <w:pStyle w:val="Compact"/>
            </w:pPr>
            <w:r>
              <w:rPr>
                <w:rFonts w:hint="eastAsia"/>
              </w:rPr>
              <w:t>更偏综合生态监测和高端项目，未必适合基层低成本布点</w:t>
            </w:r>
          </w:p>
        </w:tc>
        <w:tc>
          <w:tcPr>
            <w:tcW w:w="0" w:type="auto"/>
          </w:tcPr>
          <w:p w14:paraId="1ECF8979" w14:textId="77777777" w:rsidR="00617DBA" w:rsidRDefault="00000000">
            <w:pPr>
              <w:pStyle w:val="Compact"/>
            </w:pPr>
            <w:r>
              <w:rPr>
                <w:rFonts w:hint="eastAsia"/>
              </w:rPr>
              <w:t>聚焦养殖、水库、基层站点等可复制场景</w:t>
            </w:r>
          </w:p>
        </w:tc>
      </w:tr>
    </w:tbl>
    <w:p w14:paraId="29961F88" w14:textId="77777777" w:rsidR="00617DBA" w:rsidRDefault="00000000">
      <w:pPr>
        <w:pStyle w:val="a0"/>
      </w:pPr>
      <w:r>
        <w:rPr>
          <w:rFonts w:hint="eastAsia"/>
        </w:rPr>
        <w:t>综合来看，藻华监测正在从“事后采样分析”走向“现场连续观测”，从“只看理化指标”走向“理化指标</w:t>
      </w:r>
      <w:r>
        <w:t xml:space="preserve"> + </w:t>
      </w:r>
      <w:r>
        <w:rPr>
          <w:rFonts w:hint="eastAsia"/>
        </w:rPr>
        <w:t>生物图像</w:t>
      </w:r>
      <w:r>
        <w:t xml:space="preserve"> + </w:t>
      </w:r>
      <w:r>
        <w:rPr>
          <w:rFonts w:hint="eastAsia"/>
        </w:rPr>
        <w:t>智能模型”。藻影卫士的定位不是替代所有高端设备，而是在早期预警和多点布设场景中，用更低门槛的硬件、更聚焦的藻种识别模型和更直观的数据平台，补上当前市场中“看得见、布得起、用得久”的空缺。</w:t>
      </w:r>
    </w:p>
    <w:p w14:paraId="7F446F8E" w14:textId="77777777" w:rsidR="00617DBA" w:rsidRDefault="00000000">
      <w:pPr>
        <w:pStyle w:val="1"/>
      </w:pPr>
      <w:bookmarkStart w:id="5" w:name="第四部分-商业模式与盈利分析"/>
      <w:bookmarkEnd w:id="0"/>
      <w:bookmarkEnd w:id="4"/>
      <w:r>
        <w:rPr>
          <w:rFonts w:hint="eastAsia"/>
        </w:rPr>
        <w:t>第四部分</w:t>
      </w:r>
      <w:r>
        <w:t xml:space="preserve"> </w:t>
      </w:r>
      <w:r>
        <w:rPr>
          <w:rFonts w:hint="eastAsia"/>
        </w:rPr>
        <w:t>商业模式与盈利分析</w:t>
      </w:r>
    </w:p>
    <w:p w14:paraId="7F78A1E7" w14:textId="77777777" w:rsidR="00617DBA" w:rsidRDefault="00000000">
      <w:pPr>
        <w:pStyle w:val="2"/>
      </w:pPr>
      <w:bookmarkStart w:id="6" w:name="市场定位与客户画像"/>
      <w:r>
        <w:rPr>
          <w:rFonts w:hint="eastAsia"/>
        </w:rPr>
        <w:t>市场定位与客户画像</w:t>
      </w:r>
    </w:p>
    <w:p w14:paraId="51E81CEB" w14:textId="77777777" w:rsidR="00617DBA" w:rsidRDefault="00000000">
      <w:pPr>
        <w:pStyle w:val="FirstParagraph"/>
      </w:pPr>
      <w:r>
        <w:rPr>
          <w:rFonts w:hint="eastAsia"/>
        </w:rPr>
        <w:t>本产品核心业务为</w:t>
      </w:r>
      <w:r>
        <w:rPr>
          <w:rFonts w:hint="eastAsia"/>
          <w:b/>
          <w:bCs/>
        </w:rPr>
        <w:t>水下微小生物监测及其衍生服务</w:t>
      </w:r>
      <w:r>
        <w:rPr>
          <w:rFonts w:hint="eastAsia"/>
        </w:rPr>
        <w:t>，面向精准藻华监测、早期预警和低成本多点布设等需求，提供一套“小型化、低成本、可长期工作、可联网、可识别重点藻种”的水下显微智能监测系统。产品不只是一台相机，而是由前端成像设备、边缘识别算法、云端数据平台、预警报告和运维服务共同组成的监测闭环。</w:t>
      </w:r>
    </w:p>
    <w:p w14:paraId="50AA42E7" w14:textId="77777777" w:rsidR="00617DBA" w:rsidRDefault="00000000">
      <w:pPr>
        <w:pStyle w:val="a0"/>
      </w:pPr>
      <w:r>
        <w:rPr>
          <w:rFonts w:hint="eastAsia"/>
        </w:rPr>
        <w:t>从市场范围看，藻华监测需求覆盖核电冷源安全、海洋生态监测、淡水水源安全、水产养殖和海洋牧场等多个方向。商业计划书中对高端原位生态监测设备的市场测算显示，核电冷源、海洋生态、海洋牧场和淡水环境监测等应用场景具备较大的总体市场空间，技术服务和数据服务也可以形成持续收入。对藻影卫士而言，早期不需要直接切入所有高端市场，而应优先选择对成本敏感、风险感知强、愿意试点的客户，先形成可验证案例，再逐步进入标准化采购和区域化部署。</w:t>
      </w:r>
    </w:p>
    <w:p w14:paraId="2ED58876" w14:textId="77777777" w:rsidR="00617DBA" w:rsidRDefault="00000000">
      <w:pPr>
        <w:pStyle w:val="a0"/>
      </w:pPr>
      <w:r>
        <w:rPr>
          <w:rFonts w:hint="eastAsia"/>
        </w:rPr>
        <w:t>五类目标客户的痛点、购买理由和切入方式如下：</w:t>
      </w:r>
    </w:p>
    <w:tbl>
      <w:tblPr>
        <w:tblStyle w:val="Table"/>
        <w:tblW w:w="0" w:type="auto"/>
        <w:tblLook w:val="0020" w:firstRow="1" w:lastRow="0" w:firstColumn="0" w:lastColumn="0" w:noHBand="0" w:noVBand="0"/>
      </w:tblPr>
      <w:tblGrid>
        <w:gridCol w:w="1575"/>
        <w:gridCol w:w="2294"/>
        <w:gridCol w:w="2773"/>
        <w:gridCol w:w="2214"/>
      </w:tblGrid>
      <w:tr w:rsidR="00617DBA" w14:paraId="3D65EE42" w14:textId="77777777" w:rsidTr="00617DBA">
        <w:trPr>
          <w:cnfStyle w:val="100000000000" w:firstRow="1" w:lastRow="0" w:firstColumn="0" w:lastColumn="0" w:oddVBand="0" w:evenVBand="0" w:oddHBand="0" w:evenHBand="0" w:firstRowFirstColumn="0" w:firstRowLastColumn="0" w:lastRowFirstColumn="0" w:lastRowLastColumn="0"/>
          <w:tblHeader/>
        </w:trPr>
        <w:tc>
          <w:tcPr>
            <w:tcW w:w="0" w:type="auto"/>
          </w:tcPr>
          <w:p w14:paraId="50E0E9F6" w14:textId="77777777" w:rsidR="00617DBA" w:rsidRDefault="00000000">
            <w:pPr>
              <w:pStyle w:val="Compact"/>
            </w:pPr>
            <w:r>
              <w:rPr>
                <w:rFonts w:hint="eastAsia"/>
              </w:rPr>
              <w:t>目标客户</w:t>
            </w:r>
          </w:p>
        </w:tc>
        <w:tc>
          <w:tcPr>
            <w:tcW w:w="0" w:type="auto"/>
          </w:tcPr>
          <w:p w14:paraId="5F7C6D10" w14:textId="77777777" w:rsidR="00617DBA" w:rsidRDefault="00000000">
            <w:pPr>
              <w:pStyle w:val="Compact"/>
            </w:pPr>
            <w:r>
              <w:rPr>
                <w:rFonts w:hint="eastAsia"/>
              </w:rPr>
              <w:t>核心痛点</w:t>
            </w:r>
          </w:p>
        </w:tc>
        <w:tc>
          <w:tcPr>
            <w:tcW w:w="0" w:type="auto"/>
          </w:tcPr>
          <w:p w14:paraId="4370F1D4" w14:textId="77777777" w:rsidR="00617DBA" w:rsidRDefault="00000000">
            <w:pPr>
              <w:pStyle w:val="Compact"/>
            </w:pPr>
            <w:r>
              <w:rPr>
                <w:rFonts w:hint="eastAsia"/>
              </w:rPr>
              <w:t>购买理由</w:t>
            </w:r>
          </w:p>
        </w:tc>
        <w:tc>
          <w:tcPr>
            <w:tcW w:w="0" w:type="auto"/>
          </w:tcPr>
          <w:p w14:paraId="5EFA24E2" w14:textId="77777777" w:rsidR="00617DBA" w:rsidRDefault="00000000">
            <w:pPr>
              <w:pStyle w:val="Compact"/>
            </w:pPr>
            <w:r>
              <w:rPr>
                <w:rFonts w:hint="eastAsia"/>
              </w:rPr>
              <w:t>初期切入方式</w:t>
            </w:r>
          </w:p>
        </w:tc>
      </w:tr>
      <w:tr w:rsidR="00617DBA" w14:paraId="4C207244" w14:textId="77777777">
        <w:tc>
          <w:tcPr>
            <w:tcW w:w="0" w:type="auto"/>
          </w:tcPr>
          <w:p w14:paraId="0A7232FF" w14:textId="77777777" w:rsidR="00617DBA" w:rsidRDefault="00000000">
            <w:pPr>
              <w:pStyle w:val="Compact"/>
            </w:pPr>
            <w:r>
              <w:rPr>
                <w:rFonts w:hint="eastAsia"/>
              </w:rPr>
              <w:t>水库、自来水厂</w:t>
            </w:r>
          </w:p>
        </w:tc>
        <w:tc>
          <w:tcPr>
            <w:tcW w:w="0" w:type="auto"/>
          </w:tcPr>
          <w:p w14:paraId="5A1B0C05" w14:textId="77777777" w:rsidR="00617DBA" w:rsidRDefault="00000000">
            <w:pPr>
              <w:pStyle w:val="Compact"/>
            </w:pPr>
            <w:r>
              <w:rPr>
                <w:rFonts w:hint="eastAsia"/>
              </w:rPr>
              <w:t>水源安全责任重，藻类异常会影响取水和处理工艺</w:t>
            </w:r>
          </w:p>
        </w:tc>
        <w:tc>
          <w:tcPr>
            <w:tcW w:w="0" w:type="auto"/>
          </w:tcPr>
          <w:p w14:paraId="5AA8FC2C" w14:textId="77777777" w:rsidR="00617DBA" w:rsidRDefault="00000000">
            <w:pPr>
              <w:pStyle w:val="Compact"/>
            </w:pPr>
            <w:r>
              <w:rPr>
                <w:rFonts w:hint="eastAsia"/>
              </w:rPr>
              <w:t>直观看到藻类种类和数量变化，为工艺调整和预警提供图像证据</w:t>
            </w:r>
          </w:p>
        </w:tc>
        <w:tc>
          <w:tcPr>
            <w:tcW w:w="0" w:type="auto"/>
          </w:tcPr>
          <w:p w14:paraId="1FDF1474" w14:textId="77777777" w:rsidR="00617DBA" w:rsidRDefault="00000000">
            <w:pPr>
              <w:pStyle w:val="Compact"/>
            </w:pPr>
            <w:r>
              <w:rPr>
                <w:rFonts w:hint="eastAsia"/>
              </w:rPr>
              <w:t>选择取水口、库湾等风险点做固定点位试点</w:t>
            </w:r>
          </w:p>
        </w:tc>
      </w:tr>
      <w:tr w:rsidR="00617DBA" w14:paraId="2BEEF080" w14:textId="77777777">
        <w:tc>
          <w:tcPr>
            <w:tcW w:w="0" w:type="auto"/>
          </w:tcPr>
          <w:p w14:paraId="13CC8986" w14:textId="77777777" w:rsidR="00617DBA" w:rsidRDefault="00000000">
            <w:pPr>
              <w:pStyle w:val="Compact"/>
            </w:pPr>
            <w:r>
              <w:rPr>
                <w:rFonts w:hint="eastAsia"/>
              </w:rPr>
              <w:t>水产养殖企业和海洋牧场</w:t>
            </w:r>
          </w:p>
        </w:tc>
        <w:tc>
          <w:tcPr>
            <w:tcW w:w="0" w:type="auto"/>
          </w:tcPr>
          <w:p w14:paraId="28C4A5F5" w14:textId="77777777" w:rsidR="00617DBA" w:rsidRDefault="00000000">
            <w:pPr>
              <w:pStyle w:val="Compact"/>
            </w:pPr>
            <w:r>
              <w:rPr>
                <w:rFonts w:hint="eastAsia"/>
              </w:rPr>
              <w:t>风险来得快、损失大，人工巡塘和经验判断不稳定</w:t>
            </w:r>
          </w:p>
        </w:tc>
        <w:tc>
          <w:tcPr>
            <w:tcW w:w="0" w:type="auto"/>
          </w:tcPr>
          <w:p w14:paraId="1B1F7E66" w14:textId="77777777" w:rsidR="00617DBA" w:rsidRDefault="00000000">
            <w:pPr>
              <w:pStyle w:val="Compact"/>
            </w:pPr>
            <w:r>
              <w:rPr>
                <w:rFonts w:hint="eastAsia"/>
              </w:rPr>
              <w:t>连续掌握藻类趋势，辅助投喂、增氧、换水和应急处置决策</w:t>
            </w:r>
          </w:p>
        </w:tc>
        <w:tc>
          <w:tcPr>
            <w:tcW w:w="0" w:type="auto"/>
          </w:tcPr>
          <w:p w14:paraId="2240D317" w14:textId="77777777" w:rsidR="00617DBA" w:rsidRDefault="00000000">
            <w:pPr>
              <w:pStyle w:val="Compact"/>
            </w:pPr>
            <w:r>
              <w:rPr>
                <w:rFonts w:hint="eastAsia"/>
              </w:rPr>
              <w:t>与示范养殖场合作，形成减损案例</w:t>
            </w:r>
          </w:p>
        </w:tc>
      </w:tr>
      <w:tr w:rsidR="00617DBA" w14:paraId="53C669A9" w14:textId="77777777">
        <w:tc>
          <w:tcPr>
            <w:tcW w:w="0" w:type="auto"/>
          </w:tcPr>
          <w:p w14:paraId="088D1B7F" w14:textId="77777777" w:rsidR="00617DBA" w:rsidRDefault="00000000">
            <w:pPr>
              <w:pStyle w:val="Compact"/>
            </w:pPr>
            <w:r>
              <w:rPr>
                <w:rFonts w:hint="eastAsia"/>
              </w:rPr>
              <w:t>环保、海洋、水利等政府部门</w:t>
            </w:r>
          </w:p>
        </w:tc>
        <w:tc>
          <w:tcPr>
            <w:tcW w:w="0" w:type="auto"/>
          </w:tcPr>
          <w:p w14:paraId="28648512" w14:textId="77777777" w:rsidR="00617DBA" w:rsidRDefault="00000000">
            <w:pPr>
              <w:pStyle w:val="Compact"/>
            </w:pPr>
            <w:r>
              <w:rPr>
                <w:rFonts w:hint="eastAsia"/>
              </w:rPr>
              <w:t>基层监测任务多，人工力量有限，应急响应压力大</w:t>
            </w:r>
          </w:p>
        </w:tc>
        <w:tc>
          <w:tcPr>
            <w:tcW w:w="0" w:type="auto"/>
          </w:tcPr>
          <w:p w14:paraId="3351C447" w14:textId="77777777" w:rsidR="00617DBA" w:rsidRDefault="00000000">
            <w:pPr>
              <w:pStyle w:val="Compact"/>
            </w:pPr>
            <w:r>
              <w:rPr>
                <w:rFonts w:hint="eastAsia"/>
              </w:rPr>
              <w:t>低成本多点布设，补充现场生物图像证据和预警数据</w:t>
            </w:r>
          </w:p>
        </w:tc>
        <w:tc>
          <w:tcPr>
            <w:tcW w:w="0" w:type="auto"/>
          </w:tcPr>
          <w:p w14:paraId="62E3AF3C" w14:textId="77777777" w:rsidR="00617DBA" w:rsidRDefault="00000000">
            <w:pPr>
              <w:pStyle w:val="Compact"/>
            </w:pPr>
            <w:r>
              <w:rPr>
                <w:rFonts w:hint="eastAsia"/>
              </w:rPr>
              <w:t>以区域示范站点、专项监测项目切入</w:t>
            </w:r>
          </w:p>
        </w:tc>
      </w:tr>
      <w:tr w:rsidR="00617DBA" w14:paraId="52F4FC1F" w14:textId="77777777">
        <w:tc>
          <w:tcPr>
            <w:tcW w:w="0" w:type="auto"/>
          </w:tcPr>
          <w:p w14:paraId="7DD06291" w14:textId="77777777" w:rsidR="00617DBA" w:rsidRDefault="00000000">
            <w:pPr>
              <w:pStyle w:val="Compact"/>
            </w:pPr>
            <w:r>
              <w:rPr>
                <w:rFonts w:hint="eastAsia"/>
              </w:rPr>
              <w:t>核电和工业取水单位</w:t>
            </w:r>
          </w:p>
        </w:tc>
        <w:tc>
          <w:tcPr>
            <w:tcW w:w="0" w:type="auto"/>
          </w:tcPr>
          <w:p w14:paraId="3E623D47" w14:textId="77777777" w:rsidR="00617DBA" w:rsidRDefault="00000000">
            <w:pPr>
              <w:pStyle w:val="Compact"/>
            </w:pPr>
            <w:r>
              <w:rPr>
                <w:rFonts w:hint="eastAsia"/>
              </w:rPr>
              <w:t>冷源安全要求高，生物堵塞后果严重</w:t>
            </w:r>
          </w:p>
        </w:tc>
        <w:tc>
          <w:tcPr>
            <w:tcW w:w="0" w:type="auto"/>
          </w:tcPr>
          <w:p w14:paraId="59D59626" w14:textId="77777777" w:rsidR="00617DBA" w:rsidRDefault="00000000">
            <w:pPr>
              <w:pStyle w:val="Compact"/>
            </w:pPr>
            <w:r>
              <w:rPr>
                <w:rFonts w:hint="eastAsia"/>
              </w:rPr>
              <w:t>对致灾生物进行实时监测，提前发现聚集趋势</w:t>
            </w:r>
          </w:p>
        </w:tc>
        <w:tc>
          <w:tcPr>
            <w:tcW w:w="0" w:type="auto"/>
          </w:tcPr>
          <w:p w14:paraId="71EE02F9" w14:textId="77777777" w:rsidR="00617DBA" w:rsidRDefault="00000000">
            <w:pPr>
              <w:pStyle w:val="Compact"/>
            </w:pPr>
            <w:r>
              <w:rPr>
                <w:rFonts w:hint="eastAsia"/>
              </w:rPr>
              <w:t>先作为低成本辅助监测点位，补充高端系统盲区</w:t>
            </w:r>
          </w:p>
        </w:tc>
      </w:tr>
      <w:tr w:rsidR="00617DBA" w14:paraId="6F0B12FB" w14:textId="77777777">
        <w:tc>
          <w:tcPr>
            <w:tcW w:w="0" w:type="auto"/>
          </w:tcPr>
          <w:p w14:paraId="1B79203C" w14:textId="77777777" w:rsidR="00617DBA" w:rsidRDefault="00000000">
            <w:pPr>
              <w:pStyle w:val="Compact"/>
            </w:pPr>
            <w:r>
              <w:rPr>
                <w:rFonts w:hint="eastAsia"/>
              </w:rPr>
              <w:t>高校、科研院所</w:t>
            </w:r>
          </w:p>
        </w:tc>
        <w:tc>
          <w:tcPr>
            <w:tcW w:w="0" w:type="auto"/>
          </w:tcPr>
          <w:p w14:paraId="10D651A7" w14:textId="77777777" w:rsidR="00617DBA" w:rsidRDefault="00000000">
            <w:pPr>
              <w:pStyle w:val="Compact"/>
            </w:pPr>
            <w:r>
              <w:rPr>
                <w:rFonts w:hint="eastAsia"/>
              </w:rPr>
              <w:t>高端设备昂贵，野外实验和数据采集成本高</w:t>
            </w:r>
          </w:p>
        </w:tc>
        <w:tc>
          <w:tcPr>
            <w:tcW w:w="0" w:type="auto"/>
          </w:tcPr>
          <w:p w14:paraId="09071B75" w14:textId="77777777" w:rsidR="00617DBA" w:rsidRDefault="00000000">
            <w:pPr>
              <w:pStyle w:val="Compact"/>
            </w:pPr>
            <w:r>
              <w:rPr>
                <w:rFonts w:hint="eastAsia"/>
              </w:rPr>
              <w:t>可作为低成本原位实验平台，积累藻类图像数据库</w:t>
            </w:r>
          </w:p>
        </w:tc>
        <w:tc>
          <w:tcPr>
            <w:tcW w:w="0" w:type="auto"/>
          </w:tcPr>
          <w:p w14:paraId="70B51C49" w14:textId="77777777" w:rsidR="00617DBA" w:rsidRDefault="00000000">
            <w:pPr>
              <w:pStyle w:val="Compact"/>
            </w:pPr>
            <w:r>
              <w:rPr>
                <w:rFonts w:hint="eastAsia"/>
              </w:rPr>
              <w:t>提供样机、联合课题和算法数据合作</w:t>
            </w:r>
          </w:p>
        </w:tc>
      </w:tr>
    </w:tbl>
    <w:p w14:paraId="16E407C5" w14:textId="77777777" w:rsidR="00617DBA" w:rsidRDefault="00000000">
      <w:pPr>
        <w:pStyle w:val="2"/>
      </w:pPr>
      <w:bookmarkStart w:id="7" w:name="市场进入策略"/>
      <w:bookmarkEnd w:id="6"/>
      <w:r>
        <w:rPr>
          <w:rFonts w:hint="eastAsia"/>
        </w:rPr>
        <w:t>市场进入策略</w:t>
      </w:r>
    </w:p>
    <w:p w14:paraId="450AC94A" w14:textId="77777777" w:rsidR="00617DBA" w:rsidRDefault="00000000">
      <w:pPr>
        <w:pStyle w:val="FirstParagraph"/>
      </w:pPr>
      <w:r>
        <w:rPr>
          <w:rFonts w:hint="eastAsia"/>
        </w:rPr>
        <w:t>藻影卫士的市场进入应采用“先试点、再标准化、后平台化”的路径。第一阶段选择高校实验室、养殖示范点、水库取水口等低阻力场景，重点验证图像质量、识别准确率、连续运行稳定性和用户实际决策价值。这个阶段的目标不是追求大规模销售，而是形成可展示的视频素材、识别对比图、现场数据曲线和人工复核结果。</w:t>
      </w:r>
    </w:p>
    <w:p w14:paraId="49D8E29D" w14:textId="77777777" w:rsidR="00617DBA" w:rsidRDefault="00000000">
      <w:pPr>
        <w:pStyle w:val="a0"/>
      </w:pPr>
      <w:r>
        <w:rPr>
          <w:rFonts w:hint="eastAsia"/>
        </w:rPr>
        <w:t>第二阶段面向水库、海洋牧场、地方监测站等客户推出标准版产品，把设备安装、数据上传、阈值预警、报告导出和日常维护流程固化下来。用户购买的不只是硬件，而是“一个点位的早期藻华监测能力”。当多个点位部署后，平台价值会开始显现：用户可以比较不同点位的藻类变化趋势，形成区域风险热力图和历史数据档案。</w:t>
      </w:r>
    </w:p>
    <w:p w14:paraId="207A8CDC" w14:textId="77777777" w:rsidR="00617DBA" w:rsidRDefault="00000000">
      <w:pPr>
        <w:pStyle w:val="a0"/>
      </w:pPr>
      <w:r>
        <w:rPr>
          <w:rFonts w:hint="eastAsia"/>
        </w:rPr>
        <w:t>第三阶段进入高可靠性和项目制市场，例如工业取水口、核电冷源辅助监测、地方智慧水务和海洋生态监测平台。此时产品可以通过增强版硬件、定制识别模型、专属运维合同和数据接口服务，提高客单价与长期收入。</w:t>
      </w:r>
    </w:p>
    <w:p w14:paraId="187A9603" w14:textId="77777777" w:rsidR="00617DBA" w:rsidRDefault="00000000">
      <w:pPr>
        <w:pStyle w:val="2"/>
      </w:pPr>
      <w:bookmarkStart w:id="8" w:name="商业模式"/>
      <w:bookmarkEnd w:id="7"/>
      <w:r>
        <w:rPr>
          <w:rFonts w:hint="eastAsia"/>
        </w:rPr>
        <w:t>商业模式</w:t>
      </w:r>
    </w:p>
    <w:p w14:paraId="31D9AC82" w14:textId="77777777" w:rsidR="00617DBA" w:rsidRDefault="00000000">
      <w:pPr>
        <w:pStyle w:val="FirstParagraph"/>
      </w:pPr>
      <w:r>
        <w:rPr>
          <w:rFonts w:hint="eastAsia"/>
        </w:rPr>
        <w:t>商业模式采用“设备销售</w:t>
      </w:r>
      <w:r>
        <w:rPr>
          <w:rFonts w:hint="eastAsia"/>
        </w:rPr>
        <w:t>/</w:t>
      </w:r>
      <w:r>
        <w:rPr>
          <w:rFonts w:hint="eastAsia"/>
        </w:rPr>
        <w:t>租赁</w:t>
      </w:r>
      <w:r>
        <w:t xml:space="preserve"> + </w:t>
      </w:r>
      <w:r>
        <w:rPr>
          <w:rFonts w:hint="eastAsia"/>
        </w:rPr>
        <w:t>平台订阅</w:t>
      </w:r>
      <w:r>
        <w:t xml:space="preserve"> + </w:t>
      </w:r>
      <w:r>
        <w:rPr>
          <w:rFonts w:hint="eastAsia"/>
        </w:rPr>
        <w:t>运维服务</w:t>
      </w:r>
      <w:r>
        <w:t xml:space="preserve"> + </w:t>
      </w:r>
      <w:r>
        <w:rPr>
          <w:rFonts w:hint="eastAsia"/>
        </w:rPr>
        <w:t>数据模型升级</w:t>
      </w:r>
      <w:r>
        <w:t xml:space="preserve"> + </w:t>
      </w:r>
      <w:r>
        <w:rPr>
          <w:rFonts w:hint="eastAsia"/>
        </w:rPr>
        <w:t>场景化解决方案”的组合。</w:t>
      </w:r>
    </w:p>
    <w:p w14:paraId="06BBD2A5" w14:textId="77777777" w:rsidR="00617DBA" w:rsidRDefault="00000000">
      <w:pPr>
        <w:pStyle w:val="a0"/>
      </w:pPr>
      <w:r>
        <w:rPr>
          <w:rFonts w:hint="eastAsia"/>
        </w:rPr>
        <w:t>设备销售或租赁解决用户现场部署需求。对于预算较低或试点阶段客户，可采用租赁、试用和联合测试模式降低决策门槛；对于水库、养殖企业和科研机构，可销售标准化设备；对于政府项目和工业客户，可采用设备打包和项目交付模式。</w:t>
      </w:r>
    </w:p>
    <w:p w14:paraId="6E8CA821" w14:textId="77777777" w:rsidR="00617DBA" w:rsidRDefault="00000000">
      <w:pPr>
        <w:pStyle w:val="a0"/>
      </w:pPr>
      <w:r>
        <w:rPr>
          <w:rFonts w:hint="eastAsia"/>
        </w:rPr>
        <w:t>平台订阅提供多点管理、实时数据查看、异常提醒、历史趋势曲线、图像证据留存和报告导出。平台订阅的价值在于持续使用，而不是一次性采购，适合形成年度服务费。</w:t>
      </w:r>
    </w:p>
    <w:p w14:paraId="251AEFED" w14:textId="77777777" w:rsidR="00617DBA" w:rsidRDefault="00000000">
      <w:pPr>
        <w:pStyle w:val="a0"/>
      </w:pPr>
      <w:r>
        <w:rPr>
          <w:rFonts w:hint="eastAsia"/>
        </w:rPr>
        <w:t>运维服务解决长期布放中的清洁、防污、标定、故障排查、固件更新和模型更新问题。水下设备长期运行会面对附着生物、浑浊水体、镜头污染和通讯不稳定等问题，因此运维本身就是刚性需求，也能提高客户续费率。</w:t>
      </w:r>
    </w:p>
    <w:p w14:paraId="15732D58" w14:textId="77777777" w:rsidR="00617DBA" w:rsidRDefault="00000000">
      <w:pPr>
        <w:pStyle w:val="a0"/>
      </w:pPr>
      <w:r>
        <w:rPr>
          <w:rFonts w:hint="eastAsia"/>
        </w:rPr>
        <w:t>数据模型升级面向不同区域、不同水体和不同藻种进行优化。随着设备部署数量增加，系统可以积累本地藻类图像库、原因种特征库和人工复核数据，逐步形成数据壁垒。对科研客户，可以提供数据集和算法合作；对监管客户，可以提供月报、季报和风险分析；对养殖客户，可以提供更贴近生产决策的处置建议。</w:t>
      </w:r>
    </w:p>
    <w:p w14:paraId="7E9F3F10" w14:textId="77777777" w:rsidR="00617DBA" w:rsidRDefault="00000000">
      <w:pPr>
        <w:pStyle w:val="a0"/>
      </w:pPr>
      <w:r>
        <w:rPr>
          <w:rFonts w:hint="eastAsia"/>
        </w:rPr>
        <w:t>场景化解决方案则面向项目制客户，把前端设备、通讯链路、云平台、可视化大屏、预警规则和运维服务打包交付，适合水库群、海洋牧场、园区取水口和区域生态监测项目。</w:t>
      </w:r>
    </w:p>
    <w:p w14:paraId="3E434E8F" w14:textId="77777777" w:rsidR="00617DBA" w:rsidRDefault="00000000">
      <w:pPr>
        <w:pStyle w:val="2"/>
      </w:pPr>
      <w:bookmarkStart w:id="9" w:name="营销推广与盈利分析"/>
      <w:bookmarkEnd w:id="8"/>
      <w:r>
        <w:rPr>
          <w:rFonts w:hint="eastAsia"/>
        </w:rPr>
        <w:t>营销推广与盈利分析</w:t>
      </w:r>
    </w:p>
    <w:p w14:paraId="3729A6A1" w14:textId="77777777" w:rsidR="00617DBA" w:rsidRDefault="00000000">
      <w:pPr>
        <w:pStyle w:val="FirstParagraph"/>
      </w:pPr>
      <w:r>
        <w:rPr>
          <w:rFonts w:hint="eastAsia"/>
        </w:rPr>
        <w:t>推广策略分为三步。第一步，围绕“低成本原位显微早期预警”建立清晰标签，制作产品样机视频、平台演示图、水样识别对比图和现场趋势曲线，让客户直观看到“以前看不见的藻类变化”。第二步，选择养殖场、水库或科研站点开展试点，形成“设备连续监测</w:t>
      </w:r>
      <w:r>
        <w:t xml:space="preserve"> - </w:t>
      </w:r>
      <w:r>
        <w:rPr>
          <w:rFonts w:hint="eastAsia"/>
        </w:rPr>
        <w:t>异常提前发现</w:t>
      </w:r>
      <w:r>
        <w:t xml:space="preserve"> - </w:t>
      </w:r>
      <w:r>
        <w:rPr>
          <w:rFonts w:hint="eastAsia"/>
        </w:rPr>
        <w:t>人工复核</w:t>
      </w:r>
      <w:r>
        <w:t xml:space="preserve"> - </w:t>
      </w:r>
      <w:r>
        <w:rPr>
          <w:rFonts w:hint="eastAsia"/>
        </w:rPr>
        <w:t>处置建议</w:t>
      </w:r>
      <w:r>
        <w:t xml:space="preserve"> - </w:t>
      </w:r>
      <w:r>
        <w:rPr>
          <w:rFonts w:hint="eastAsia"/>
        </w:rPr>
        <w:t>效果反馈”的闭环案例。第三步，与环保、水利、海洋、养殖服务商、高校实验室和系统集成商建立合作渠道，以区域示范带动批量布设。</w:t>
      </w:r>
    </w:p>
    <w:p w14:paraId="53EA50CB" w14:textId="77777777" w:rsidR="00617DBA" w:rsidRDefault="00000000">
      <w:pPr>
        <w:pStyle w:val="a0"/>
      </w:pPr>
      <w:r>
        <w:rPr>
          <w:rFonts w:hint="eastAsia"/>
        </w:rPr>
        <w:t>盈利来源可以分为四类：第一类是硬件收入，包括基础版、标准版和增强版设备销售或租赁；第二类是软件平台收入，包括账号订阅、多点位管理、预警推送和报告导出；第三类是运维收入，包括定期清洁、耗材更换、设备巡检、通讯维护和故障响应；第四类是数据和模型收入，包括本地藻种模型训练、数据库更新、专项分析报告和项目定制接口。</w:t>
      </w:r>
    </w:p>
    <w:p w14:paraId="5F2A6192" w14:textId="77777777" w:rsidR="00617DBA" w:rsidRDefault="00000000">
      <w:pPr>
        <w:pStyle w:val="a0"/>
      </w:pPr>
      <w:r>
        <w:rPr>
          <w:rFonts w:hint="eastAsia"/>
        </w:rPr>
        <w:t>与一次性硬件销售相比，更可持续的盈利重点应放在年度服务费和数据服务上。设备铺设越多，平台订阅、运维合同和模型升级的复购空间越大；数据积累越多，识别模型和区域预警规则越准确，客户迁移成本也越高。</w:t>
      </w:r>
    </w:p>
    <w:p w14:paraId="77EE1878" w14:textId="77777777" w:rsidR="00617DBA" w:rsidRDefault="00000000">
      <w:pPr>
        <w:pStyle w:val="a0"/>
      </w:pPr>
      <w:r>
        <w:rPr>
          <w:rFonts w:hint="eastAsia"/>
        </w:rPr>
        <w:t>未来规划和盈利分析：</w:t>
      </w:r>
    </w:p>
    <w:tbl>
      <w:tblPr>
        <w:tblStyle w:val="Table"/>
        <w:tblW w:w="0" w:type="auto"/>
        <w:tblLook w:val="0020" w:firstRow="1" w:lastRow="0" w:firstColumn="0" w:lastColumn="0" w:noHBand="0" w:noVBand="0"/>
      </w:tblPr>
      <w:tblGrid>
        <w:gridCol w:w="633"/>
        <w:gridCol w:w="2406"/>
        <w:gridCol w:w="3091"/>
        <w:gridCol w:w="2726"/>
      </w:tblGrid>
      <w:tr w:rsidR="00617DBA" w14:paraId="4BB1ACCF" w14:textId="77777777" w:rsidTr="00617DBA">
        <w:trPr>
          <w:cnfStyle w:val="100000000000" w:firstRow="1" w:lastRow="0" w:firstColumn="0" w:lastColumn="0" w:oddVBand="0" w:evenVBand="0" w:oddHBand="0" w:evenHBand="0" w:firstRowFirstColumn="0" w:firstRowLastColumn="0" w:lastRowFirstColumn="0" w:lastRowLastColumn="0"/>
          <w:tblHeader/>
        </w:trPr>
        <w:tc>
          <w:tcPr>
            <w:tcW w:w="0" w:type="auto"/>
          </w:tcPr>
          <w:p w14:paraId="042DAC28" w14:textId="77777777" w:rsidR="00617DBA" w:rsidRDefault="00000000">
            <w:pPr>
              <w:pStyle w:val="Compact"/>
            </w:pPr>
            <w:r>
              <w:rPr>
                <w:rFonts w:hint="eastAsia"/>
              </w:rPr>
              <w:t>阶段</w:t>
            </w:r>
          </w:p>
        </w:tc>
        <w:tc>
          <w:tcPr>
            <w:tcW w:w="0" w:type="auto"/>
          </w:tcPr>
          <w:p w14:paraId="6732380C" w14:textId="77777777" w:rsidR="00617DBA" w:rsidRDefault="00000000">
            <w:pPr>
              <w:pStyle w:val="Compact"/>
            </w:pPr>
            <w:r>
              <w:rPr>
                <w:rFonts w:hint="eastAsia"/>
              </w:rPr>
              <w:t>目标</w:t>
            </w:r>
          </w:p>
        </w:tc>
        <w:tc>
          <w:tcPr>
            <w:tcW w:w="0" w:type="auto"/>
          </w:tcPr>
          <w:p w14:paraId="0C9D0312" w14:textId="77777777" w:rsidR="00617DBA" w:rsidRDefault="00000000">
            <w:pPr>
              <w:pStyle w:val="Compact"/>
            </w:pPr>
            <w:r>
              <w:rPr>
                <w:rFonts w:hint="eastAsia"/>
              </w:rPr>
              <w:t>产品策略</w:t>
            </w:r>
          </w:p>
        </w:tc>
        <w:tc>
          <w:tcPr>
            <w:tcW w:w="0" w:type="auto"/>
          </w:tcPr>
          <w:p w14:paraId="7E8B93CA" w14:textId="77777777" w:rsidR="00617DBA" w:rsidRDefault="00000000">
            <w:pPr>
              <w:pStyle w:val="Compact"/>
            </w:pPr>
            <w:r>
              <w:rPr>
                <w:rFonts w:hint="eastAsia"/>
              </w:rPr>
              <w:t>主要收入来源</w:t>
            </w:r>
          </w:p>
        </w:tc>
      </w:tr>
      <w:tr w:rsidR="00617DBA" w14:paraId="128F0EFC" w14:textId="77777777">
        <w:tc>
          <w:tcPr>
            <w:tcW w:w="0" w:type="auto"/>
          </w:tcPr>
          <w:p w14:paraId="7A3F67EC" w14:textId="77777777" w:rsidR="00617DBA" w:rsidRDefault="00000000">
            <w:pPr>
              <w:pStyle w:val="Compact"/>
            </w:pPr>
            <w:r>
              <w:t xml:space="preserve">0-1 </w:t>
            </w:r>
            <w:r>
              <w:rPr>
                <w:rFonts w:hint="eastAsia"/>
              </w:rPr>
              <w:t>年</w:t>
            </w:r>
          </w:p>
        </w:tc>
        <w:tc>
          <w:tcPr>
            <w:tcW w:w="0" w:type="auto"/>
          </w:tcPr>
          <w:p w14:paraId="6D82CA0F" w14:textId="77777777" w:rsidR="00617DBA" w:rsidRDefault="00000000">
            <w:pPr>
              <w:pStyle w:val="Compact"/>
            </w:pPr>
            <w:r>
              <w:rPr>
                <w:rFonts w:hint="eastAsia"/>
              </w:rPr>
              <w:t>完成样机、水槽实验和小规模现场试点</w:t>
            </w:r>
          </w:p>
        </w:tc>
        <w:tc>
          <w:tcPr>
            <w:tcW w:w="0" w:type="auto"/>
          </w:tcPr>
          <w:p w14:paraId="4D8E8F12" w14:textId="77777777" w:rsidR="00617DBA" w:rsidRDefault="00000000">
            <w:pPr>
              <w:pStyle w:val="Compact"/>
            </w:pPr>
            <w:r>
              <w:rPr>
                <w:rFonts w:hint="eastAsia"/>
              </w:rPr>
              <w:t>基础版样机、图像采集、算法验证、藻类图像库建设</w:t>
            </w:r>
          </w:p>
        </w:tc>
        <w:tc>
          <w:tcPr>
            <w:tcW w:w="0" w:type="auto"/>
          </w:tcPr>
          <w:p w14:paraId="7113757C" w14:textId="77777777" w:rsidR="00617DBA" w:rsidRDefault="00000000">
            <w:pPr>
              <w:pStyle w:val="Compact"/>
            </w:pPr>
            <w:r>
              <w:rPr>
                <w:rFonts w:hint="eastAsia"/>
              </w:rPr>
              <w:t>课题合作、样机租赁、试点服务</w:t>
            </w:r>
          </w:p>
        </w:tc>
      </w:tr>
      <w:tr w:rsidR="00617DBA" w14:paraId="1E2CE312" w14:textId="77777777">
        <w:tc>
          <w:tcPr>
            <w:tcW w:w="0" w:type="auto"/>
          </w:tcPr>
          <w:p w14:paraId="153E939F" w14:textId="77777777" w:rsidR="00617DBA" w:rsidRDefault="00000000">
            <w:pPr>
              <w:pStyle w:val="Compact"/>
            </w:pPr>
            <w:r>
              <w:t xml:space="preserve">1-2 </w:t>
            </w:r>
            <w:r>
              <w:rPr>
                <w:rFonts w:hint="eastAsia"/>
              </w:rPr>
              <w:t>年</w:t>
            </w:r>
          </w:p>
        </w:tc>
        <w:tc>
          <w:tcPr>
            <w:tcW w:w="0" w:type="auto"/>
          </w:tcPr>
          <w:p w14:paraId="1CB1E579" w14:textId="77777777" w:rsidR="00617DBA" w:rsidRDefault="00000000">
            <w:pPr>
              <w:pStyle w:val="Compact"/>
            </w:pPr>
            <w:r>
              <w:rPr>
                <w:rFonts w:hint="eastAsia"/>
              </w:rPr>
              <w:t>形成标准版产品和稳定平台</w:t>
            </w:r>
          </w:p>
        </w:tc>
        <w:tc>
          <w:tcPr>
            <w:tcW w:w="0" w:type="auto"/>
          </w:tcPr>
          <w:p w14:paraId="6FBD1AF6" w14:textId="77777777" w:rsidR="00617DBA" w:rsidRDefault="00000000">
            <w:pPr>
              <w:pStyle w:val="Compact"/>
            </w:pPr>
            <w:r>
              <w:rPr>
                <w:rFonts w:hint="eastAsia"/>
              </w:rPr>
              <w:t>固定点位部署、云平台、预警报告、人工复核流程</w:t>
            </w:r>
          </w:p>
        </w:tc>
        <w:tc>
          <w:tcPr>
            <w:tcW w:w="0" w:type="auto"/>
          </w:tcPr>
          <w:p w14:paraId="44C03E90" w14:textId="77777777" w:rsidR="00617DBA" w:rsidRDefault="00000000">
            <w:pPr>
              <w:pStyle w:val="Compact"/>
            </w:pPr>
            <w:r>
              <w:rPr>
                <w:rFonts w:hint="eastAsia"/>
              </w:rPr>
              <w:t>设备销售、平台订阅、年度运维费</w:t>
            </w:r>
          </w:p>
        </w:tc>
      </w:tr>
      <w:tr w:rsidR="00617DBA" w14:paraId="2EB50A71" w14:textId="77777777">
        <w:tc>
          <w:tcPr>
            <w:tcW w:w="0" w:type="auto"/>
          </w:tcPr>
          <w:p w14:paraId="3B0FEB54" w14:textId="77777777" w:rsidR="00617DBA" w:rsidRDefault="00000000">
            <w:pPr>
              <w:pStyle w:val="Compact"/>
            </w:pPr>
            <w:r>
              <w:t xml:space="preserve">2-3 </w:t>
            </w:r>
            <w:r>
              <w:rPr>
                <w:rFonts w:hint="eastAsia"/>
              </w:rPr>
              <w:t>年</w:t>
            </w:r>
          </w:p>
        </w:tc>
        <w:tc>
          <w:tcPr>
            <w:tcW w:w="0" w:type="auto"/>
          </w:tcPr>
          <w:p w14:paraId="6CC3BB6C" w14:textId="77777777" w:rsidR="00617DBA" w:rsidRDefault="00000000">
            <w:pPr>
              <w:pStyle w:val="Compact"/>
            </w:pPr>
            <w:r>
              <w:rPr>
                <w:rFonts w:hint="eastAsia"/>
              </w:rPr>
              <w:t>实现多场景复制和区域化部署</w:t>
            </w:r>
          </w:p>
        </w:tc>
        <w:tc>
          <w:tcPr>
            <w:tcW w:w="0" w:type="auto"/>
          </w:tcPr>
          <w:p w14:paraId="2BFA0A22" w14:textId="77777777" w:rsidR="00617DBA" w:rsidRDefault="00000000">
            <w:pPr>
              <w:pStyle w:val="Compact"/>
            </w:pPr>
            <w:r>
              <w:rPr>
                <w:rFonts w:hint="eastAsia"/>
              </w:rPr>
              <w:t>多点联网、区域模型、定制化预警规则、运维体系</w:t>
            </w:r>
          </w:p>
        </w:tc>
        <w:tc>
          <w:tcPr>
            <w:tcW w:w="0" w:type="auto"/>
          </w:tcPr>
          <w:p w14:paraId="32638368" w14:textId="77777777" w:rsidR="00617DBA" w:rsidRDefault="00000000">
            <w:pPr>
              <w:pStyle w:val="Compact"/>
            </w:pPr>
            <w:r>
              <w:rPr>
                <w:rFonts w:hint="eastAsia"/>
              </w:rPr>
              <w:t>设备</w:t>
            </w:r>
            <w:r>
              <w:t xml:space="preserve"> + </w:t>
            </w:r>
            <w:r>
              <w:rPr>
                <w:rFonts w:hint="eastAsia"/>
              </w:rPr>
              <w:t>平台</w:t>
            </w:r>
            <w:r>
              <w:t xml:space="preserve"> + </w:t>
            </w:r>
            <w:r>
              <w:rPr>
                <w:rFonts w:hint="eastAsia"/>
              </w:rPr>
              <w:t>运维</w:t>
            </w:r>
            <w:r>
              <w:t xml:space="preserve"> + </w:t>
            </w:r>
            <w:r>
              <w:rPr>
                <w:rFonts w:hint="eastAsia"/>
              </w:rPr>
              <w:t>数据模型升级</w:t>
            </w:r>
            <w:r>
              <w:t xml:space="preserve"> + </w:t>
            </w:r>
            <w:r>
              <w:rPr>
                <w:rFonts w:hint="eastAsia"/>
              </w:rPr>
              <w:t>项目方案</w:t>
            </w:r>
          </w:p>
        </w:tc>
      </w:tr>
    </w:tbl>
    <w:p w14:paraId="725E6CD6" w14:textId="77777777" w:rsidR="00617DBA" w:rsidRDefault="00000000">
      <w:pPr>
        <w:pStyle w:val="a0"/>
      </w:pPr>
      <w:r>
        <w:rPr>
          <w:rFonts w:hint="eastAsia"/>
        </w:rPr>
        <w:t>总体来看，藻影卫士的商业价值不只来自“卖一台设备”，而是来自持续监测能力的交付。它把藻华风险从事后发现提前到趋势识别，把人工经验判断转化为图像证据和数据曲线，把分散点位监测升级为可复制的平台服务。这也是产品后续扩大市场和形成长期盈利的关键。</w:t>
      </w:r>
      <w:bookmarkEnd w:id="5"/>
      <w:bookmarkEnd w:id="9"/>
    </w:p>
    <w:sectPr w:rsidR="00617DB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CCEB9" w14:textId="77777777" w:rsidR="00495411" w:rsidRDefault="00495411" w:rsidP="00D97F48">
      <w:pPr>
        <w:spacing w:after="0"/>
      </w:pPr>
      <w:r>
        <w:separator/>
      </w:r>
    </w:p>
  </w:endnote>
  <w:endnote w:type="continuationSeparator" w:id="0">
    <w:p w14:paraId="184FC0F7" w14:textId="77777777" w:rsidR="00495411" w:rsidRDefault="00495411" w:rsidP="00D97F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A3485" w14:textId="77777777" w:rsidR="00495411" w:rsidRDefault="00495411" w:rsidP="00D97F48">
      <w:pPr>
        <w:spacing w:after="0"/>
      </w:pPr>
      <w:r>
        <w:separator/>
      </w:r>
    </w:p>
  </w:footnote>
  <w:footnote w:type="continuationSeparator" w:id="0">
    <w:p w14:paraId="0634A98C" w14:textId="77777777" w:rsidR="00495411" w:rsidRDefault="00495411" w:rsidP="00D97F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6D4E6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9746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7DBA"/>
    <w:rsid w:val="00097880"/>
    <w:rsid w:val="00495411"/>
    <w:rsid w:val="00617DBA"/>
    <w:rsid w:val="0073679A"/>
    <w:rsid w:val="00D97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B56D3"/>
  <w15:docId w15:val="{685466CF-D26D-4BA2-8742-19FF9517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D97F48"/>
    <w:pPr>
      <w:tabs>
        <w:tab w:val="center" w:pos="4153"/>
        <w:tab w:val="right" w:pos="8306"/>
      </w:tabs>
      <w:snapToGrid w:val="0"/>
      <w:jc w:val="center"/>
    </w:pPr>
    <w:rPr>
      <w:sz w:val="18"/>
      <w:szCs w:val="18"/>
    </w:rPr>
  </w:style>
  <w:style w:type="character" w:customStyle="1" w:styleId="af1">
    <w:name w:val="页眉 字符"/>
    <w:basedOn w:val="a1"/>
    <w:link w:val="af0"/>
    <w:rsid w:val="00D97F48"/>
    <w:rPr>
      <w:sz w:val="18"/>
      <w:szCs w:val="18"/>
    </w:rPr>
  </w:style>
  <w:style w:type="paragraph" w:styleId="af2">
    <w:name w:val="footer"/>
    <w:basedOn w:val="a"/>
    <w:link w:val="af3"/>
    <w:rsid w:val="00D97F48"/>
    <w:pPr>
      <w:tabs>
        <w:tab w:val="center" w:pos="4153"/>
        <w:tab w:val="right" w:pos="8306"/>
      </w:tabs>
      <w:snapToGrid w:val="0"/>
    </w:pPr>
    <w:rPr>
      <w:sz w:val="18"/>
      <w:szCs w:val="18"/>
    </w:rPr>
  </w:style>
  <w:style w:type="character" w:customStyle="1" w:styleId="af3">
    <w:name w:val="页脚 字符"/>
    <w:basedOn w:val="a1"/>
    <w:link w:val="af2"/>
    <w:rsid w:val="00D97F48"/>
    <w:rPr>
      <w:sz w:val="18"/>
      <w:szCs w:val="18"/>
    </w:rPr>
  </w:style>
  <w:style w:type="table" w:styleId="5-5">
    <w:name w:val="Grid Table 5 Dark Accent 5"/>
    <w:basedOn w:val="a2"/>
    <w:uiPriority w:val="50"/>
    <w:rsid w:val="00D97F48"/>
    <w:pPr>
      <w:spacing w:after="0"/>
    </w:pPr>
    <w:rPr>
      <w:rFonts w:ascii="Times New Roman" w:eastAsia="宋体" w:hAnsi="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2734</Words>
  <Characters>2899</Characters>
  <Application>Microsoft Office Word</Application>
  <DocSecurity>0</DocSecurity>
  <Lines>181</Lines>
  <Paragraphs>165</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元哲 兰</cp:lastModifiedBy>
  <cp:revision>3</cp:revision>
  <dcterms:created xsi:type="dcterms:W3CDTF">2026-05-07T15:28:00Z</dcterms:created>
  <dcterms:modified xsi:type="dcterms:W3CDTF">2026-05-07T16:31:00Z</dcterms:modified>
</cp:coreProperties>
</file>