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BF3E3">
      <w:pPr>
        <w:spacing w:before="51" w:line="257" w:lineRule="exact"/>
        <w:ind w:left="400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color w:val="333333"/>
          <w:spacing w:val="8"/>
          <w:position w:val="2"/>
          <w:sz w:val="19"/>
          <w:szCs w:val="19"/>
        </w:rPr>
        <w:t>Compacted conversation</w:t>
      </w:r>
    </w:p>
    <w:p w14:paraId="5CD26996">
      <w:pPr>
        <w:spacing w:before="262" w:line="197" w:lineRule="auto"/>
        <w:ind w:left="407"/>
        <w:rPr>
          <w:rFonts w:ascii="Tahoma" w:hAnsi="Tahoma" w:eastAsia="Tahoma" w:cs="Tahoma"/>
          <w:sz w:val="19"/>
          <w:szCs w:val="19"/>
        </w:rPr>
      </w:pPr>
      <w:r>
        <w:rPr>
          <w:rFonts w:ascii="Tahoma" w:hAnsi="Tahoma" w:eastAsia="Tahoma" w:cs="Tahoma"/>
          <w:color w:val="333333"/>
          <w:spacing w:val="3"/>
          <w:sz w:val="19"/>
          <w:szCs w:val="19"/>
        </w:rPr>
        <w:t>Read</w:t>
      </w:r>
    </w:p>
    <w:p w14:paraId="58F70856">
      <w:pPr>
        <w:pStyle w:val="2"/>
        <w:spacing w:before="259" w:line="193" w:lineRule="auto"/>
        <w:ind w:left="391"/>
      </w:pPr>
      <w:r>
        <w:rPr>
          <w:color w:val="333333"/>
          <w:spacing w:val="3"/>
        </w:rPr>
        <w:t>根据我们在</w:t>
      </w:r>
      <w:r>
        <w:rPr>
          <w:color w:val="333333"/>
          <w:spacing w:val="58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docs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/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session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_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archive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_15</w:t>
      </w:r>
      <w:r>
        <w:rPr>
          <w:rFonts w:ascii="新宋体" w:hAnsi="新宋体" w:eastAsia="新宋体" w:cs="新宋体"/>
          <w:color w:val="333333"/>
          <w:spacing w:val="3"/>
          <w:sz w:val="17"/>
          <w:szCs w:val="17"/>
          <w:shd w:val="clear" w:fill="F3F4F4"/>
        </w:rPr>
        <w:t>号晚</w:t>
      </w:r>
      <w:r>
        <w:rPr>
          <w:rFonts w:ascii="新宋体" w:hAnsi="新宋体" w:eastAsia="新宋体" w:cs="新宋体"/>
          <w:color w:val="333333"/>
          <w:spacing w:val="-45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md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</w:rPr>
        <w:t xml:space="preserve"> </w:t>
      </w:r>
      <w:r>
        <w:rPr>
          <w:color w:val="333333"/>
          <w:spacing w:val="3"/>
        </w:rPr>
        <w:t>中记录的</w:t>
      </w:r>
      <w:r>
        <w:rPr>
          <w:rFonts w:ascii="Tahoma" w:hAnsi="Tahoma" w:eastAsia="Tahoma" w:cs="Tahoma"/>
          <w:b/>
          <w:bCs/>
          <w:color w:val="333333"/>
          <w:spacing w:val="3"/>
        </w:rPr>
        <w:t>“</w:t>
      </w:r>
      <w:r>
        <w:rPr>
          <w:rFonts w:ascii="Tahoma" w:hAnsi="Tahoma" w:eastAsia="Tahoma" w:cs="Tahoma"/>
          <w:b/>
          <w:bCs/>
          <w:color w:val="333333"/>
        </w:rPr>
        <w:t>Stage</w:t>
      </w:r>
      <w:r>
        <w:rPr>
          <w:rFonts w:ascii="Tahoma" w:hAnsi="Tahoma" w:eastAsia="Tahoma" w:cs="Tahoma"/>
          <w:b/>
          <w:bCs/>
          <w:color w:val="333333"/>
          <w:spacing w:val="3"/>
        </w:rPr>
        <w:t xml:space="preserve"> 5 </w:t>
      </w:r>
      <w:r>
        <w:rPr>
          <w:b/>
          <w:bCs/>
          <w:color w:val="333333"/>
          <w:spacing w:val="3"/>
        </w:rPr>
        <w:t>优化重构</w:t>
      </w:r>
      <w:r>
        <w:rPr>
          <w:rFonts w:ascii="Tahoma" w:hAnsi="Tahoma" w:eastAsia="Tahoma" w:cs="Tahoma"/>
          <w:b/>
          <w:bCs/>
          <w:color w:val="333333"/>
          <w:spacing w:val="3"/>
        </w:rPr>
        <w:t>”</w:t>
      </w:r>
      <w:r>
        <w:rPr>
          <w:color w:val="333333"/>
          <w:spacing w:val="3"/>
        </w:rPr>
        <w:t>计划，为了使论文达到更高标准并</w:t>
      </w:r>
    </w:p>
    <w:p w14:paraId="4F028E9D">
      <w:pPr>
        <w:pStyle w:val="2"/>
        <w:spacing w:before="31" w:line="233" w:lineRule="auto"/>
      </w:pPr>
      <w:r>
        <w:rPr>
          <w:color w:val="333333"/>
          <w:spacing w:val="3"/>
        </w:rPr>
        <w:t xml:space="preserve">解决面板数据当前的缺陷，我们在数据层还需要重点补充以下 </w:t>
      </w:r>
      <w:r>
        <w:rPr>
          <w:rFonts w:ascii="Tahoma" w:hAnsi="Tahoma" w:eastAsia="Tahoma" w:cs="Tahoma"/>
          <w:color w:val="333333"/>
          <w:spacing w:val="3"/>
        </w:rPr>
        <w:t xml:space="preserve">4 </w:t>
      </w:r>
      <w:r>
        <w:rPr>
          <w:color w:val="333333"/>
          <w:spacing w:val="3"/>
        </w:rPr>
        <w:t>类核心数据：</w:t>
      </w:r>
    </w:p>
    <w:p w14:paraId="59BF4A4D">
      <w:pPr>
        <w:pStyle w:val="2"/>
        <w:spacing w:before="239" w:line="184" w:lineRule="auto"/>
        <w:ind w:left="15"/>
        <w:outlineLvl w:val="0"/>
        <w:rPr>
          <w:sz w:val="29"/>
          <w:szCs w:val="29"/>
        </w:rPr>
      </w:pPr>
      <w:r>
        <w:rPr>
          <w:rFonts w:ascii="Tahoma" w:hAnsi="Tahoma" w:eastAsia="Tahoma" w:cs="Tahoma"/>
          <w:b/>
          <w:bCs/>
          <w:color w:val="333333"/>
          <w:spacing w:val="-3"/>
          <w:sz w:val="29"/>
          <w:szCs w:val="29"/>
        </w:rPr>
        <w:t xml:space="preserve">1. </w:t>
      </w:r>
      <w:r>
        <w:rPr>
          <w:b/>
          <w:bCs/>
          <w:color w:val="333333"/>
          <w:spacing w:val="-3"/>
          <w:sz w:val="29"/>
          <w:szCs w:val="29"/>
        </w:rPr>
        <w:t>核心解释变量的扩充（数字基建</w:t>
      </w:r>
      <w:r>
        <w:rPr>
          <w:rFonts w:ascii="Tahoma" w:hAnsi="Tahoma" w:eastAsia="Tahoma" w:cs="Tahoma"/>
          <w:b/>
          <w:bCs/>
          <w:color w:val="333333"/>
          <w:spacing w:val="-3"/>
          <w:sz w:val="29"/>
          <w:szCs w:val="29"/>
        </w:rPr>
        <w:t>/</w:t>
      </w:r>
      <w:r>
        <w:rPr>
          <w:b/>
          <w:bCs/>
          <w:color w:val="333333"/>
          <w:spacing w:val="-3"/>
          <w:sz w:val="29"/>
          <w:szCs w:val="29"/>
        </w:rPr>
        <w:t>能源数字</w:t>
      </w:r>
      <w:r>
        <w:rPr>
          <w:b/>
          <w:bCs/>
          <w:color w:val="333333"/>
          <w:spacing w:val="-4"/>
          <w:sz w:val="29"/>
          <w:szCs w:val="29"/>
        </w:rPr>
        <w:t>化指标）</w:t>
      </w:r>
    </w:p>
    <w:p w14:paraId="59BE44B5">
      <w:pPr>
        <w:pStyle w:val="2"/>
        <w:spacing w:before="224" w:line="188" w:lineRule="auto"/>
        <w:ind w:left="417"/>
      </w:pPr>
      <w:r>
        <w:rPr>
          <w:color w:val="333333"/>
          <w:spacing w:val="2"/>
        </w:rPr>
        <w:t>目前的底层硬指标较为单薄，无法全面刻画</w:t>
      </w:r>
      <w:r>
        <w:rPr>
          <w:rFonts w:ascii="Tahoma" w:hAnsi="Tahoma" w:eastAsia="Tahoma" w:cs="Tahoma"/>
          <w:color w:val="333333"/>
          <w:spacing w:val="2"/>
        </w:rPr>
        <w:t>“</w:t>
      </w:r>
      <w:r>
        <w:rPr>
          <w:color w:val="333333"/>
          <w:spacing w:val="2"/>
        </w:rPr>
        <w:t>能源数字化</w:t>
      </w:r>
      <w:r>
        <w:rPr>
          <w:rFonts w:ascii="Tahoma" w:hAnsi="Tahoma" w:eastAsia="Tahoma" w:cs="Tahoma"/>
          <w:color w:val="333333"/>
          <w:spacing w:val="2"/>
        </w:rPr>
        <w:t>”</w:t>
      </w:r>
      <w:r>
        <w:rPr>
          <w:color w:val="333333"/>
          <w:spacing w:val="2"/>
        </w:rPr>
        <w:t>。需要补充：</w:t>
      </w:r>
    </w:p>
    <w:p w14:paraId="0D38C687">
      <w:pPr>
        <w:pStyle w:val="2"/>
        <w:spacing w:before="211" w:line="242" w:lineRule="auto"/>
        <w:ind w:left="990" w:right="203" w:hanging="24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  <w:w w:val="101"/>
        </w:rPr>
        <w:t xml:space="preserve">  </w:t>
      </w:r>
      <w:r>
        <w:rPr>
          <w:b/>
          <w:bCs/>
          <w:color w:val="333333"/>
          <w:spacing w:val="3"/>
        </w:rPr>
        <w:t>文本挖掘数据</w:t>
      </w:r>
      <w:r>
        <w:rPr>
          <w:color w:val="333333"/>
          <w:spacing w:val="3"/>
        </w:rPr>
        <w:t>：各省历年</w:t>
      </w:r>
      <w:r>
        <w:rPr>
          <w:rFonts w:ascii="Tahoma" w:hAnsi="Tahoma" w:eastAsia="Tahoma" w:cs="Tahoma"/>
          <w:color w:val="333333"/>
          <w:spacing w:val="3"/>
        </w:rPr>
        <w:t>“</w:t>
      </w:r>
      <w:r>
        <w:rPr>
          <w:color w:val="333333"/>
          <w:spacing w:val="3"/>
        </w:rPr>
        <w:t>政府工作报告</w:t>
      </w:r>
      <w:r>
        <w:rPr>
          <w:rFonts w:ascii="Tahoma" w:hAnsi="Tahoma" w:eastAsia="Tahoma" w:cs="Tahoma"/>
          <w:color w:val="333333"/>
          <w:spacing w:val="3"/>
        </w:rPr>
        <w:t>”</w:t>
      </w:r>
      <w:r>
        <w:rPr>
          <w:color w:val="333333"/>
          <w:spacing w:val="3"/>
        </w:rPr>
        <w:t>或政策文件中，关于</w:t>
      </w:r>
      <w:r>
        <w:rPr>
          <w:rFonts w:ascii="Tahoma" w:hAnsi="Tahoma" w:eastAsia="Tahoma" w:cs="Tahoma"/>
          <w:color w:val="333333"/>
          <w:spacing w:val="3"/>
        </w:rPr>
        <w:t>“</w:t>
      </w:r>
      <w:r>
        <w:rPr>
          <w:color w:val="333333"/>
          <w:spacing w:val="3"/>
        </w:rPr>
        <w:t>智慧电网</w:t>
      </w:r>
      <w:r>
        <w:rPr>
          <w:rFonts w:ascii="Tahoma" w:hAnsi="Tahoma" w:eastAsia="Tahoma" w:cs="Tahoma"/>
          <w:color w:val="333333"/>
          <w:spacing w:val="3"/>
        </w:rPr>
        <w:t>”</w:t>
      </w:r>
      <w:r>
        <w:rPr>
          <w:color w:val="333333"/>
          <w:spacing w:val="3"/>
        </w:rPr>
        <w:t>、</w:t>
      </w:r>
      <w:r>
        <w:rPr>
          <w:rFonts w:ascii="Tahoma" w:hAnsi="Tahoma" w:eastAsia="Tahoma" w:cs="Tahoma"/>
          <w:color w:val="333333"/>
          <w:spacing w:val="3"/>
        </w:rPr>
        <w:t>“</w:t>
      </w:r>
      <w:r>
        <w:rPr>
          <w:color w:val="333333"/>
          <w:spacing w:val="3"/>
        </w:rPr>
        <w:t>能源物联网</w:t>
      </w:r>
      <w:r>
        <w:rPr>
          <w:rFonts w:ascii="Tahoma" w:hAnsi="Tahoma" w:eastAsia="Tahoma" w:cs="Tahoma"/>
          <w:color w:val="333333"/>
          <w:spacing w:val="3"/>
        </w:rPr>
        <w:t>”</w:t>
      </w:r>
      <w:r>
        <w:rPr>
          <w:color w:val="333333"/>
          <w:spacing w:val="3"/>
        </w:rPr>
        <w:t>、</w:t>
      </w:r>
      <w:r>
        <w:rPr>
          <w:rFonts w:ascii="Tahoma" w:hAnsi="Tahoma" w:eastAsia="Tahoma" w:cs="Tahoma"/>
          <w:color w:val="333333"/>
          <w:spacing w:val="3"/>
        </w:rPr>
        <w:t>“</w:t>
      </w:r>
      <w:r>
        <w:rPr>
          <w:color w:val="333333"/>
          <w:spacing w:val="2"/>
        </w:rPr>
        <w:t>能源数字化</w:t>
      </w:r>
      <w:r>
        <w:rPr>
          <w:rFonts w:ascii="Tahoma" w:hAnsi="Tahoma" w:eastAsia="Tahoma" w:cs="Tahoma"/>
          <w:color w:val="333333"/>
          <w:spacing w:val="2"/>
        </w:rPr>
        <w:t>”</w:t>
      </w:r>
      <w:r>
        <w:rPr>
          <w:color w:val="333333"/>
          <w:spacing w:val="2"/>
        </w:rPr>
        <w:t>等</w:t>
      </w:r>
      <w:r>
        <w:rPr>
          <w:color w:val="333333"/>
          <w:spacing w:val="4"/>
        </w:rPr>
        <w:t>相关关键词的</w:t>
      </w:r>
      <w:r>
        <w:rPr>
          <w:b/>
          <w:bCs/>
          <w:color w:val="333333"/>
          <w:spacing w:val="4"/>
        </w:rPr>
        <w:t>词频数据</w:t>
      </w:r>
      <w:r>
        <w:rPr>
          <w:color w:val="333333"/>
          <w:spacing w:val="4"/>
        </w:rPr>
        <w:t>。</w:t>
      </w:r>
    </w:p>
    <w:p w14:paraId="3469FA92">
      <w:pPr>
        <w:pStyle w:val="2"/>
        <w:spacing w:before="61"/>
        <w:ind w:left="989" w:right="226" w:hanging="241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6"/>
          <w:w w:val="101"/>
        </w:rPr>
        <w:t xml:space="preserve">  </w:t>
      </w:r>
      <w:r>
        <w:rPr>
          <w:b/>
          <w:bCs/>
          <w:color w:val="333333"/>
          <w:spacing w:val="2"/>
        </w:rPr>
        <w:t>微观聚合数据（可选）</w:t>
      </w:r>
      <w:r>
        <w:rPr>
          <w:b/>
          <w:bCs/>
          <w:color w:val="333333"/>
          <w:spacing w:val="-2"/>
        </w:rPr>
        <w:t xml:space="preserve"> </w:t>
      </w:r>
      <w:r>
        <w:rPr>
          <w:color w:val="333333"/>
          <w:spacing w:val="2"/>
        </w:rPr>
        <w:t>：该省份内</w:t>
      </w:r>
      <w:r>
        <w:rPr>
          <w:color w:val="333333"/>
          <w:spacing w:val="-29"/>
        </w:rPr>
        <w:t xml:space="preserve"> </w:t>
      </w:r>
      <w:r>
        <w:rPr>
          <w:rFonts w:ascii="Tahoma" w:hAnsi="Tahoma" w:eastAsia="Tahoma" w:cs="Tahoma"/>
          <w:color w:val="333333"/>
          <w:spacing w:val="2"/>
        </w:rPr>
        <w:t>“</w:t>
      </w:r>
      <w:r>
        <w:rPr>
          <w:color w:val="333333"/>
          <w:spacing w:val="2"/>
        </w:rPr>
        <w:t>能源类上市企业</w:t>
      </w:r>
      <w:r>
        <w:rPr>
          <w:rFonts w:ascii="Tahoma" w:hAnsi="Tahoma" w:eastAsia="Tahoma" w:cs="Tahoma"/>
          <w:color w:val="333333"/>
          <w:spacing w:val="2"/>
        </w:rPr>
        <w:t>”</w:t>
      </w:r>
      <w:r>
        <w:rPr>
          <w:color w:val="333333"/>
          <w:spacing w:val="2"/>
        </w:rPr>
        <w:t>历年财报中披露的</w:t>
      </w:r>
      <w:r>
        <w:rPr>
          <w:b/>
          <w:bCs/>
          <w:color w:val="333333"/>
          <w:spacing w:val="2"/>
        </w:rPr>
        <w:t>数字化无形资产投入</w:t>
      </w:r>
      <w:r>
        <w:rPr>
          <w:b/>
          <w:bCs/>
          <w:color w:val="333333"/>
          <w:spacing w:val="-30"/>
        </w:rPr>
        <w:t xml:space="preserve"> </w:t>
      </w:r>
      <w:r>
        <w:rPr>
          <w:color w:val="333333"/>
          <w:spacing w:val="2"/>
        </w:rPr>
        <w:t>（如软件、信息系统建设等</w:t>
      </w:r>
      <w:r>
        <w:rPr>
          <w:color w:val="333333"/>
          <w:spacing w:val="4"/>
        </w:rPr>
        <w:t>），</w:t>
      </w:r>
      <w:r>
        <w:rPr>
          <w:color w:val="333333"/>
          <w:spacing w:val="2"/>
        </w:rPr>
        <w:t>汇总到省级层面。</w:t>
      </w:r>
    </w:p>
    <w:p w14:paraId="72E2D8D4">
      <w:pPr>
        <w:pStyle w:val="2"/>
        <w:spacing w:before="182" w:line="184" w:lineRule="auto"/>
        <w:ind w:left="9"/>
        <w:outlineLvl w:val="0"/>
        <w:rPr>
          <w:sz w:val="29"/>
          <w:szCs w:val="29"/>
        </w:rPr>
      </w:pPr>
      <w:r>
        <w:rPr>
          <w:rFonts w:ascii="Tahoma" w:hAnsi="Tahoma" w:eastAsia="Tahoma" w:cs="Tahoma"/>
          <w:b/>
          <w:bCs/>
          <w:color w:val="333333"/>
          <w:spacing w:val="-5"/>
          <w:sz w:val="29"/>
          <w:szCs w:val="29"/>
        </w:rPr>
        <w:t xml:space="preserve">2. </w:t>
      </w:r>
      <w:r>
        <w:rPr>
          <w:b/>
          <w:bCs/>
          <w:color w:val="333333"/>
          <w:spacing w:val="-5"/>
          <w:sz w:val="29"/>
          <w:szCs w:val="29"/>
        </w:rPr>
        <w:t>工具变量数据（</w:t>
      </w:r>
      <w:r>
        <w:rPr>
          <w:rFonts w:ascii="Tahoma" w:hAnsi="Tahoma" w:eastAsia="Tahoma" w:cs="Tahoma"/>
          <w:b/>
          <w:bCs/>
          <w:color w:val="333333"/>
          <w:spacing w:val="-5"/>
          <w:sz w:val="29"/>
          <w:szCs w:val="29"/>
        </w:rPr>
        <w:t>IV</w:t>
      </w:r>
      <w:r>
        <w:rPr>
          <w:b/>
          <w:bCs/>
          <w:color w:val="333333"/>
          <w:spacing w:val="-5"/>
          <w:sz w:val="29"/>
          <w:szCs w:val="29"/>
        </w:rPr>
        <w:t>，用于解决内生性）</w:t>
      </w:r>
    </w:p>
    <w:p w14:paraId="709AEFCE">
      <w:pPr>
        <w:pStyle w:val="2"/>
        <w:spacing w:before="225" w:line="229" w:lineRule="auto"/>
        <w:ind w:right="180" w:firstLine="395"/>
      </w:pPr>
      <w:r>
        <w:rPr>
          <w:color w:val="333333"/>
          <w:spacing w:val="5"/>
        </w:rPr>
        <w:t>为了解决反向因果（越有钱减排的省份越有钱搞数字化）导致的内生性问题，我们需要寻找严</w:t>
      </w:r>
      <w:r>
        <w:rPr>
          <w:color w:val="333333"/>
          <w:spacing w:val="4"/>
        </w:rPr>
        <w:t>格外生的历史或地</w:t>
      </w:r>
      <w:r>
        <w:rPr>
          <w:color w:val="333333"/>
          <w:spacing w:val="-2"/>
        </w:rPr>
        <w:t>理约束数据：</w:t>
      </w:r>
    </w:p>
    <w:p w14:paraId="46B593C7">
      <w:pPr>
        <w:pStyle w:val="2"/>
        <w:spacing w:before="160" w:line="228" w:lineRule="auto"/>
        <w:ind w:left="998" w:right="82" w:hanging="250"/>
        <w:rPr>
          <w:rFonts w:hint="eastAsia"/>
          <w:b/>
          <w:bCs/>
          <w:color w:val="333333"/>
          <w:spacing w:val="2"/>
          <w:lang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0"/>
        </w:rPr>
        <w:t xml:space="preserve">  </w:t>
      </w:r>
      <w:r>
        <w:rPr>
          <w:b/>
          <w:bCs/>
          <w:color w:val="333333"/>
          <w:spacing w:val="2"/>
        </w:rPr>
        <w:t>历史数据构造法</w:t>
      </w:r>
      <w:r>
        <w:rPr>
          <w:color w:val="333333"/>
          <w:spacing w:val="2"/>
        </w:rPr>
        <w:t xml:space="preserve">：各省 </w:t>
      </w:r>
      <w:r>
        <w:rPr>
          <w:rFonts w:ascii="Tahoma" w:hAnsi="Tahoma" w:eastAsia="Tahoma" w:cs="Tahoma"/>
          <w:b/>
          <w:bCs/>
          <w:color w:val="333333"/>
          <w:spacing w:val="2"/>
        </w:rPr>
        <w:t>1984</w:t>
      </w:r>
      <w:r>
        <w:rPr>
          <w:b/>
          <w:bCs/>
          <w:color w:val="333333"/>
          <w:spacing w:val="2"/>
        </w:rPr>
        <w:t>年（或更早）的邮电局数量</w:t>
      </w:r>
      <w:r>
        <w:rPr>
          <w:rFonts w:ascii="Tahoma" w:hAnsi="Tahoma" w:eastAsia="Tahoma" w:cs="Tahoma"/>
          <w:b/>
          <w:bCs/>
          <w:color w:val="333333"/>
          <w:spacing w:val="2"/>
        </w:rPr>
        <w:t>/</w:t>
      </w:r>
      <w:r>
        <w:rPr>
          <w:b/>
          <w:bCs/>
          <w:color w:val="333333"/>
          <w:spacing w:val="2"/>
        </w:rPr>
        <w:t>固定电话普及率</w:t>
      </w:r>
      <w:r>
        <w:rPr>
          <w:rFonts w:hint="eastAsia"/>
          <w:b/>
          <w:bCs/>
          <w:color w:val="333333"/>
          <w:spacing w:val="2"/>
          <w:lang w:eastAsia="zh-CN"/>
        </w:rPr>
        <w:t>（</w:t>
      </w:r>
      <w:r>
        <w:rPr>
          <w:rFonts w:hint="eastAsia"/>
          <w:b/>
          <w:bCs/>
          <w:color w:val="333333"/>
          <w:spacing w:val="2"/>
          <w:lang w:val="en-US" w:eastAsia="zh-CN"/>
        </w:rPr>
        <w:t>这个数据在这个网站里有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"https://data.stats.gov.cn/dg/website/page.html" \l "/pc/national/fsYearData"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国家数据 (stats.gov.cn)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b/>
          <w:bCs/>
          <w:color w:val="333333"/>
          <w:spacing w:val="2"/>
          <w:lang w:eastAsia="zh-CN"/>
        </w:rPr>
        <w:t>）</w:t>
      </w:r>
    </w:p>
    <w:p w14:paraId="6609785D">
      <w:pPr>
        <w:pStyle w:val="2"/>
        <w:spacing w:before="160" w:line="228" w:lineRule="auto"/>
        <w:ind w:left="998" w:right="82" w:hanging="250"/>
        <w:rPr>
          <w:rFonts w:hint="eastAsia"/>
          <w:b/>
          <w:bCs/>
          <w:color w:val="333333"/>
          <w:spacing w:val="2"/>
          <w:lang w:eastAsia="zh-CN"/>
        </w:rPr>
      </w:pPr>
      <w:r>
        <w:drawing>
          <wp:inline distT="0" distB="0" distL="114300" distR="114300">
            <wp:extent cx="5149215" cy="23869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F2ED">
      <w:pPr>
        <w:pStyle w:val="2"/>
        <w:spacing w:before="160" w:line="228" w:lineRule="auto"/>
        <w:ind w:left="998" w:right="82" w:hanging="250"/>
      </w:pPr>
      <w:r>
        <w:rPr>
          <w:color w:val="333333"/>
          <w:spacing w:val="2"/>
        </w:rPr>
        <w:t xml:space="preserve">（作为横截面）  </w:t>
      </w:r>
      <w:r>
        <w:rPr>
          <w:position w:val="1"/>
        </w:rPr>
        <w:drawing>
          <wp:inline distT="0" distB="0" distL="0" distR="0">
            <wp:extent cx="71755" cy="717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31" cy="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</w:t>
      </w:r>
      <w:r>
        <w:rPr>
          <w:b/>
          <w:bCs/>
          <w:color w:val="333333"/>
          <w:spacing w:val="2"/>
        </w:rPr>
        <w:t>全国历年互联</w:t>
      </w:r>
      <w:r>
        <w:rPr>
          <w:b/>
          <w:bCs/>
          <w:color w:val="333333"/>
          <w:spacing w:val="1"/>
        </w:rPr>
        <w:t xml:space="preserve">网宽带接入端口数 </w:t>
      </w:r>
      <w:r>
        <w:rPr>
          <w:color w:val="333333"/>
          <w:spacing w:val="1"/>
        </w:rPr>
        <w:t>（作为时间序列）构造交互</w:t>
      </w:r>
      <w:r>
        <w:rPr>
          <w:color w:val="333333"/>
        </w:rPr>
        <w:t>项工具变量。</w:t>
      </w:r>
    </w:p>
    <w:p w14:paraId="1812756B">
      <w:pPr>
        <w:pStyle w:val="2"/>
        <w:spacing w:before="98" w:line="229" w:lineRule="auto"/>
        <w:ind w:left="989" w:right="84" w:hanging="241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31"/>
          <w:w w:val="101"/>
        </w:rPr>
        <w:t xml:space="preserve">  </w:t>
      </w:r>
      <w:r>
        <w:rPr>
          <w:b/>
          <w:bCs/>
          <w:color w:val="333333"/>
          <w:spacing w:val="4"/>
        </w:rPr>
        <w:t>地理数据构造法</w:t>
      </w:r>
      <w:r>
        <w:rPr>
          <w:color w:val="333333"/>
          <w:spacing w:val="4"/>
        </w:rPr>
        <w:t>：各省的</w:t>
      </w:r>
      <w:r>
        <w:rPr>
          <w:b/>
          <w:bCs/>
          <w:color w:val="333333"/>
          <w:spacing w:val="4"/>
        </w:rPr>
        <w:t>地形起伏度</w:t>
      </w:r>
      <w:r>
        <w:rPr>
          <w:rFonts w:ascii="Tahoma" w:hAnsi="Tahoma" w:eastAsia="Tahoma" w:cs="Tahoma"/>
          <w:b/>
          <w:bCs/>
          <w:color w:val="333333"/>
          <w:spacing w:val="4"/>
        </w:rPr>
        <w:t>/</w:t>
      </w:r>
      <w:r>
        <w:rPr>
          <w:b/>
          <w:bCs/>
          <w:color w:val="333333"/>
          <w:spacing w:val="4"/>
        </w:rPr>
        <w:t>平均坡度</w:t>
      </w:r>
      <w:r>
        <w:rPr>
          <w:color w:val="333333"/>
          <w:spacing w:val="4"/>
        </w:rPr>
        <w:t>数据（地形越复杂，铺设光缆和通信基站的成本越高，从而</w:t>
      </w:r>
      <w:r>
        <w:rPr>
          <w:color w:val="333333"/>
          <w:spacing w:val="3"/>
        </w:rPr>
        <w:t>外生影响数字基建，且与碳排放不直接相关）。</w:t>
      </w:r>
      <w:bookmarkStart w:id="0" w:name="_GoBack"/>
      <w:r>
        <w:drawing>
          <wp:inline distT="0" distB="0" distL="114300" distR="114300">
            <wp:extent cx="5368925" cy="5107305"/>
            <wp:effectExtent l="0" t="0" r="317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83E3575">
      <w:pPr>
        <w:pStyle w:val="2"/>
        <w:spacing w:before="135" w:line="227" w:lineRule="auto"/>
        <w:ind w:left="9"/>
        <w:outlineLvl w:val="0"/>
        <w:rPr>
          <w:sz w:val="29"/>
          <w:szCs w:val="29"/>
        </w:rPr>
      </w:pPr>
      <w:r>
        <w:rPr>
          <w:rFonts w:ascii="Tahoma" w:hAnsi="Tahoma" w:eastAsia="Tahoma" w:cs="Tahoma"/>
          <w:b/>
          <w:bCs/>
          <w:color w:val="333333"/>
          <w:spacing w:val="-2"/>
          <w:sz w:val="29"/>
          <w:szCs w:val="29"/>
        </w:rPr>
        <w:t xml:space="preserve">3. </w:t>
      </w:r>
      <w:r>
        <w:rPr>
          <w:b/>
          <w:bCs/>
          <w:color w:val="333333"/>
          <w:spacing w:val="-2"/>
          <w:sz w:val="29"/>
          <w:szCs w:val="29"/>
        </w:rPr>
        <w:t xml:space="preserve">时间维度的历史补全（延长面板 </w:t>
      </w:r>
      <w:r>
        <w:rPr>
          <w:rFonts w:ascii="Tahoma" w:hAnsi="Tahoma" w:eastAsia="Tahoma" w:cs="Tahoma"/>
          <w:b/>
          <w:bCs/>
          <w:color w:val="333333"/>
          <w:spacing w:val="-2"/>
          <w:sz w:val="29"/>
          <w:szCs w:val="29"/>
        </w:rPr>
        <w:t>T</w:t>
      </w:r>
      <w:r>
        <w:rPr>
          <w:b/>
          <w:bCs/>
          <w:color w:val="333333"/>
          <w:spacing w:val="-2"/>
          <w:sz w:val="29"/>
          <w:szCs w:val="29"/>
        </w:rPr>
        <w:t>）</w:t>
      </w:r>
    </w:p>
    <w:p w14:paraId="1D1266AB">
      <w:pPr>
        <w:pStyle w:val="2"/>
        <w:spacing w:before="160" w:line="233" w:lineRule="auto"/>
        <w:ind w:left="391"/>
      </w:pPr>
      <w:r>
        <w:rPr>
          <w:color w:val="333333"/>
          <w:spacing w:val="4"/>
        </w:rPr>
        <w:t xml:space="preserve">现有的 </w:t>
      </w:r>
      <w:r>
        <w:rPr>
          <w:rFonts w:ascii="Tahoma" w:hAnsi="Tahoma" w:eastAsia="Tahoma" w:cs="Tahoma"/>
          <w:color w:val="333333"/>
          <w:spacing w:val="4"/>
        </w:rPr>
        <w:t>5G</w:t>
      </w:r>
      <w:r>
        <w:rPr>
          <w:color w:val="333333"/>
          <w:spacing w:val="4"/>
        </w:rPr>
        <w:t>、绿证等</w:t>
      </w:r>
      <w:r>
        <w:rPr>
          <w:rFonts w:ascii="Tahoma" w:hAnsi="Tahoma" w:eastAsia="Tahoma" w:cs="Tahoma"/>
          <w:color w:val="333333"/>
          <w:spacing w:val="4"/>
        </w:rPr>
        <w:t>“</w:t>
      </w:r>
      <w:r>
        <w:rPr>
          <w:color w:val="333333"/>
          <w:spacing w:val="4"/>
        </w:rPr>
        <w:t>新概念</w:t>
      </w:r>
      <w:r>
        <w:rPr>
          <w:rFonts w:ascii="Tahoma" w:hAnsi="Tahoma" w:eastAsia="Tahoma" w:cs="Tahoma"/>
          <w:color w:val="333333"/>
          <w:spacing w:val="4"/>
        </w:rPr>
        <w:t>”</w:t>
      </w:r>
      <w:r>
        <w:rPr>
          <w:color w:val="333333"/>
          <w:spacing w:val="4"/>
        </w:rPr>
        <w:t xml:space="preserve">数据在 </w:t>
      </w:r>
      <w:r>
        <w:rPr>
          <w:rFonts w:ascii="Tahoma" w:hAnsi="Tahoma" w:eastAsia="Tahoma" w:cs="Tahoma"/>
          <w:color w:val="333333"/>
          <w:spacing w:val="3"/>
        </w:rPr>
        <w:t xml:space="preserve">2011-2015 </w:t>
      </w:r>
      <w:r>
        <w:rPr>
          <w:color w:val="333333"/>
          <w:spacing w:val="3"/>
        </w:rPr>
        <w:t>等早期年份缺失严重，导致时间窗口被迫缩短。</w:t>
      </w:r>
    </w:p>
    <w:p w14:paraId="21C6A7E1">
      <w:pPr>
        <w:pStyle w:val="2"/>
        <w:spacing w:before="187" w:line="227" w:lineRule="auto"/>
        <w:ind w:left="989" w:right="153" w:hanging="241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7"/>
        </w:rPr>
        <w:t xml:space="preserve">  </w:t>
      </w:r>
      <w:r>
        <w:rPr>
          <w:b/>
          <w:bCs/>
          <w:color w:val="333333"/>
          <w:spacing w:val="6"/>
        </w:rPr>
        <w:t>非必须补充外部新数据，但需要前置处理</w:t>
      </w:r>
      <w:r>
        <w:rPr>
          <w:color w:val="333333"/>
          <w:spacing w:val="6"/>
        </w:rPr>
        <w:t>：通过引入多重插补法（</w:t>
      </w:r>
      <w:r>
        <w:rPr>
          <w:rFonts w:ascii="Tahoma" w:hAnsi="Tahoma" w:eastAsia="Tahoma" w:cs="Tahoma"/>
          <w:color w:val="333333"/>
        </w:rPr>
        <w:t>MICE</w:t>
      </w:r>
      <w:r>
        <w:rPr>
          <w:color w:val="333333"/>
          <w:spacing w:val="6"/>
        </w:rPr>
        <w:t xml:space="preserve">）或基于 </w:t>
      </w:r>
      <w:r>
        <w:rPr>
          <w:rFonts w:ascii="Tahoma" w:hAnsi="Tahoma" w:eastAsia="Tahoma" w:cs="Tahoma"/>
          <w:color w:val="333333"/>
        </w:rPr>
        <w:t>ARIMA</w:t>
      </w:r>
      <w:r>
        <w:rPr>
          <w:rFonts w:ascii="Tahoma" w:hAnsi="Tahoma" w:eastAsia="Tahoma" w:cs="Tahoma"/>
          <w:color w:val="333333"/>
          <w:spacing w:val="6"/>
        </w:rPr>
        <w:t>/</w:t>
      </w:r>
      <w:r>
        <w:rPr>
          <w:color w:val="333333"/>
          <w:spacing w:val="6"/>
        </w:rPr>
        <w:t>机器学</w:t>
      </w:r>
      <w:r>
        <w:rPr>
          <w:color w:val="333333"/>
          <w:spacing w:val="5"/>
        </w:rPr>
        <w:t>习的</w:t>
      </w:r>
      <w:r>
        <w:rPr>
          <w:b/>
          <w:bCs/>
          <w:color w:val="333333"/>
          <w:spacing w:val="5"/>
        </w:rPr>
        <w:t>逆向期前推延（</w:t>
      </w:r>
      <w:r>
        <w:rPr>
          <w:rFonts w:ascii="Tahoma" w:hAnsi="Tahoma" w:eastAsia="Tahoma" w:cs="Tahoma"/>
          <w:b/>
          <w:bCs/>
          <w:color w:val="333333"/>
        </w:rPr>
        <w:t>Backcasting</w:t>
      </w:r>
      <w:r>
        <w:rPr>
          <w:b/>
          <w:bCs/>
          <w:color w:val="333333"/>
          <w:spacing w:val="5"/>
        </w:rPr>
        <w:t>）</w:t>
      </w:r>
      <w:r>
        <w:rPr>
          <w:color w:val="333333"/>
          <w:spacing w:val="5"/>
        </w:rPr>
        <w:t>技术，将缺失的早期数据补全，从而拉长面板的时间跨度，增加样本量（提升</w:t>
      </w:r>
      <w:r>
        <w:rPr>
          <w:color w:val="333333"/>
          <w:spacing w:val="1"/>
        </w:rPr>
        <w:t>模型的自由度与显著性）。</w:t>
      </w:r>
    </w:p>
    <w:p w14:paraId="2BE369C6">
      <w:pPr>
        <w:pStyle w:val="2"/>
        <w:spacing w:before="223" w:line="184" w:lineRule="auto"/>
        <w:ind w:left="3"/>
        <w:outlineLvl w:val="0"/>
        <w:rPr>
          <w:sz w:val="29"/>
          <w:szCs w:val="29"/>
        </w:rPr>
      </w:pPr>
      <w:r>
        <w:rPr>
          <w:rFonts w:ascii="Tahoma" w:hAnsi="Tahoma" w:eastAsia="Tahoma" w:cs="Tahoma"/>
          <w:b/>
          <w:bCs/>
          <w:color w:val="333333"/>
          <w:spacing w:val="-3"/>
          <w:sz w:val="29"/>
          <w:szCs w:val="29"/>
        </w:rPr>
        <w:t xml:space="preserve">4. </w:t>
      </w:r>
      <w:r>
        <w:rPr>
          <w:b/>
          <w:bCs/>
          <w:color w:val="333333"/>
          <w:spacing w:val="-3"/>
          <w:sz w:val="29"/>
          <w:szCs w:val="29"/>
        </w:rPr>
        <w:t xml:space="preserve">空间计量矩阵数据（用于 </w:t>
      </w:r>
      <w:r>
        <w:rPr>
          <w:rFonts w:ascii="Tahoma" w:hAnsi="Tahoma" w:eastAsia="Tahoma" w:cs="Tahoma"/>
          <w:b/>
          <w:bCs/>
          <w:color w:val="333333"/>
          <w:spacing w:val="-3"/>
          <w:sz w:val="29"/>
          <w:szCs w:val="29"/>
        </w:rPr>
        <w:t xml:space="preserve">SDM </w:t>
      </w:r>
      <w:r>
        <w:rPr>
          <w:b/>
          <w:bCs/>
          <w:color w:val="333333"/>
          <w:spacing w:val="-3"/>
          <w:sz w:val="29"/>
          <w:szCs w:val="29"/>
        </w:rPr>
        <w:t>空间德宾模型）</w:t>
      </w:r>
    </w:p>
    <w:p w14:paraId="29644AFC">
      <w:pPr>
        <w:pStyle w:val="2"/>
        <w:spacing w:before="225" w:line="187" w:lineRule="auto"/>
        <w:ind w:left="390"/>
      </w:pPr>
      <w:r>
        <w:rPr>
          <w:color w:val="333333"/>
          <w:spacing w:val="4"/>
        </w:rPr>
        <w:t>这个不要紧，优先度最低</w:t>
      </w:r>
    </w:p>
    <w:p w14:paraId="12DFA769">
      <w:pPr>
        <w:pStyle w:val="2"/>
        <w:spacing w:before="211" w:line="187" w:lineRule="auto"/>
        <w:ind w:left="397"/>
      </w:pPr>
      <w:r>
        <w:rPr>
          <w:color w:val="333333"/>
          <w:spacing w:val="3"/>
        </w:rPr>
        <w:t>既然稳健性检验中确认了空间溢出效应，就需要全面升维到空间计量模型。</w:t>
      </w:r>
    </w:p>
    <w:p w14:paraId="71187193">
      <w:pPr>
        <w:pStyle w:val="2"/>
        <w:spacing w:before="210" w:line="219" w:lineRule="auto"/>
        <w:ind w:left="997" w:right="140" w:hanging="249"/>
      </w:pPr>
      <w:r>
        <w:rPr>
          <w:rFonts w:ascii="Arial" w:hAnsi="Arial" w:eastAsia="Arial" w:cs="Arial"/>
          <w:color w:val="333333"/>
          <w:spacing w:val="4"/>
          <w:position w:val="4"/>
        </w:rPr>
        <w:t xml:space="preserve">o   </w:t>
      </w:r>
      <w:r>
        <w:rPr>
          <w:b/>
          <w:bCs/>
          <w:color w:val="333333"/>
          <w:spacing w:val="4"/>
        </w:rPr>
        <w:t>地理坐标</w:t>
      </w:r>
      <w:r>
        <w:rPr>
          <w:rFonts w:ascii="Tahoma" w:hAnsi="Tahoma" w:eastAsia="Tahoma" w:cs="Tahoma"/>
          <w:b/>
          <w:bCs/>
          <w:color w:val="333333"/>
          <w:spacing w:val="4"/>
        </w:rPr>
        <w:t>/</w:t>
      </w:r>
      <w:r>
        <w:rPr>
          <w:b/>
          <w:bCs/>
          <w:color w:val="333333"/>
          <w:spacing w:val="4"/>
        </w:rPr>
        <w:t>邻接数据</w:t>
      </w:r>
      <w:r>
        <w:rPr>
          <w:color w:val="333333"/>
          <w:spacing w:val="4"/>
        </w:rPr>
        <w:t>：各省的经纬度坐标（用于计算地理距离</w:t>
      </w:r>
      <w:r>
        <w:rPr>
          <w:color w:val="333333"/>
          <w:spacing w:val="3"/>
        </w:rPr>
        <w:t xml:space="preserve">矩阵 </w:t>
      </w:r>
      <w:r>
        <w:rPr>
          <w:rFonts w:ascii="Arial" w:hAnsi="Arial" w:eastAsia="Arial" w:cs="Arial"/>
          <w:color w:val="333333"/>
        </w:rPr>
        <w:t>wgeo</w:t>
      </w:r>
      <w:r>
        <w:rPr>
          <w:color w:val="333333"/>
          <w:spacing w:val="3"/>
        </w:rPr>
        <w:t>）和省份边界相邻关系（用于计算</w:t>
      </w:r>
      <w:r>
        <w:rPr>
          <w:rFonts w:ascii="Tahoma" w:hAnsi="Tahoma" w:eastAsia="Tahoma" w:cs="Tahoma"/>
          <w:color w:val="333333"/>
          <w:spacing w:val="3"/>
        </w:rPr>
        <w:t xml:space="preserve">0-1 </w:t>
      </w:r>
      <w:r>
        <w:rPr>
          <w:color w:val="333333"/>
          <w:spacing w:val="3"/>
        </w:rPr>
        <w:t xml:space="preserve">邻接矩阵 </w:t>
      </w:r>
      <w:r>
        <w:rPr>
          <w:rFonts w:ascii="Arial" w:hAnsi="Arial" w:eastAsia="Arial" w:cs="Arial"/>
          <w:color w:val="333333"/>
        </w:rPr>
        <w:t>wcontiouity</w:t>
      </w:r>
      <w:r>
        <w:rPr>
          <w:color w:val="333333"/>
          <w:spacing w:val="3"/>
        </w:rPr>
        <w:t>）。</w:t>
      </w:r>
    </w:p>
    <w:p w14:paraId="47E72F57">
      <w:pPr>
        <w:pStyle w:val="2"/>
        <w:spacing w:before="125" w:line="238" w:lineRule="auto"/>
        <w:ind w:left="1059" w:right="206" w:hanging="311"/>
        <w:rPr>
          <w:sz w:val="20"/>
          <w:szCs w:val="20"/>
        </w:rPr>
      </w:pPr>
      <w:r>
        <w:rPr>
          <w:color w:val="333333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sz w:val="20"/>
          <w:szCs w:val="20"/>
        </w:rPr>
        <w:t xml:space="preserve">   </w:t>
      </w:r>
      <w:r>
        <w:rPr>
          <w:i/>
          <w:iCs/>
          <w:color w:val="333333"/>
          <w:spacing w:val="-5"/>
          <w:sz w:val="20"/>
          <w:szCs w:val="20"/>
        </w:rPr>
        <w:t>注：扫描当前工作区发现，你已经在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iCs/>
          <w:color w:val="333333"/>
          <w:spacing w:val="-5"/>
        </w:rPr>
        <w:t>raw</w:t>
      </w:r>
      <w:r>
        <w:rPr>
          <w:rFonts w:ascii="Arial" w:hAnsi="Arial" w:eastAsia="Arial" w:cs="Arial"/>
          <w:i/>
          <w:iCs/>
          <w:color w:val="333333"/>
          <w:spacing w:val="18"/>
        </w:rPr>
        <w:t xml:space="preserve"> </w:t>
      </w:r>
      <w:r>
        <w:rPr>
          <w:i/>
          <w:iCs/>
          <w:color w:val="333333"/>
          <w:spacing w:val="-5"/>
          <w:sz w:val="20"/>
          <w:szCs w:val="20"/>
        </w:rPr>
        <w:t>放入了</w:t>
      </w:r>
      <w:r>
        <w:rPr>
          <w:color w:val="333333"/>
          <w:spacing w:val="43"/>
          <w:sz w:val="20"/>
          <w:szCs w:val="20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5"/>
          <w:sz w:val="17"/>
          <w:szCs w:val="17"/>
          <w:shd w:val="clear" w:fill="F3F4F4"/>
        </w:rPr>
        <w:t>province_coordinates.csv</w:t>
      </w:r>
      <w:r>
        <w:rPr>
          <w:rFonts w:ascii="Lucida Console" w:hAnsi="Lucida Console" w:eastAsia="Lucida Console" w:cs="Lucida Console"/>
          <w:color w:val="333333"/>
          <w:spacing w:val="-5"/>
          <w:sz w:val="17"/>
          <w:szCs w:val="17"/>
        </w:rPr>
        <w:t xml:space="preserve"> </w:t>
      </w:r>
      <w:r>
        <w:rPr>
          <w:i/>
          <w:iCs/>
          <w:color w:val="333333"/>
          <w:spacing w:val="-5"/>
          <w:sz w:val="20"/>
          <w:szCs w:val="20"/>
        </w:rPr>
        <w:t>，并生成了标准化的空间</w:t>
      </w:r>
      <w:r>
        <w:rPr>
          <w:i/>
          <w:iCs/>
          <w:color w:val="333333"/>
          <w:spacing w:val="-7"/>
          <w:w w:val="97"/>
          <w:sz w:val="20"/>
          <w:szCs w:val="20"/>
        </w:rPr>
        <w:t>权重矩阵。说明该项数据已初步就位。</w:t>
      </w:r>
    </w:p>
    <w:p w14:paraId="3FA837FB">
      <w:pPr>
        <w:pStyle w:val="2"/>
        <w:spacing w:before="168" w:line="185" w:lineRule="auto"/>
        <w:ind w:left="106"/>
        <w:outlineLvl w:val="0"/>
        <w:rPr>
          <w:sz w:val="29"/>
          <w:szCs w:val="29"/>
        </w:rPr>
      </w:pPr>
      <w:r>
        <w:rPr>
          <w:color w:val="333333"/>
          <w:spacing w:val="-15"/>
          <w:w w:val="99"/>
          <w:sz w:val="29"/>
          <w:szCs w:val="29"/>
        </w:rPr>
        <w:t>曾</w:t>
      </w:r>
      <w:r>
        <w:rPr>
          <w:color w:val="333333"/>
          <w:spacing w:val="13"/>
          <w:sz w:val="29"/>
          <w:szCs w:val="29"/>
        </w:rPr>
        <w:t xml:space="preserve">  </w:t>
      </w:r>
      <w:r>
        <w:rPr>
          <w:b/>
          <w:bCs/>
          <w:color w:val="333333"/>
          <w:spacing w:val="-15"/>
          <w:w w:val="99"/>
          <w:sz w:val="29"/>
          <w:szCs w:val="29"/>
        </w:rPr>
        <w:t>下一步建议</w:t>
      </w:r>
    </w:p>
    <w:p w14:paraId="089C5B0A">
      <w:pPr>
        <w:pStyle w:val="2"/>
        <w:spacing w:before="209"/>
        <w:ind w:left="1" w:right="101" w:firstLine="389"/>
      </w:pPr>
      <w:r>
        <w:rPr>
          <w:color w:val="333333"/>
          <w:spacing w:val="3"/>
        </w:rPr>
        <w:t>我们可以优先从</w:t>
      </w:r>
      <w:r>
        <w:rPr>
          <w:b/>
          <w:bCs/>
          <w:color w:val="333333"/>
          <w:spacing w:val="3"/>
        </w:rPr>
        <w:t>构造工具变量（寻找历年邮电数据</w:t>
      </w:r>
      <w:r>
        <w:rPr>
          <w:rFonts w:ascii="Tahoma" w:hAnsi="Tahoma" w:eastAsia="Tahoma" w:cs="Tahoma"/>
          <w:b/>
          <w:bCs/>
          <w:color w:val="333333"/>
          <w:spacing w:val="3"/>
        </w:rPr>
        <w:t>/</w:t>
      </w:r>
      <w:r>
        <w:rPr>
          <w:b/>
          <w:bCs/>
          <w:color w:val="333333"/>
          <w:spacing w:val="3"/>
        </w:rPr>
        <w:t>地形数据）</w:t>
      </w:r>
      <w:r>
        <w:rPr>
          <w:b/>
          <w:bCs/>
          <w:color w:val="333333"/>
          <w:spacing w:val="-29"/>
        </w:rPr>
        <w:t xml:space="preserve"> </w:t>
      </w:r>
      <w:r>
        <w:rPr>
          <w:color w:val="333333"/>
          <w:spacing w:val="3"/>
        </w:rPr>
        <w:t>或者</w:t>
      </w:r>
      <w:r>
        <w:rPr>
          <w:b/>
          <w:bCs/>
          <w:color w:val="333333"/>
          <w:spacing w:val="3"/>
        </w:rPr>
        <w:t xml:space="preserve">通过 </w:t>
      </w:r>
      <w:r>
        <w:rPr>
          <w:rFonts w:ascii="Tahoma" w:hAnsi="Tahoma" w:eastAsia="Tahoma" w:cs="Tahoma"/>
          <w:b/>
          <w:bCs/>
          <w:color w:val="333333"/>
        </w:rPr>
        <w:t>MICE</w:t>
      </w:r>
      <w:r>
        <w:rPr>
          <w:rFonts w:ascii="Tahoma" w:hAnsi="Tahoma" w:eastAsia="Tahoma" w:cs="Tahoma"/>
          <w:b/>
          <w:bCs/>
          <w:color w:val="333333"/>
          <w:spacing w:val="3"/>
        </w:rPr>
        <w:t xml:space="preserve"> </w:t>
      </w:r>
      <w:r>
        <w:rPr>
          <w:b/>
          <w:bCs/>
          <w:color w:val="333333"/>
          <w:spacing w:val="3"/>
        </w:rPr>
        <w:t>算法向</w:t>
      </w:r>
      <w:r>
        <w:rPr>
          <w:b/>
          <w:bCs/>
          <w:color w:val="333333"/>
          <w:spacing w:val="2"/>
        </w:rPr>
        <w:t>历史年份补全面板缺失值</w:t>
      </w:r>
      <w:r>
        <w:rPr>
          <w:color w:val="333333"/>
          <w:spacing w:val="2"/>
        </w:rPr>
        <w:t>开</w:t>
      </w:r>
      <w:r>
        <w:rPr>
          <w:color w:val="333333"/>
          <w:spacing w:val="-1"/>
        </w:rPr>
        <w:t>始动手。你想先处理哪一块数据？</w:t>
      </w:r>
    </w:p>
    <w:sectPr>
      <w:pgSz w:w="11919" w:h="16858"/>
      <w:pgMar w:top="899" w:right="863" w:bottom="0" w:left="9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6437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850</Words>
  <Characters>981</Characters>
  <TotalTime>17</TotalTime>
  <ScaleCrop>false</ScaleCrop>
  <LinksUpToDate>false</LinksUpToDate>
  <CharactersWithSpaces>1036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2026-04-18T17:16:00Z</dcterms:created>
  <dc:creator>zhang</dc:creator>
  <cp:lastModifiedBy>张润田</cp:lastModifiedBy>
  <dcterms:modified xsi:type="dcterms:W3CDTF">2026-04-18T09:34:19Z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2026-04-18T17:17:02Z</vt:filetime>
  </property>
  <property fmtid="{D5CDD505-2E9C-101B-9397-08002B2CF9AE}" pid="4" name="KSOTemplateDocerSaveRecord">
    <vt:lpwstr>eyJoZGlkIjoiNzI4YzVhYzU3MTI1YmUxNmY2NGU1NGJiYzU1MjhiYTciLCJ1c2VySWQiOiIxNjg2NTgzNzk3In0=</vt:lpwstr>
  </property>
  <property fmtid="{D5CDD505-2E9C-101B-9397-08002B2CF9AE}" pid="5" name="KSOProductBuildVer">
    <vt:lpwstr>2052-12.1.0.25865</vt:lpwstr>
  </property>
  <property fmtid="{D5CDD505-2E9C-101B-9397-08002B2CF9AE}" pid="6" name="ICV">
    <vt:lpwstr>9908218DA5B446CBA3611F9A5D4FAFEE_12</vt:lpwstr>
  </property>
</Properties>
</file>