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r>
        <w:t>This year's sales have increased by 20% compared to the previous year</w:t>
      </w:r>
    </w:p>
    <w:p>
      <w:r>
        <w:t>This year's sales have increased by 20% compared to the previous year</w:t>
      </w:r>
    </w:p>
    <w:p>
      <w:r>
        <w:t>This year's sales have increased by 20% compared to the previous year</w:t>
      </w:r>
    </w:p>
    <w:p>
      <w:r>
        <w:t>This year's sales have increased by 20% compared to the previous year</w:t>
      </w:r>
    </w:p>
    <w:p>
      <w:r>
        <w:t>This year's sales have increased by 20% compared to the previous year</w:t>
      </w:r>
    </w:p>
    <w:p>
      <w:r>
        <w:t>This year's sales have increased by 20% compared to the previous year</w:t>
      </w:r>
    </w:p>
    <w:p>
      <w:r>
        <w:t>This year's sales have increased by 20% compared to the previous year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Sales</w:t>
            </w:r>
          </w:p>
        </w:tc>
        <w:tc>
          <w:tcPr>
            <w:tcW w:type="dxa" w:w="2880"/>
          </w:tcPr>
          <w:p>
            <w:r>
              <w:t>Unit Price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>
      <w:r>
        <w:br w:type="page"/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br w:type="page"/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br w:type="page"/>
      </w:r>
    </w:p>
    <w:p>
      <w:r>
        <w:br w:type="page"/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p>
      <w:r>
        <w:rPr>
          <w:rFonts w:ascii="Times New Roman" w:hAnsi="Times New Roman"/>
          <w:b/>
          <w:i w:val="0"/>
          <w:color w:val="FF0000"/>
          <w:sz w:val="24"/>
          <w:u w:val="none"/>
        </w:rPr>
        <w:t>important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