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20"/>
        <w:jc w:val="center"/>
      </w:pPr>
      <w:r>
        <w:rPr>
          <w:rFonts w:ascii="Calibri" w:hAnsi="Calibri" w:eastAsia="Microsoft YaHei"/>
          <w:b/>
          <w:color w:val="A87832"/>
          <w:sz w:val="24"/>
        </w:rPr>
        <w:t>STEP 04</w:t>
      </w:r>
    </w:p>
    <w:p>
      <w:pPr>
        <w:spacing w:after="200"/>
        <w:jc w:val="center"/>
      </w:pPr>
      <w:r>
        <w:rPr>
          <w:rFonts w:ascii="Calibri" w:hAnsi="Calibri" w:eastAsia="Microsoft YaHei"/>
          <w:b/>
          <w:color w:val="23364A"/>
          <w:sz w:val="50"/>
        </w:rPr>
        <w:t>第四步｜服装道具材质与生成提示词</w:t>
      </w:r>
    </w:p>
    <w:p>
      <w:pPr>
        <w:spacing w:after="560"/>
        <w:ind w:left="936" w:right="936"/>
        <w:jc w:val="center"/>
      </w:pPr>
      <w:r>
        <w:rPr>
          <w:rFonts w:ascii="Calibri" w:hAnsi="Calibri" w:eastAsia="Microsoft YaHei"/>
          <w:color w:val="1F4D78"/>
          <w:sz w:val="24"/>
        </w:rPr>
        <w:t>生成服装拆分、先秦材质板和二十类关键道具资产。</w:t>
      </w:r>
    </w:p>
    <w:p>
      <w:pPr>
        <w:spacing w:after="960"/>
        <w:jc w:val="center"/>
      </w:pPr>
      <w:r>
        <w:rPr>
          <w:rFonts w:ascii="Calibri" w:hAnsi="Calibri" w:eastAsia="Microsoft YaHei"/>
          <w:b/>
          <w:color w:val="66727D"/>
          <w:sz w:val="22"/>
        </w:rPr>
        <w:t>《散尽千金的人，为什么成了财神？》</w:t>
      </w:r>
    </w:p>
    <w:p>
      <w:pPr>
        <w:jc w:val="center"/>
        <w:shd w:fill="F4F6F9"/>
      </w:pPr>
      <w:r>
        <w:rPr>
          <w:rFonts w:ascii="Calibri" w:hAnsi="Calibri" w:eastAsia="Microsoft YaHei"/>
          <w:b/>
          <w:color w:val="23364A"/>
          <w:sz w:val="21"/>
        </w:rPr>
        <w:t>按编号顺序执行。上一份文档未达到完成标准，不进入下一份。</w:t>
      </w:r>
    </w:p>
    <w:p>
      <w:r>
        <w:br w:type="page"/>
      </w:r>
    </w:p>
    <w:p>
      <w:pPr>
        <w:pStyle w:val="Heading1"/>
      </w:pPr>
      <w:r>
        <w:t>1. 本步骤定位</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阶段字段</w:t>
            </w:r>
          </w:p>
        </w:tc>
        <w:tc>
          <w:tcPr>
            <w:tcW w:type="dxa" w:w="7260"/>
            <w:shd w:fill="E8EEF5"/>
            <w:tcMar>
              <w:top w:w="80" w:type="dxa"/>
              <w:start w:w="120" w:type="dxa"/>
              <w:bottom w:w="80" w:type="dxa"/>
              <w:end w:w="120" w:type="dxa"/>
            </w:tcMar>
            <w:vAlign w:val="center"/>
          </w:tcPr>
          <w:p>
            <w:pPr>
              <w:spacing w:after="0"/>
              <w:jc w:val="center"/>
            </w:pPr>
            <w:r>
              <w:rPr>
                <w:rFonts w:ascii="Calibri" w:hAnsi="Calibri" w:eastAsia="Microsoft YaHei"/>
                <w:b/>
                <w:color w:val="1F4D78"/>
                <w:sz w:val="19"/>
              </w:rPr>
              <w:t>执行定义</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本步骤目的</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先把服装、材质和关键道具做成单独可控资产，避免在复杂镜头里反复变形。</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开始前必须具备</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人物与场景母版已经锁定。</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本步骤产出</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四套核心服装拆分图、先秦材质板、P01–P20 道具多视图与比例图。</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完成标准</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特写道具形制、材质和尺寸稳定；无明显时代错误；可挂载为镜头第三张参考图。</w:t>
            </w:r>
          </w:p>
        </w:tc>
      </w:tr>
      <w:tr>
        <w:trPr>
          <w:cantSplit/>
        </w:trPr>
        <w:tc>
          <w:tcPr>
            <w:tcW w:type="dxa" w:w="2100"/>
            <w:shd w:fill="E8EEF5"/>
            <w:tcMar>
              <w:top w:w="80" w:type="dxa"/>
              <w:start w:w="120" w:type="dxa"/>
              <w:bottom w:w="80" w:type="dxa"/>
              <w:end w:w="120" w:type="dxa"/>
            </w:tcMar>
            <w:vAlign w:val="center"/>
          </w:tcPr>
          <w:p>
            <w:pPr>
              <w:spacing w:after="0"/>
            </w:pPr>
            <w:r>
              <w:rPr>
                <w:rFonts w:ascii="Calibri" w:hAnsi="Calibri" w:eastAsia="Microsoft YaHei"/>
                <w:b/>
                <w:color w:val="1F4D78"/>
                <w:sz w:val="19"/>
              </w:rPr>
              <w:t>完成后进入</w:t>
            </w:r>
          </w:p>
        </w:tc>
        <w:tc>
          <w:tcPr>
            <w:tcW w:type="dxa" w:w="7260"/>
            <w:tcMar>
              <w:top w:w="80" w:type="dxa"/>
              <w:start w:w="120" w:type="dxa"/>
              <w:bottom w:w="80" w:type="dxa"/>
              <w:end w:w="120" w:type="dxa"/>
            </w:tcMar>
            <w:vAlign w:val="center"/>
          </w:tcPr>
          <w:p>
            <w:pPr>
              <w:spacing w:after="0"/>
            </w:pPr>
            <w:r>
              <w:rPr>
                <w:rFonts w:ascii="Calibri" w:hAnsi="Calibri" w:eastAsia="Microsoft YaHei"/>
                <w:color w:val="111111"/>
                <w:sz w:val="19"/>
              </w:rPr>
              <w:t>05_43镜图片关键帧生成提示词。</w:t>
            </w:r>
          </w:p>
        </w:tc>
      </w:tr>
    </w:tbl>
    <w:p>
      <w:pPr>
        <w:spacing w:after="20"/>
      </w:pPr>
    </w:p>
    <w:p>
      <w:pPr>
        <w:pStyle w:val="Heading1"/>
      </w:pPr>
      <w:r>
        <w:t>2. 时代红线</w:t>
      </w:r>
    </w:p>
    <w:p>
      <w:pPr>
        <w:pStyle w:val="PromptBlock"/>
        <w:shd w:fill="F7F3EB"/>
        <w:pBdr>
          <w:left w:val="single" w:sz="16" w:space="8" w:color="A87832"/>
        </w:pBdr>
      </w:pPr>
      <w:r>
        <w:rPr>
          <w:rFonts w:ascii="Calibri" w:hAnsi="Calibri" w:eastAsia="Microsoft YaHei"/>
          <w:b/>
          <w:color w:val="A87832"/>
          <w:sz w:val="18"/>
        </w:rPr>
        <w:t>总则</w:t>
        <w:br/>
      </w:r>
      <w:r>
        <w:rPr>
          <w:rFonts w:ascii="Calibri" w:hAnsi="Calibri" w:eastAsia="Microsoft YaHei"/>
          <w:color w:val="23364A"/>
          <w:sz w:val="18"/>
        </w:rPr>
        <w:t>历史段落统一按春秋末期至战国初期的过渡性物质文化处理；不把后世财神庙、财神神像的造型反推到范蠡生活年代。</w:t>
      </w:r>
    </w:p>
    <w:p>
      <w:pPr>
        <w:pStyle w:val="Heading2"/>
      </w:pPr>
      <w:r>
        <w:t>服饰与发式</w:t>
      </w:r>
    </w:p>
    <w:p>
      <w:pPr>
        <w:pStyle w:val="ListBullet"/>
      </w:pPr>
      <w:r>
        <w:rPr>
          <w:rFonts w:ascii="Calibri" w:hAnsi="Calibri" w:eastAsia="Microsoft YaHei"/>
          <w:color w:val="111111"/>
        </w:rPr>
        <w:t>男装以交领右衽、上衣下裳或朴素长衣、束带为基础；布料以麻、苎麻、粗织物和少量丝织物表现。</w:t>
      </w:r>
    </w:p>
    <w:p>
      <w:pPr>
        <w:pStyle w:val="ListBullet"/>
      </w:pPr>
      <w:r>
        <w:rPr>
          <w:rFonts w:ascii="Calibri" w:hAnsi="Calibri" w:eastAsia="Microsoft YaHei"/>
          <w:color w:val="111111"/>
        </w:rPr>
        <w:t>颜色来自植物、矿物染料的低饱和黑、褐、赭、灰绿、暗朱、米白；不用明黄龙袍、亮紫化纤或反光缎面。</w:t>
      </w:r>
    </w:p>
    <w:p>
      <w:pPr>
        <w:pStyle w:val="ListBullet"/>
      </w:pPr>
      <w:r>
        <w:rPr>
          <w:rFonts w:ascii="Calibri" w:hAnsi="Calibri" w:eastAsia="Microsoft YaHei"/>
          <w:color w:val="111111"/>
        </w:rPr>
        <w:t>发式为蓄发束髻，以木、骨、布帛或简朴冠束固定；不出现清代辫发、明代网巾、唐宋幞头。</w:t>
      </w:r>
    </w:p>
    <w:p>
      <w:pPr>
        <w:pStyle w:val="ListBullet"/>
      </w:pPr>
      <w:r>
        <w:rPr>
          <w:rFonts w:ascii="Calibri" w:hAnsi="Calibri" w:eastAsia="Microsoft YaHei"/>
          <w:color w:val="111111"/>
        </w:rPr>
        <w:t>范蠡身份越高，差异主要表现为织物细密度、裁剪和整洁度，不靠珠宝与夸张纹样。</w:t>
      </w:r>
    </w:p>
    <w:p>
      <w:pPr>
        <w:pStyle w:val="Heading2"/>
      </w:pPr>
      <w:r>
        <w:t>建筑与空间</w:t>
      </w:r>
    </w:p>
    <w:p>
      <w:pPr>
        <w:pStyle w:val="ListBullet"/>
      </w:pPr>
      <w:r>
        <w:rPr>
          <w:rFonts w:ascii="Calibri" w:hAnsi="Calibri" w:eastAsia="Microsoft YaHei"/>
          <w:color w:val="111111"/>
        </w:rPr>
        <w:t>城墙、台基以夯土为主体，木构廊庑、坡屋顶、局部板瓦；江南场景强调雨水、木材和水网。</w:t>
      </w:r>
    </w:p>
    <w:p>
      <w:pPr>
        <w:pStyle w:val="ListBullet"/>
      </w:pPr>
      <w:r>
        <w:rPr>
          <w:rFonts w:ascii="Calibri" w:hAnsi="Calibri" w:eastAsia="Microsoft YaHei"/>
          <w:color w:val="111111"/>
        </w:rPr>
        <w:t>不使用明清宫殿式大红柱、复杂斗拱、琉璃瓦、飞檐密集屋脊兽、玻璃窗和石狮牌坊。</w:t>
      </w:r>
    </w:p>
    <w:p>
      <w:pPr>
        <w:pStyle w:val="ListBullet"/>
      </w:pPr>
      <w:r>
        <w:rPr>
          <w:rFonts w:ascii="Calibri" w:hAnsi="Calibri" w:eastAsia="Microsoft YaHei"/>
          <w:color w:val="111111"/>
        </w:rPr>
        <w:t>民居、仓廪和市场尺度克制，木柱不做现代机械加工般笔直光滑，地面为夯土、木板或碎石。</w:t>
      </w:r>
    </w:p>
    <w:p>
      <w:pPr>
        <w:pStyle w:val="Heading2"/>
      </w:pPr>
      <w:r>
        <w:t>器物、运输与交易</w:t>
      </w:r>
    </w:p>
    <w:p>
      <w:pPr>
        <w:pStyle w:val="ListBullet"/>
      </w:pPr>
      <w:r>
        <w:rPr>
          <w:rFonts w:ascii="Calibri" w:hAnsi="Calibri" w:eastAsia="Microsoft YaHei"/>
          <w:color w:val="111111"/>
        </w:rPr>
        <w:t>书写使用竹木简、墨和毛笔，不出现纸张、线装书、印刷招牌。</w:t>
      </w:r>
    </w:p>
    <w:p>
      <w:pPr>
        <w:pStyle w:val="ListBullet"/>
      </w:pPr>
      <w:r>
        <w:rPr>
          <w:rFonts w:ascii="Calibri" w:hAnsi="Calibri" w:eastAsia="Microsoft YaHei"/>
          <w:color w:val="111111"/>
        </w:rPr>
        <w:t>日常器物优先陶器、木器、竹编、漆器；青铜器用于兵器、衡器、印信和少量礼仪器。</w:t>
      </w:r>
    </w:p>
    <w:p>
      <w:pPr>
        <w:pStyle w:val="ListBullet"/>
      </w:pPr>
      <w:r>
        <w:rPr>
          <w:rFonts w:ascii="Calibri" w:hAnsi="Calibri" w:eastAsia="Microsoft YaHei"/>
          <w:color w:val="111111"/>
        </w:rPr>
        <w:t>贸易表现优先使用粮食、布帛、陶器、木材、竹简账目、容量器和衡器；不使用银元宝、金元宝堆、纸币和统一方孔钱。</w:t>
      </w:r>
    </w:p>
    <w:p>
      <w:pPr>
        <w:pStyle w:val="ListBullet"/>
      </w:pPr>
      <w:r>
        <w:rPr>
          <w:rFonts w:ascii="Calibri" w:hAnsi="Calibri" w:eastAsia="Microsoft YaHei"/>
          <w:color w:val="111111"/>
        </w:rPr>
        <w:t>越地军事以步兵、水兵、青铜剑、戈矛和皮革/漆革防护为主；不出现汉代札甲模板、唐甲、明甲和武侠长刀。</w:t>
      </w:r>
    </w:p>
    <w:p>
      <w:pPr>
        <w:pStyle w:val="ListBullet"/>
      </w:pPr>
      <w:r>
        <w:rPr>
          <w:rFonts w:ascii="Calibri" w:hAnsi="Calibri" w:eastAsia="Microsoft YaHei"/>
          <w:color w:val="111111"/>
        </w:rPr>
        <w:t>船只为浅吃水木舟、橹、桨、麻绳和木桩码头；不出现大型楼船、明式帆船和现代码头。</w:t>
      </w:r>
    </w:p>
    <w:p>
      <w:pPr>
        <w:pStyle w:val="Heading1"/>
      </w:pPr>
      <w:r>
        <w:t>3. 核心人物服装拆分 Prompt</w:t>
      </w:r>
    </w:p>
    <w:p>
      <w:pPr>
        <w:pStyle w:val="Heading2"/>
      </w:pPr>
      <w:r>
        <w:t>C01 / FL35｜35 岁范蠡｜越国谋士阶段</w:t>
      </w:r>
    </w:p>
    <w:p>
      <w:r>
        <w:rPr>
          <w:rFonts w:ascii="Calibri" w:hAnsi="Calibri" w:eastAsia="Microsoft YaHei"/>
          <w:b/>
          <w:color w:val="23364A"/>
        </w:rPr>
        <w:t>服装定义：</w:t>
      </w:r>
      <w:r>
        <w:rPr>
          <w:rFonts w:ascii="Calibri" w:hAnsi="Calibri" w:eastAsia="Microsoft YaHei"/>
          <w:color w:val="111111"/>
        </w:rPr>
        <w:t>灰绿交领右衽长衣，内层烟灰色麻布，暗赭细带束腰；外披短而轻的深褐防雨披肩。衣料吸水后颜色变深，边缘有磨损。无华丽玉佩、无大冠、无铠甲。</w:t>
      </w:r>
    </w:p>
    <w:p>
      <w:pPr>
        <w:pStyle w:val="PromptBlock"/>
        <w:shd w:fill="F7F3EB"/>
        <w:pBdr>
          <w:left w:val="single" w:sz="16" w:space="8" w:color="A87832"/>
        </w:pBdr>
      </w:pPr>
      <w:r>
        <w:rPr>
          <w:rFonts w:ascii="Calibri" w:hAnsi="Calibri" w:eastAsia="Microsoft YaHei"/>
          <w:b/>
          <w:color w:val="A87832"/>
          <w:sz w:val="18"/>
        </w:rPr>
        <w:t>服装拆分 Prompt</w:t>
        <w:br/>
      </w:r>
      <w:r>
        <w:rPr>
          <w:rFonts w:ascii="Calibri" w:hAnsi="Calibri" w:eastAsia="Microsoft YaHei"/>
          <w:color w:val="23364A"/>
          <w:sz w:val="18"/>
        </w:rPr>
        <w:t>Historical costume design reference for C01 / FL35 35 岁范蠡｜越国谋士阶段. 灰绿交领右衽长衣，内层烟灰色麻布，暗赭细带束腰；外披短而轻的深褐防雨披肩。衣料吸水后颜色变深，边缘有磨损。无华丽玉佩、无大冠、无铠甲。 Show the complete outfit on an anonymous neutral mannequin and as laid-flat garment pieces, front back and side views, seams, collar overlap, belt knot, sleeve construction, textile macro swatches and natural wear. Plain warm-gray background, accurate ancient Chinese construction, no decorative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C02 / FL45｜45 岁范蠡｜功成离越、入齐辞相阶段</w:t>
      </w:r>
    </w:p>
    <w:p>
      <w:r>
        <w:rPr>
          <w:rFonts w:ascii="Calibri" w:hAnsi="Calibri" w:eastAsia="Microsoft YaHei"/>
          <w:b/>
          <w:color w:val="23364A"/>
        </w:rPr>
        <w:t>服装定义：</w:t>
      </w:r>
      <w:r>
        <w:rPr>
          <w:rFonts w:ascii="Calibri" w:hAnsi="Calibri" w:eastAsia="Microsoft YaHei"/>
          <w:color w:val="111111"/>
        </w:rPr>
        <w:t>离越时：墨褐细织长衣、暗朱内缘、灰褐旅行披衣。齐地时：米灰苎麻工作衣、袖口用细绳收束、深褐腰带；见使者时换较整洁的深灰外衣，但不奢华。</w:t>
      </w:r>
    </w:p>
    <w:p>
      <w:pPr>
        <w:pStyle w:val="PromptBlock"/>
        <w:shd w:fill="F7F3EB"/>
        <w:pBdr>
          <w:left w:val="single" w:sz="16" w:space="8" w:color="A87832"/>
        </w:pBdr>
      </w:pPr>
      <w:r>
        <w:rPr>
          <w:rFonts w:ascii="Calibri" w:hAnsi="Calibri" w:eastAsia="Microsoft YaHei"/>
          <w:b/>
          <w:color w:val="A87832"/>
          <w:sz w:val="18"/>
        </w:rPr>
        <w:t>服装拆分 Prompt</w:t>
        <w:br/>
      </w:r>
      <w:r>
        <w:rPr>
          <w:rFonts w:ascii="Calibri" w:hAnsi="Calibri" w:eastAsia="Microsoft YaHei"/>
          <w:color w:val="23364A"/>
          <w:sz w:val="18"/>
        </w:rPr>
        <w:t>Historical costume design reference for C02 / FL45 45 岁范蠡｜功成离越、入齐辞相阶段. 离越时：墨褐细织长衣、暗朱内缘、灰褐旅行披衣。齐地时：米灰苎麻工作衣、袖口用细绳收束、深褐腰带；见使者时换较整洁的深灰外衣，但不奢华。 Show the complete outfit on an anonymous neutral mannequin and as laid-flat garment pieces, front back and side views, seams, collar overlap, belt knot, sleeve construction, textile macro swatches and natural wear. Plain warm-gray background, accurate ancient Chinese construction, no decorative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C03 / TZG60｜60 岁陶朱公｜陶地经营与旁白人格</w:t>
      </w:r>
    </w:p>
    <w:p>
      <w:r>
        <w:rPr>
          <w:rFonts w:ascii="Calibri" w:hAnsi="Calibri" w:eastAsia="Microsoft YaHei"/>
          <w:b/>
          <w:color w:val="23364A"/>
        </w:rPr>
        <w:t>服装定义：</w:t>
      </w:r>
      <w:r>
        <w:rPr>
          <w:rFonts w:ascii="Calibri" w:hAnsi="Calibri" w:eastAsia="Microsoft YaHei"/>
          <w:color w:val="111111"/>
        </w:rPr>
        <w:t>深茶褐细织交领长衣，内层温暖赭石色，黑褐宽度适中的布带；外出时加暗灰斗篷。用料更好但无金线、玉带和宝石。袖口和衣摆有真实使用痕迹。</w:t>
      </w:r>
    </w:p>
    <w:p>
      <w:pPr>
        <w:pStyle w:val="PromptBlock"/>
        <w:shd w:fill="F7F3EB"/>
        <w:pBdr>
          <w:left w:val="single" w:sz="16" w:space="8" w:color="A87832"/>
        </w:pBdr>
      </w:pPr>
      <w:r>
        <w:rPr>
          <w:rFonts w:ascii="Calibri" w:hAnsi="Calibri" w:eastAsia="Microsoft YaHei"/>
          <w:b/>
          <w:color w:val="A87832"/>
          <w:sz w:val="18"/>
        </w:rPr>
        <w:t>服装拆分 Prompt</w:t>
        <w:br/>
      </w:r>
      <w:r>
        <w:rPr>
          <w:rFonts w:ascii="Calibri" w:hAnsi="Calibri" w:eastAsia="Microsoft YaHei"/>
          <w:color w:val="23364A"/>
          <w:sz w:val="18"/>
        </w:rPr>
        <w:t>Historical costume design reference for C03 / TZG60 60 岁陶朱公｜陶地经营与旁白人格. 深茶褐细织交领长衣，内层温暖赭石色，黑褐宽度适中的布带；外出时加暗灰斗篷。用料更好但无金线、玉带和宝石。袖口和衣摆有真实使用痕迹。 Show the complete outfit on an anonymous neutral mannequin and as laid-flat garment pieces, front back and side views, seams, collar overlap, belt knot, sleeve construction, textile macro swatches and natural wear. Plain warm-gray background, accurate ancient Chinese construction, no decorative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2"/>
      </w:pPr>
      <w:r>
        <w:t>C04 / STATUE｜后世陶朱公财神神像｜寓言框架</w:t>
      </w:r>
    </w:p>
    <w:p>
      <w:r>
        <w:rPr>
          <w:rFonts w:ascii="Calibri" w:hAnsi="Calibri" w:eastAsia="Microsoft YaHei"/>
          <w:b/>
          <w:color w:val="23364A"/>
        </w:rPr>
        <w:t>服装定义：</w:t>
      </w:r>
      <w:r>
        <w:rPr>
          <w:rFonts w:ascii="Calibri" w:hAnsi="Calibri" w:eastAsia="Microsoft YaHei"/>
          <w:color w:val="111111"/>
        </w:rPr>
        <w:t>后世匠人想象的宽袖财神袍，以暗红、黑褐和旧金为主；金箔只残留在边缘。左手可持卷册，右手自然置膝，不持巨大金元宝。</w:t>
      </w:r>
    </w:p>
    <w:p>
      <w:pPr>
        <w:pStyle w:val="PromptBlock"/>
        <w:shd w:fill="F7F3EB"/>
        <w:pBdr>
          <w:left w:val="single" w:sz="16" w:space="8" w:color="A87832"/>
        </w:pBdr>
      </w:pPr>
      <w:r>
        <w:rPr>
          <w:rFonts w:ascii="Calibri" w:hAnsi="Calibri" w:eastAsia="Microsoft YaHei"/>
          <w:b/>
          <w:color w:val="A87832"/>
          <w:sz w:val="18"/>
        </w:rPr>
        <w:t>服装拆分 Prompt</w:t>
        <w:br/>
      </w:r>
      <w:r>
        <w:rPr>
          <w:rFonts w:ascii="Calibri" w:hAnsi="Calibri" w:eastAsia="Microsoft YaHei"/>
          <w:color w:val="23364A"/>
          <w:sz w:val="18"/>
        </w:rPr>
        <w:t>Historical costume design reference for C04 / STATUE 后世陶朱公财神神像｜寓言框架. 后世匠人想象的宽袖财神袍，以暗红、黑褐和旧金为主；金箔只残留在边缘。左手可持卷册，右手自然置膝，不持巨大金元宝。 Show the complete outfit on an anonymous neutral mannequin and as laid-flat garment pieces, front back and side views, seams, collar overlap, belt knot, sleeve construction, textile macro swatches and natural wear. Plain warm-gray background, accurate ancient Chinese construction, no decorative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1"/>
      </w:pPr>
      <w:r>
        <w:t>4. 材质母版</w:t>
      </w:r>
    </w:p>
    <w:p>
      <w:pPr>
        <w:pStyle w:val="Heading2"/>
      </w:pPr>
      <w:r>
        <w:t>先秦材质板</w:t>
      </w:r>
    </w:p>
    <w:p>
      <w:pPr>
        <w:pStyle w:val="PromptBlock"/>
        <w:shd w:fill="F7F3EB"/>
        <w:pBdr>
          <w:left w:val="single" w:sz="16" w:space="8" w:color="A87832"/>
        </w:pBdr>
      </w:pPr>
      <w:r>
        <w:rPr>
          <w:rFonts w:ascii="Calibri" w:hAnsi="Calibri" w:eastAsia="Microsoft YaHei"/>
          <w:b/>
          <w:color w:val="A87832"/>
          <w:sz w:val="18"/>
        </w:rPr>
        <w:t>材质板 Prompt</w:t>
        <w:br/>
      </w:r>
      <w:r>
        <w:rPr>
          <w:rFonts w:ascii="Calibri" w:hAnsi="Calibri" w:eastAsia="Microsoft YaHei"/>
          <w:color w:val="23364A"/>
          <w:sz w:val="18"/>
        </w:rPr>
        <w:t>Museum-grade material reference board of late Spring and Autumn daily life: ramie and hemp weave, restrained silk, weathered rammed earth, damp timber, bamboo slips with binding cords, black-red lacquer, aged bronze, plain gray and red pottery, woven bamboo basket, hemp rope, rice and millet grains. Organized grid, neutral daylight, macro texture accuracy,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Heading1"/>
      </w:pPr>
      <w:r>
        <w:t>5. 二十类关键道具与生成提示词</w:t>
      </w:r>
    </w:p>
    <w:p>
      <w:pPr>
        <w:pStyle w:val="Heading2"/>
      </w:pPr>
      <w:r>
        <w:t>P01｜财神木/泥塑神像</w:t>
      </w:r>
    </w:p>
    <w:p>
      <w:r>
        <w:rPr>
          <w:rFonts w:ascii="Calibri" w:hAnsi="Calibri" w:eastAsia="Microsoft YaHei"/>
          <w:b/>
          <w:color w:val="23364A"/>
        </w:rPr>
        <w:t>使用段落：</w:t>
      </w:r>
      <w:r>
        <w:rPr>
          <w:rFonts w:ascii="Calibri" w:hAnsi="Calibri" w:eastAsia="Microsoft YaHei"/>
          <w:color w:val="111111"/>
        </w:rPr>
        <w:t>后世寓言</w:t>
      </w:r>
    </w:p>
    <w:p>
      <w:r>
        <w:rPr>
          <w:rFonts w:ascii="Calibri" w:hAnsi="Calibri" w:eastAsia="Microsoft YaHei"/>
          <w:b/>
          <w:color w:val="23364A"/>
        </w:rPr>
        <w:t>材质与形制：</w:t>
      </w:r>
      <w:r>
        <w:rPr>
          <w:rFonts w:ascii="Calibri" w:hAnsi="Calibri" w:eastAsia="Microsoft YaHei"/>
          <w:color w:val="111111"/>
        </w:rPr>
        <w:t>木胎或泥塑、暗红黑褐涂层、旧金箔、烟熏裂纹</w:t>
      </w:r>
    </w:p>
    <w:p>
      <w:r>
        <w:rPr>
          <w:rFonts w:ascii="Calibri" w:hAnsi="Calibri" w:eastAsia="Microsoft YaHei"/>
          <w:b/>
          <w:color w:val="23364A"/>
        </w:rPr>
        <w:t>避错：</w:t>
      </w:r>
      <w:r>
        <w:rPr>
          <w:rFonts w:ascii="Calibri" w:hAnsi="Calibri" w:eastAsia="Microsoft YaHei"/>
          <w:color w:val="111111"/>
        </w:rPr>
        <w:t>不得生成人类皮肤或巨大金元宝</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P01 财神木/泥塑神像. 木胎或泥塑、暗红黑褐涂层、旧金箔、烟熏裂纹.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P02｜铜/陶香炉</w:t>
      </w:r>
    </w:p>
    <w:p>
      <w:r>
        <w:rPr>
          <w:rFonts w:ascii="Calibri" w:hAnsi="Calibri" w:eastAsia="Microsoft YaHei"/>
          <w:b/>
          <w:color w:val="23364A"/>
        </w:rPr>
        <w:t>使用段落：</w:t>
      </w:r>
      <w:r>
        <w:rPr>
          <w:rFonts w:ascii="Calibri" w:hAnsi="Calibri" w:eastAsia="Microsoft YaHei"/>
          <w:color w:val="111111"/>
        </w:rPr>
        <w:t>后世庙宇</w:t>
      </w:r>
    </w:p>
    <w:p>
      <w:r>
        <w:rPr>
          <w:rFonts w:ascii="Calibri" w:hAnsi="Calibri" w:eastAsia="Microsoft YaHei"/>
          <w:b/>
          <w:color w:val="23364A"/>
        </w:rPr>
        <w:t>材质与形制：</w:t>
      </w:r>
      <w:r>
        <w:rPr>
          <w:rFonts w:ascii="Calibri" w:hAnsi="Calibri" w:eastAsia="Microsoft YaHei"/>
          <w:color w:val="111111"/>
        </w:rPr>
        <w:t>低矮三足、烟灰积垢、香枝稀少</w:t>
      </w:r>
    </w:p>
    <w:p>
      <w:r>
        <w:rPr>
          <w:rFonts w:ascii="Calibri" w:hAnsi="Calibri" w:eastAsia="Microsoft YaHei"/>
          <w:b/>
          <w:color w:val="23364A"/>
        </w:rPr>
        <w:t>避错：</w:t>
      </w:r>
      <w:r>
        <w:rPr>
          <w:rFonts w:ascii="Calibri" w:hAnsi="Calibri" w:eastAsia="Microsoft YaHei"/>
          <w:color w:val="111111"/>
        </w:rPr>
        <w:t>不做故宫级鎏金大香炉</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P02 铜/陶香炉. 低矮三足、烟灰积垢、香枝稀少.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P03｜油灯</w:t>
      </w:r>
    </w:p>
    <w:p>
      <w:r>
        <w:rPr>
          <w:rFonts w:ascii="Calibri" w:hAnsi="Calibri" w:eastAsia="Microsoft YaHei"/>
          <w:b/>
          <w:color w:val="23364A"/>
        </w:rPr>
        <w:t>使用段落：</w:t>
      </w:r>
      <w:r>
        <w:rPr>
          <w:rFonts w:ascii="Calibri" w:hAnsi="Calibri" w:eastAsia="Microsoft YaHei"/>
          <w:color w:val="111111"/>
        </w:rPr>
        <w:t>后世庙宇</w:t>
      </w:r>
    </w:p>
    <w:p>
      <w:r>
        <w:rPr>
          <w:rFonts w:ascii="Calibri" w:hAnsi="Calibri" w:eastAsia="Microsoft YaHei"/>
          <w:b/>
          <w:color w:val="23364A"/>
        </w:rPr>
        <w:t>材质与形制：</w:t>
      </w:r>
      <w:r>
        <w:rPr>
          <w:rFonts w:ascii="Calibri" w:hAnsi="Calibri" w:eastAsia="Microsoft YaHei"/>
          <w:color w:val="111111"/>
        </w:rPr>
        <w:t>单点琥珀火焰、油渍、风中轻颤</w:t>
      </w:r>
    </w:p>
    <w:p>
      <w:r>
        <w:rPr>
          <w:rFonts w:ascii="Calibri" w:hAnsi="Calibri" w:eastAsia="Microsoft YaHei"/>
          <w:b/>
          <w:color w:val="23364A"/>
        </w:rPr>
        <w:t>避错：</w:t>
      </w:r>
      <w:r>
        <w:rPr>
          <w:rFonts w:ascii="Calibri" w:hAnsi="Calibri" w:eastAsia="Microsoft YaHei"/>
          <w:color w:val="111111"/>
        </w:rPr>
        <w:t>不可像现代蜡烛阵列</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P03 油灯. 单点琥珀火焰、油渍、风中轻颤.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P04｜竹简与编绳</w:t>
      </w:r>
    </w:p>
    <w:p>
      <w:r>
        <w:rPr>
          <w:rFonts w:ascii="Calibri" w:hAnsi="Calibri" w:eastAsia="Microsoft YaHei"/>
          <w:b/>
          <w:color w:val="23364A"/>
        </w:rPr>
        <w:t>使用段落：</w:t>
      </w:r>
      <w:r>
        <w:rPr>
          <w:rFonts w:ascii="Calibri" w:hAnsi="Calibri" w:eastAsia="Microsoft YaHei"/>
          <w:color w:val="111111"/>
        </w:rPr>
        <w:t>会稽/齐/陶</w:t>
      </w:r>
    </w:p>
    <w:p>
      <w:r>
        <w:rPr>
          <w:rFonts w:ascii="Calibri" w:hAnsi="Calibri" w:eastAsia="Microsoft YaHei"/>
          <w:b/>
          <w:color w:val="23364A"/>
        </w:rPr>
        <w:t>材质与形制：</w:t>
      </w:r>
      <w:r>
        <w:rPr>
          <w:rFonts w:ascii="Calibri" w:hAnsi="Calibri" w:eastAsia="Microsoft YaHei"/>
          <w:color w:val="111111"/>
        </w:rPr>
        <w:t>窄竹片、墨迹、麻绳编联、边缘磨损</w:t>
      </w:r>
    </w:p>
    <w:p>
      <w:r>
        <w:rPr>
          <w:rFonts w:ascii="Calibri" w:hAnsi="Calibri" w:eastAsia="Microsoft YaHei"/>
          <w:b/>
          <w:color w:val="23364A"/>
        </w:rPr>
        <w:t>避错：</w:t>
      </w:r>
      <w:r>
        <w:rPr>
          <w:rFonts w:ascii="Calibri" w:hAnsi="Calibri" w:eastAsia="Microsoft YaHei"/>
          <w:color w:val="111111"/>
        </w:rPr>
        <w:t>不出现纸、印刷体和可辨现代汉字</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P04 竹简与编绳. 窄竹片、墨迹、麻绳编联、边缘磨损.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P05｜吴越式青铜剑</w:t>
      </w:r>
    </w:p>
    <w:p>
      <w:r>
        <w:rPr>
          <w:rFonts w:ascii="Calibri" w:hAnsi="Calibri" w:eastAsia="Microsoft YaHei"/>
          <w:b/>
          <w:color w:val="23364A"/>
        </w:rPr>
        <w:t>使用段落：</w:t>
      </w:r>
      <w:r>
        <w:rPr>
          <w:rFonts w:ascii="Calibri" w:hAnsi="Calibri" w:eastAsia="Microsoft YaHei"/>
          <w:color w:val="111111"/>
        </w:rPr>
        <w:t>会稽</w:t>
      </w:r>
    </w:p>
    <w:p>
      <w:r>
        <w:rPr>
          <w:rFonts w:ascii="Calibri" w:hAnsi="Calibri" w:eastAsia="Microsoft YaHei"/>
          <w:b/>
          <w:color w:val="23364A"/>
        </w:rPr>
        <w:t>材质与形制：</w:t>
      </w:r>
      <w:r>
        <w:rPr>
          <w:rFonts w:ascii="Calibri" w:hAnsi="Calibri" w:eastAsia="Microsoft YaHei"/>
          <w:color w:val="111111"/>
        </w:rPr>
        <w:t>约五十厘米以上、双刃、窄长、青铜暗绿、低调几何纹</w:t>
      </w:r>
    </w:p>
    <w:p>
      <w:r>
        <w:rPr>
          <w:rFonts w:ascii="Calibri" w:hAnsi="Calibri" w:eastAsia="Microsoft YaHei"/>
          <w:b/>
          <w:color w:val="23364A"/>
        </w:rPr>
        <w:t>避错：</w:t>
      </w:r>
      <w:r>
        <w:rPr>
          <w:rFonts w:ascii="Calibri" w:hAnsi="Calibri" w:eastAsia="Microsoft YaHei"/>
          <w:color w:val="111111"/>
        </w:rPr>
        <w:t>不做武侠长剑、汉剑或发光神器</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P05 吴越式青铜剑. 约五十厘米以上、双刃、窄长、青铜暗绿、低调几何纹.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P06｜戈矛与竹木盾</w:t>
      </w:r>
    </w:p>
    <w:p>
      <w:r>
        <w:rPr>
          <w:rFonts w:ascii="Calibri" w:hAnsi="Calibri" w:eastAsia="Microsoft YaHei"/>
          <w:b/>
          <w:color w:val="23364A"/>
        </w:rPr>
        <w:t>使用段落：</w:t>
      </w:r>
      <w:r>
        <w:rPr>
          <w:rFonts w:ascii="Calibri" w:hAnsi="Calibri" w:eastAsia="Microsoft YaHei"/>
          <w:color w:val="111111"/>
        </w:rPr>
        <w:t>会稽</w:t>
      </w:r>
    </w:p>
    <w:p>
      <w:r>
        <w:rPr>
          <w:rFonts w:ascii="Calibri" w:hAnsi="Calibri" w:eastAsia="Microsoft YaHei"/>
          <w:b/>
          <w:color w:val="23364A"/>
        </w:rPr>
        <w:t>材质与形制：</w:t>
      </w:r>
      <w:r>
        <w:rPr>
          <w:rFonts w:ascii="Calibri" w:hAnsi="Calibri" w:eastAsia="Microsoft YaHei"/>
          <w:color w:val="111111"/>
        </w:rPr>
        <w:t>木柄、青铜刃、漆革或竹木盾，雨水和泥点</w:t>
      </w:r>
    </w:p>
    <w:p>
      <w:r>
        <w:rPr>
          <w:rFonts w:ascii="Calibri" w:hAnsi="Calibri" w:eastAsia="Microsoft YaHei"/>
          <w:b/>
          <w:color w:val="23364A"/>
        </w:rPr>
        <w:t>避错：</w:t>
      </w:r>
      <w:r>
        <w:rPr>
          <w:rFonts w:ascii="Calibri" w:hAnsi="Calibri" w:eastAsia="Microsoft YaHei"/>
          <w:color w:val="111111"/>
        </w:rPr>
        <w:t>不做唐明甲械</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P06 戈矛与竹木盾. 木柄、青铜刃、漆革或竹木盾，雨水和泥点.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P07｜粮食容器</w:t>
      </w:r>
    </w:p>
    <w:p>
      <w:r>
        <w:rPr>
          <w:rFonts w:ascii="Calibri" w:hAnsi="Calibri" w:eastAsia="Microsoft YaHei"/>
          <w:b/>
          <w:color w:val="23364A"/>
        </w:rPr>
        <w:t>使用段落：</w:t>
      </w:r>
      <w:r>
        <w:rPr>
          <w:rFonts w:ascii="Calibri" w:hAnsi="Calibri" w:eastAsia="Microsoft YaHei"/>
          <w:color w:val="111111"/>
        </w:rPr>
        <w:t>全片</w:t>
      </w:r>
    </w:p>
    <w:p>
      <w:r>
        <w:rPr>
          <w:rFonts w:ascii="Calibri" w:hAnsi="Calibri" w:eastAsia="Microsoft YaHei"/>
          <w:b/>
          <w:color w:val="23364A"/>
        </w:rPr>
        <w:t>材质与形制：</w:t>
      </w:r>
      <w:r>
        <w:rPr>
          <w:rFonts w:ascii="Calibri" w:hAnsi="Calibri" w:eastAsia="Microsoft YaHei"/>
          <w:color w:val="111111"/>
        </w:rPr>
        <w:t>竹编大筐、陶瓮、无字布袋、木斗；稻粟豆可区分</w:t>
      </w:r>
    </w:p>
    <w:p>
      <w:r>
        <w:rPr>
          <w:rFonts w:ascii="Calibri" w:hAnsi="Calibri" w:eastAsia="Microsoft YaHei"/>
          <w:b/>
          <w:color w:val="23364A"/>
        </w:rPr>
        <w:t>避错：</w:t>
      </w:r>
      <w:r>
        <w:rPr>
          <w:rFonts w:ascii="Calibri" w:hAnsi="Calibri" w:eastAsia="Microsoft YaHei"/>
          <w:color w:val="111111"/>
        </w:rPr>
        <w:t>不出现塑料、现代麻袋印刷</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P07 粮食容器. 竹编大筐、陶瓮、无字布袋、木斗；稻粟豆可区分.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P08｜木制仓门</w:t>
      </w:r>
    </w:p>
    <w:p>
      <w:r>
        <w:rPr>
          <w:rFonts w:ascii="Calibri" w:hAnsi="Calibri" w:eastAsia="Microsoft YaHei"/>
          <w:b/>
          <w:color w:val="23364A"/>
        </w:rPr>
        <w:t>使用段落：</w:t>
      </w:r>
      <w:r>
        <w:rPr>
          <w:rFonts w:ascii="Calibri" w:hAnsi="Calibri" w:eastAsia="Microsoft YaHei"/>
          <w:color w:val="111111"/>
        </w:rPr>
        <w:t>会稽/陶</w:t>
      </w:r>
    </w:p>
    <w:p>
      <w:r>
        <w:rPr>
          <w:rFonts w:ascii="Calibri" w:hAnsi="Calibri" w:eastAsia="Microsoft YaHei"/>
          <w:b/>
          <w:color w:val="23364A"/>
        </w:rPr>
        <w:t>材质与形制：</w:t>
      </w:r>
      <w:r>
        <w:rPr>
          <w:rFonts w:ascii="Calibri" w:hAnsi="Calibri" w:eastAsia="Microsoft YaHei"/>
          <w:color w:val="111111"/>
        </w:rPr>
        <w:t>粗木拼板、横闩、榫卯、长期磨损</w:t>
      </w:r>
    </w:p>
    <w:p>
      <w:r>
        <w:rPr>
          <w:rFonts w:ascii="Calibri" w:hAnsi="Calibri" w:eastAsia="Microsoft YaHei"/>
          <w:b/>
          <w:color w:val="23364A"/>
        </w:rPr>
        <w:t>避错：</w:t>
      </w:r>
      <w:r>
        <w:rPr>
          <w:rFonts w:ascii="Calibri" w:hAnsi="Calibri" w:eastAsia="Microsoft YaHei"/>
          <w:color w:val="111111"/>
        </w:rPr>
        <w:t>不加明清门钉阵和铜兽首</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P08 木制仓门. 粗木拼板、横闩、榫卯、长期磨损.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P09｜窄木舟</w:t>
      </w:r>
    </w:p>
    <w:p>
      <w:r>
        <w:rPr>
          <w:rFonts w:ascii="Calibri" w:hAnsi="Calibri" w:eastAsia="Microsoft YaHei"/>
          <w:b/>
          <w:color w:val="23364A"/>
        </w:rPr>
        <w:t>使用段落：</w:t>
      </w:r>
      <w:r>
        <w:rPr>
          <w:rFonts w:ascii="Calibri" w:hAnsi="Calibri" w:eastAsia="Microsoft YaHei"/>
          <w:color w:val="111111"/>
        </w:rPr>
        <w:t>越/陶</w:t>
      </w:r>
    </w:p>
    <w:p>
      <w:r>
        <w:rPr>
          <w:rFonts w:ascii="Calibri" w:hAnsi="Calibri" w:eastAsia="Microsoft YaHei"/>
          <w:b/>
          <w:color w:val="23364A"/>
        </w:rPr>
        <w:t>材质与形制：</w:t>
      </w:r>
      <w:r>
        <w:rPr>
          <w:rFonts w:ascii="Calibri" w:hAnsi="Calibri" w:eastAsia="Microsoft YaHei"/>
          <w:color w:val="111111"/>
        </w:rPr>
        <w:t>浅吃水、木板修补、桨橹、麻绳</w:t>
      </w:r>
    </w:p>
    <w:p>
      <w:r>
        <w:rPr>
          <w:rFonts w:ascii="Calibri" w:hAnsi="Calibri" w:eastAsia="Microsoft YaHei"/>
          <w:b/>
          <w:color w:val="23364A"/>
        </w:rPr>
        <w:t>避错：</w:t>
      </w:r>
      <w:r>
        <w:rPr>
          <w:rFonts w:ascii="Calibri" w:hAnsi="Calibri" w:eastAsia="Microsoft YaHei"/>
          <w:color w:val="111111"/>
        </w:rPr>
        <w:t>不做大型楼船和明式帆船</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P09 窄木舟. 浅吃水、木板修补、桨橹、麻绳.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P10｜漆木印信匣</w:t>
      </w:r>
    </w:p>
    <w:p>
      <w:r>
        <w:rPr>
          <w:rFonts w:ascii="Calibri" w:hAnsi="Calibri" w:eastAsia="Microsoft YaHei"/>
          <w:b/>
          <w:color w:val="23364A"/>
        </w:rPr>
        <w:t>使用段落：</w:t>
      </w:r>
      <w:r>
        <w:rPr>
          <w:rFonts w:ascii="Calibri" w:hAnsi="Calibri" w:eastAsia="Microsoft YaHei"/>
          <w:color w:val="111111"/>
        </w:rPr>
        <w:t>入齐辞相</w:t>
      </w:r>
    </w:p>
    <w:p>
      <w:r>
        <w:rPr>
          <w:rFonts w:ascii="Calibri" w:hAnsi="Calibri" w:eastAsia="Microsoft YaHei"/>
          <w:b/>
          <w:color w:val="23364A"/>
        </w:rPr>
        <w:t>材质与形制：</w:t>
      </w:r>
      <w:r>
        <w:rPr>
          <w:rFonts w:ascii="Calibri" w:hAnsi="Calibri" w:eastAsia="Microsoft YaHei"/>
          <w:color w:val="111111"/>
        </w:rPr>
        <w:t>黑红漆、尺寸克制、丝/麻绦带</w:t>
      </w:r>
    </w:p>
    <w:p>
      <w:r>
        <w:rPr>
          <w:rFonts w:ascii="Calibri" w:hAnsi="Calibri" w:eastAsia="Microsoft YaHei"/>
          <w:b/>
          <w:color w:val="23364A"/>
        </w:rPr>
        <w:t>避错：</w:t>
      </w:r>
      <w:r>
        <w:rPr>
          <w:rFonts w:ascii="Calibri" w:hAnsi="Calibri" w:eastAsia="Microsoft YaHei"/>
          <w:color w:val="111111"/>
        </w:rPr>
        <w:t>不做皇帝玉玺和龙纹金盒</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P10 漆木印信匣. 黑红漆、尺寸克制、丝/麻绦带.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P11｜青铜印信</w:t>
      </w:r>
    </w:p>
    <w:p>
      <w:r>
        <w:rPr>
          <w:rFonts w:ascii="Calibri" w:hAnsi="Calibri" w:eastAsia="Microsoft YaHei"/>
          <w:b/>
          <w:color w:val="23364A"/>
        </w:rPr>
        <w:t>使用段落：</w:t>
      </w:r>
      <w:r>
        <w:rPr>
          <w:rFonts w:ascii="Calibri" w:hAnsi="Calibri" w:eastAsia="Microsoft YaHei"/>
          <w:color w:val="111111"/>
        </w:rPr>
        <w:t>入齐辞相</w:t>
      </w:r>
    </w:p>
    <w:p>
      <w:r>
        <w:rPr>
          <w:rFonts w:ascii="Calibri" w:hAnsi="Calibri" w:eastAsia="Microsoft YaHei"/>
          <w:b/>
          <w:color w:val="23364A"/>
        </w:rPr>
        <w:t>材质与形制：</w:t>
      </w:r>
      <w:r>
        <w:rPr>
          <w:rFonts w:ascii="Calibri" w:hAnsi="Calibri" w:eastAsia="Microsoft YaHei"/>
          <w:color w:val="111111"/>
        </w:rPr>
        <w:t>方形小印、桥钮或简朴钮、青铜旧色</w:t>
      </w:r>
    </w:p>
    <w:p>
      <w:r>
        <w:rPr>
          <w:rFonts w:ascii="Calibri" w:hAnsi="Calibri" w:eastAsia="Microsoft YaHei"/>
          <w:b/>
          <w:color w:val="23364A"/>
        </w:rPr>
        <w:t>避错：</w:t>
      </w:r>
      <w:r>
        <w:rPr>
          <w:rFonts w:ascii="Calibri" w:hAnsi="Calibri" w:eastAsia="Microsoft YaHei"/>
          <w:color w:val="111111"/>
        </w:rPr>
        <w:t>不放大成掌心巨印</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P11 青铜印信. 方形小印、桥钮或简朴钮、青铜旧色.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P12｜农具</w:t>
      </w:r>
    </w:p>
    <w:p>
      <w:r>
        <w:rPr>
          <w:rFonts w:ascii="Calibri" w:hAnsi="Calibri" w:eastAsia="Microsoft YaHei"/>
          <w:b/>
          <w:color w:val="23364A"/>
        </w:rPr>
        <w:t>使用段落：</w:t>
      </w:r>
      <w:r>
        <w:rPr>
          <w:rFonts w:ascii="Calibri" w:hAnsi="Calibri" w:eastAsia="Microsoft YaHei"/>
          <w:color w:val="111111"/>
        </w:rPr>
        <w:t>齐地</w:t>
      </w:r>
    </w:p>
    <w:p>
      <w:r>
        <w:rPr>
          <w:rFonts w:ascii="Calibri" w:hAnsi="Calibri" w:eastAsia="Microsoft YaHei"/>
          <w:b/>
          <w:color w:val="23364A"/>
        </w:rPr>
        <w:t>材质与形制：</w:t>
      </w:r>
      <w:r>
        <w:rPr>
          <w:rFonts w:ascii="Calibri" w:hAnsi="Calibri" w:eastAsia="Microsoft YaHei"/>
          <w:color w:val="111111"/>
        </w:rPr>
        <w:t>木柄锄、木犁、局部铁刃、筛具</w:t>
      </w:r>
    </w:p>
    <w:p>
      <w:r>
        <w:rPr>
          <w:rFonts w:ascii="Calibri" w:hAnsi="Calibri" w:eastAsia="Microsoft YaHei"/>
          <w:b/>
          <w:color w:val="23364A"/>
        </w:rPr>
        <w:t>避错：</w:t>
      </w:r>
      <w:r>
        <w:rPr>
          <w:rFonts w:ascii="Calibri" w:hAnsi="Calibri" w:eastAsia="Microsoft YaHei"/>
          <w:color w:val="111111"/>
        </w:rPr>
        <w:t>避免现代钢材和机械结构</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P12 农具. 木柄锄、木犁、局部铁刃、筛具.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P13｜环权天平</w:t>
      </w:r>
    </w:p>
    <w:p>
      <w:r>
        <w:rPr>
          <w:rFonts w:ascii="Calibri" w:hAnsi="Calibri" w:eastAsia="Microsoft YaHei"/>
          <w:b/>
          <w:color w:val="23364A"/>
        </w:rPr>
        <w:t>使用段落：</w:t>
      </w:r>
      <w:r>
        <w:rPr>
          <w:rFonts w:ascii="Calibri" w:hAnsi="Calibri" w:eastAsia="Microsoft YaHei"/>
          <w:color w:val="111111"/>
        </w:rPr>
        <w:t>陶地市场</w:t>
      </w:r>
    </w:p>
    <w:p>
      <w:r>
        <w:rPr>
          <w:rFonts w:ascii="Calibri" w:hAnsi="Calibri" w:eastAsia="Microsoft YaHei"/>
          <w:b/>
          <w:color w:val="23364A"/>
        </w:rPr>
        <w:t>材质与形制：</w:t>
      </w:r>
      <w:r>
        <w:rPr>
          <w:rFonts w:ascii="Calibri" w:hAnsi="Calibri" w:eastAsia="Microsoft YaHei"/>
          <w:color w:val="111111"/>
        </w:rPr>
        <w:t>木衡杆、青铜盘、大小环形权</w:t>
      </w:r>
    </w:p>
    <w:p>
      <w:r>
        <w:rPr>
          <w:rFonts w:ascii="Calibri" w:hAnsi="Calibri" w:eastAsia="Microsoft YaHei"/>
          <w:b/>
          <w:color w:val="23364A"/>
        </w:rPr>
        <w:t>避错：</w:t>
      </w:r>
      <w:r>
        <w:rPr>
          <w:rFonts w:ascii="Calibri" w:hAnsi="Calibri" w:eastAsia="Microsoft YaHei"/>
          <w:color w:val="111111"/>
        </w:rPr>
        <w:t>不做西式天平或现代砝码</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P13 环权天平. 木衡杆、青铜盘、大小环形权.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P14｜容量器</w:t>
      </w:r>
    </w:p>
    <w:p>
      <w:r>
        <w:rPr>
          <w:rFonts w:ascii="Calibri" w:hAnsi="Calibri" w:eastAsia="Microsoft YaHei"/>
          <w:b/>
          <w:color w:val="23364A"/>
        </w:rPr>
        <w:t>使用段落：</w:t>
      </w:r>
      <w:r>
        <w:rPr>
          <w:rFonts w:ascii="Calibri" w:hAnsi="Calibri" w:eastAsia="Microsoft YaHei"/>
          <w:color w:val="111111"/>
        </w:rPr>
        <w:t>陶地市场</w:t>
      </w:r>
    </w:p>
    <w:p>
      <w:r>
        <w:rPr>
          <w:rFonts w:ascii="Calibri" w:hAnsi="Calibri" w:eastAsia="Microsoft YaHei"/>
          <w:b/>
          <w:color w:val="23364A"/>
        </w:rPr>
        <w:t>材质与形制：</w:t>
      </w:r>
      <w:r>
        <w:rPr>
          <w:rFonts w:ascii="Calibri" w:hAnsi="Calibri" w:eastAsia="Microsoft YaHei"/>
          <w:color w:val="111111"/>
        </w:rPr>
        <w:t>青铜或木陶量器，口沿磨损，尺寸统一</w:t>
      </w:r>
    </w:p>
    <w:p>
      <w:r>
        <w:rPr>
          <w:rFonts w:ascii="Calibri" w:hAnsi="Calibri" w:eastAsia="Microsoft YaHei"/>
          <w:b/>
          <w:color w:val="23364A"/>
        </w:rPr>
        <w:t>避错：</w:t>
      </w:r>
      <w:r>
        <w:rPr>
          <w:rFonts w:ascii="Calibri" w:hAnsi="Calibri" w:eastAsia="Microsoft YaHei"/>
          <w:color w:val="111111"/>
        </w:rPr>
        <w:t>避免秦以后统一制度符号</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P14 容量器. 青铜或木陶量器，口沿磨损，尺寸统一.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P15｜木车</w:t>
      </w:r>
    </w:p>
    <w:p>
      <w:r>
        <w:rPr>
          <w:rFonts w:ascii="Calibri" w:hAnsi="Calibri" w:eastAsia="Microsoft YaHei"/>
          <w:b/>
          <w:color w:val="23364A"/>
        </w:rPr>
        <w:t>使用段落：</w:t>
      </w:r>
      <w:r>
        <w:rPr>
          <w:rFonts w:ascii="Calibri" w:hAnsi="Calibri" w:eastAsia="Microsoft YaHei"/>
          <w:color w:val="111111"/>
        </w:rPr>
        <w:t>陶地商路</w:t>
      </w:r>
    </w:p>
    <w:p>
      <w:r>
        <w:rPr>
          <w:rFonts w:ascii="Calibri" w:hAnsi="Calibri" w:eastAsia="Microsoft YaHei"/>
          <w:b/>
          <w:color w:val="23364A"/>
        </w:rPr>
        <w:t>材质与形制：</w:t>
      </w:r>
      <w:r>
        <w:rPr>
          <w:rFonts w:ascii="Calibri" w:hAnsi="Calibri" w:eastAsia="Microsoft YaHei"/>
          <w:color w:val="111111"/>
        </w:rPr>
        <w:t>实木轮、木轴、麻绳固定、牛牵引</w:t>
      </w:r>
    </w:p>
    <w:p>
      <w:r>
        <w:rPr>
          <w:rFonts w:ascii="Calibri" w:hAnsi="Calibri" w:eastAsia="Microsoft YaHei"/>
          <w:b/>
          <w:color w:val="23364A"/>
        </w:rPr>
        <w:t>避错：</w:t>
      </w:r>
      <w:r>
        <w:rPr>
          <w:rFonts w:ascii="Calibri" w:hAnsi="Calibri" w:eastAsia="Microsoft YaHei"/>
          <w:color w:val="111111"/>
        </w:rPr>
        <w:t>不做马车竞速或铁轮现代车</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P15 木车. 实木轮、木轴、麻绳固定、牛牵引.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P16｜布帛卷</w:t>
      </w:r>
    </w:p>
    <w:p>
      <w:r>
        <w:rPr>
          <w:rFonts w:ascii="Calibri" w:hAnsi="Calibri" w:eastAsia="Microsoft YaHei"/>
          <w:b/>
          <w:color w:val="23364A"/>
        </w:rPr>
        <w:t>使用段落：</w:t>
      </w:r>
      <w:r>
        <w:rPr>
          <w:rFonts w:ascii="Calibri" w:hAnsi="Calibri" w:eastAsia="Microsoft YaHei"/>
          <w:color w:val="111111"/>
        </w:rPr>
        <w:t>陶地</w:t>
      </w:r>
    </w:p>
    <w:p>
      <w:r>
        <w:rPr>
          <w:rFonts w:ascii="Calibri" w:hAnsi="Calibri" w:eastAsia="Microsoft YaHei"/>
          <w:b/>
          <w:color w:val="23364A"/>
        </w:rPr>
        <w:t>材质与形制：</w:t>
      </w:r>
      <w:r>
        <w:rPr>
          <w:rFonts w:ascii="Calibri" w:hAnsi="Calibri" w:eastAsia="Microsoft YaHei"/>
          <w:color w:val="111111"/>
        </w:rPr>
        <w:t>灰蓝、米白、暗朱粗细织物，麻绳束扎</w:t>
      </w:r>
    </w:p>
    <w:p>
      <w:r>
        <w:rPr>
          <w:rFonts w:ascii="Calibri" w:hAnsi="Calibri" w:eastAsia="Microsoft YaHei"/>
          <w:b/>
          <w:color w:val="23364A"/>
        </w:rPr>
        <w:t>避错：</w:t>
      </w:r>
      <w:r>
        <w:rPr>
          <w:rFonts w:ascii="Calibri" w:hAnsi="Calibri" w:eastAsia="Microsoft YaHei"/>
          <w:color w:val="111111"/>
        </w:rPr>
        <w:t>不出现亮缎、蕾丝和印花棉布</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P16 布帛卷. 灰蓝、米白、暗朱粗细织物，麻绳束扎.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P17｜陶器组</w:t>
      </w:r>
    </w:p>
    <w:p>
      <w:r>
        <w:rPr>
          <w:rFonts w:ascii="Calibri" w:hAnsi="Calibri" w:eastAsia="Microsoft YaHei"/>
          <w:b/>
          <w:color w:val="23364A"/>
        </w:rPr>
        <w:t>使用段落：</w:t>
      </w:r>
      <w:r>
        <w:rPr>
          <w:rFonts w:ascii="Calibri" w:hAnsi="Calibri" w:eastAsia="Microsoft YaHei"/>
          <w:color w:val="111111"/>
        </w:rPr>
        <w:t>齐/陶</w:t>
      </w:r>
    </w:p>
    <w:p>
      <w:r>
        <w:rPr>
          <w:rFonts w:ascii="Calibri" w:hAnsi="Calibri" w:eastAsia="Microsoft YaHei"/>
          <w:b/>
          <w:color w:val="23364A"/>
        </w:rPr>
        <w:t>材质与形制：</w:t>
      </w:r>
      <w:r>
        <w:rPr>
          <w:rFonts w:ascii="Calibri" w:hAnsi="Calibri" w:eastAsia="Microsoft YaHei"/>
          <w:color w:val="111111"/>
        </w:rPr>
        <w:t>灰陶、红陶、素面瓮罐与少量黑红漆器</w:t>
      </w:r>
    </w:p>
    <w:p>
      <w:r>
        <w:rPr>
          <w:rFonts w:ascii="Calibri" w:hAnsi="Calibri" w:eastAsia="Microsoft YaHei"/>
          <w:b/>
          <w:color w:val="23364A"/>
        </w:rPr>
        <w:t>避错：</w:t>
      </w:r>
      <w:r>
        <w:rPr>
          <w:rFonts w:ascii="Calibri" w:hAnsi="Calibri" w:eastAsia="Microsoft YaHei"/>
          <w:color w:val="111111"/>
        </w:rPr>
        <w:t>不出现瓷器、青花和玻璃</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P17 陶器组. 灰陶、红陶、素面瓮罐与少量黑红漆器.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P18｜谷种</w:t>
      </w:r>
    </w:p>
    <w:p>
      <w:r>
        <w:rPr>
          <w:rFonts w:ascii="Calibri" w:hAnsi="Calibri" w:eastAsia="Microsoft YaHei"/>
          <w:b/>
          <w:color w:val="23364A"/>
        </w:rPr>
        <w:t>使用段落：</w:t>
      </w:r>
      <w:r>
        <w:rPr>
          <w:rFonts w:ascii="Calibri" w:hAnsi="Calibri" w:eastAsia="Microsoft YaHei"/>
          <w:color w:val="111111"/>
        </w:rPr>
        <w:t>首尾寓言</w:t>
      </w:r>
    </w:p>
    <w:p>
      <w:r>
        <w:rPr>
          <w:rFonts w:ascii="Calibri" w:hAnsi="Calibri" w:eastAsia="Microsoft YaHei"/>
          <w:b/>
          <w:color w:val="23364A"/>
        </w:rPr>
        <w:t>材质与形制：</w:t>
      </w:r>
      <w:r>
        <w:rPr>
          <w:rFonts w:ascii="Calibri" w:hAnsi="Calibri" w:eastAsia="Microsoft YaHei"/>
          <w:color w:val="111111"/>
        </w:rPr>
        <w:t>稻、粟、豆等自然不规则颗粒，干燥真实</w:t>
      </w:r>
    </w:p>
    <w:p>
      <w:r>
        <w:rPr>
          <w:rFonts w:ascii="Calibri" w:hAnsi="Calibri" w:eastAsia="Microsoft YaHei"/>
          <w:b/>
          <w:color w:val="23364A"/>
        </w:rPr>
        <w:t>避错：</w:t>
      </w:r>
      <w:r>
        <w:rPr>
          <w:rFonts w:ascii="Calibri" w:hAnsi="Calibri" w:eastAsia="Microsoft YaHei"/>
          <w:color w:val="111111"/>
        </w:rPr>
        <w:t>不做金色发光种子</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P18 谷种. 稻、粟、豆等自然不规则颗粒，干燥真实.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P19｜水滴/水纹</w:t>
      </w:r>
    </w:p>
    <w:p>
      <w:r>
        <w:rPr>
          <w:rFonts w:ascii="Calibri" w:hAnsi="Calibri" w:eastAsia="Microsoft YaHei"/>
          <w:b/>
          <w:color w:val="23364A"/>
        </w:rPr>
        <w:t>使用段落：</w:t>
      </w:r>
      <w:r>
        <w:rPr>
          <w:rFonts w:ascii="Calibri" w:hAnsi="Calibri" w:eastAsia="Microsoft YaHei"/>
          <w:color w:val="111111"/>
        </w:rPr>
        <w:t>贯穿母题</w:t>
      </w:r>
    </w:p>
    <w:p>
      <w:r>
        <w:rPr>
          <w:rFonts w:ascii="Calibri" w:hAnsi="Calibri" w:eastAsia="Microsoft YaHei"/>
          <w:b/>
          <w:color w:val="23364A"/>
        </w:rPr>
        <w:t>材质与形制：</w:t>
      </w:r>
      <w:r>
        <w:rPr>
          <w:rFonts w:ascii="Calibri" w:hAnsi="Calibri" w:eastAsia="Microsoft YaHei"/>
          <w:color w:val="111111"/>
        </w:rPr>
        <w:t>真实表面张力、同心波纹、极慢镜头</w:t>
      </w:r>
    </w:p>
    <w:p>
      <w:r>
        <w:rPr>
          <w:rFonts w:ascii="Calibri" w:hAnsi="Calibri" w:eastAsia="Microsoft YaHei"/>
          <w:b/>
          <w:color w:val="23364A"/>
        </w:rPr>
        <w:t>避错：</w:t>
      </w:r>
      <w:r>
        <w:rPr>
          <w:rFonts w:ascii="Calibri" w:hAnsi="Calibri" w:eastAsia="Microsoft YaHei"/>
          <w:color w:val="111111"/>
        </w:rPr>
        <w:t>不做魔法粒子</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P19 水滴/水纹. 真实表面张力、同心波纹、极慢镜头.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2"/>
      </w:pPr>
      <w:r>
        <w:t>P20｜麻绳与封缄</w:t>
      </w:r>
    </w:p>
    <w:p>
      <w:r>
        <w:rPr>
          <w:rFonts w:ascii="Calibri" w:hAnsi="Calibri" w:eastAsia="Microsoft YaHei"/>
          <w:b/>
          <w:color w:val="23364A"/>
        </w:rPr>
        <w:t>使用段落：</w:t>
      </w:r>
      <w:r>
        <w:rPr>
          <w:rFonts w:ascii="Calibri" w:hAnsi="Calibri" w:eastAsia="Microsoft YaHei"/>
          <w:color w:val="111111"/>
        </w:rPr>
        <w:t>舟运/仓储</w:t>
      </w:r>
    </w:p>
    <w:p>
      <w:r>
        <w:rPr>
          <w:rFonts w:ascii="Calibri" w:hAnsi="Calibri" w:eastAsia="Microsoft YaHei"/>
          <w:b/>
          <w:color w:val="23364A"/>
        </w:rPr>
        <w:t>材质与形制：</w:t>
      </w:r>
      <w:r>
        <w:rPr>
          <w:rFonts w:ascii="Calibri" w:hAnsi="Calibri" w:eastAsia="Microsoft YaHei"/>
          <w:color w:val="111111"/>
        </w:rPr>
        <w:t>毛纤维清晰、结法简朴、泥封可选</w:t>
      </w:r>
    </w:p>
    <w:p>
      <w:r>
        <w:rPr>
          <w:rFonts w:ascii="Calibri" w:hAnsi="Calibri" w:eastAsia="Microsoft YaHei"/>
          <w:b/>
          <w:color w:val="23364A"/>
        </w:rPr>
        <w:t>避错：</w:t>
      </w:r>
      <w:r>
        <w:rPr>
          <w:rFonts w:ascii="Calibri" w:hAnsi="Calibri" w:eastAsia="Microsoft YaHei"/>
          <w:color w:val="111111"/>
        </w:rPr>
        <w:t>不出现尼龙绳、金属锁扣</w:t>
      </w:r>
    </w:p>
    <w:p>
      <w:pPr>
        <w:pStyle w:val="PromptBlock"/>
        <w:shd w:fill="F7F3EB"/>
        <w:pBdr>
          <w:left w:val="single" w:sz="16" w:space="8" w:color="A87832"/>
        </w:pBdr>
      </w:pPr>
      <w:r>
        <w:rPr>
          <w:rFonts w:ascii="Calibri" w:hAnsi="Calibri" w:eastAsia="Microsoft YaHei"/>
          <w:b/>
          <w:color w:val="A87832"/>
          <w:sz w:val="18"/>
        </w:rPr>
        <w:t>道具资产 Prompt｜可直接复制</w:t>
        <w:br/>
      </w:r>
      <w:r>
        <w:rPr>
          <w:rFonts w:ascii="Calibri" w:hAnsi="Calibri" w:eastAsia="Microsoft YaHei"/>
          <w:color w:val="23364A"/>
          <w:sz w:val="18"/>
        </w:rPr>
        <w:t>Museum catalog prop reference of ancient Chinese object P20 麻绳与封缄. 毛纤维清晰、结法简朴、泥封可选. Show isolated front, side, top and three-quarter views, one scale comparison beside an adult hand, and two macro material details. Neutral warm-gray background, physically believable age, hand-crafted construction, no labels or modern text. museum-grade historical cinematic realism, late Spring and Autumn to early Warring States material culture, ancient China, restrained Eastern visual language, natural human proportions, lived-in hand-crafted materials, muted mineral and plant-dye palette, soft atmospheric depth, subtle 35mm film grain, controlled highlights, deep but detailed shadows, realistic skin and textile microtexture, cinematic 16:9, no spectacle for its own sake</w:t>
      </w:r>
    </w:p>
    <w:p>
      <w:pPr>
        <w:pStyle w:val="PromptBlock"/>
        <w:shd w:fill="F7F3EB"/>
        <w:pBdr>
          <w:left w:val="single" w:sz="16" w:space="8" w:color="A87832"/>
        </w:pBdr>
      </w:pPr>
      <w:r>
        <w:rPr>
          <w:rFonts w:ascii="Calibri" w:hAnsi="Calibri" w:eastAsia="Microsoft YaHei"/>
          <w:b/>
          <w:color w:val="A87832"/>
          <w:sz w:val="18"/>
        </w:rPr>
        <w:t>Negative Prompt</w:t>
        <w:br/>
      </w:r>
      <w:r>
        <w:rPr>
          <w:rFonts w:ascii="Calibri" w:hAnsi="Calibri" w:eastAsia="Microsoft YaHei"/>
          <w:color w:val="23364A"/>
          <w:sz w:val="18"/>
        </w:rPr>
        <w:t>anachronistic Tang Song Ming Qing architecture, imperial palace, bright red columns, glazed roof tiles, dragon throne, Qing queue hairstyle, Ming official hat, fantasy armor, wuxia costume, xianxia magic, glowing aura, giant gold ingot, flying coins, modern paper, printed book, modern text, blue-and-white porcelain, glass window, plastic, nylon rope, industrial warehouse, modern storefront, perfect polished wood, oversaturated orange and teal, plastic skin, beauty filter, excessive beard, duplicated people, extra fingers, fused hands, asymmetrical eyes, warped weapon, unreadable text, watermark, logo</w:t>
      </w:r>
    </w:p>
    <w:p>
      <w:pPr>
        <w:pStyle w:val="Heading1"/>
      </w:pPr>
      <w:r>
        <w:t>6. 道具完成检查</w:t>
      </w:r>
    </w:p>
    <w:p>
      <w:pPr>
        <w:pStyle w:val="ListBullet"/>
      </w:pPr>
      <w:r>
        <w:rPr>
          <w:rFonts w:ascii="Calibri" w:hAnsi="Calibri" w:eastAsia="Microsoft YaHei"/>
          <w:color w:val="111111"/>
        </w:rPr>
        <w:t>印信大小真实，不像皇帝玉玺；印匣无龙纹。</w:t>
      </w:r>
    </w:p>
    <w:p>
      <w:pPr>
        <w:pStyle w:val="ListBullet"/>
      </w:pPr>
      <w:r>
        <w:rPr>
          <w:rFonts w:ascii="Calibri" w:hAnsi="Calibri" w:eastAsia="Microsoft YaHei"/>
          <w:color w:val="111111"/>
        </w:rPr>
        <w:t>竹简无纸张、线装书和可辨现代字体。</w:t>
      </w:r>
    </w:p>
    <w:p>
      <w:pPr>
        <w:pStyle w:val="ListBullet"/>
      </w:pPr>
      <w:r>
        <w:rPr>
          <w:rFonts w:ascii="Calibri" w:hAnsi="Calibri" w:eastAsia="Microsoft YaHei"/>
          <w:color w:val="111111"/>
        </w:rPr>
        <w:t>粮食、布帛、陶器和衡器能表现交易，不依赖金元宝。</w:t>
      </w:r>
    </w:p>
    <w:p>
      <w:pPr>
        <w:pStyle w:val="ListBullet"/>
      </w:pPr>
      <w:r>
        <w:rPr>
          <w:rFonts w:ascii="Calibri" w:hAnsi="Calibri" w:eastAsia="Microsoft YaHei"/>
          <w:color w:val="111111"/>
        </w:rPr>
        <w:t>仓门、舟、车和衡器均有正侧俯三视图及成人手/人体比例。</w:t>
      </w:r>
    </w:p>
    <w:p>
      <w:pPr>
        <w:pStyle w:val="ListBullet"/>
      </w:pPr>
      <w:r>
        <w:rPr>
          <w:rFonts w:ascii="Calibri" w:hAnsi="Calibri" w:eastAsia="Microsoft YaHei"/>
          <w:color w:val="111111"/>
        </w:rPr>
        <w:t>特写道具先修复形制再进入镜头生成。</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27D"/>
        <w:sz w:val="18"/>
      </w:rPr>
      <w:t xml:space="preserve">第 </w:t>
    </w:r>
    <w:fldSimple w:instr="PAGE">
      <w:r>
        <w:t>1</w:t>
      </w:r>
    </w:fldSimple>
    <w:r>
      <w:rPr>
        <w:rFonts w:ascii="Calibri" w:hAnsi="Calibri" w:eastAsia="Microsoft YaHei"/>
        <w:color w:val="6672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27D"/>
        <w:sz w:val="17"/>
      </w:rPr>
      <w:t>财神范蠡 · AIGC 视觉制作圣经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140" w:line="276" w:lineRule="auto"/>
      <w:ind w:left="259" w:right="173"/>
    </w:pPr>
    <w:rPr>
      <w:rFonts w:ascii="Calibri" w:hAnsi="Calibri" w:eastAsia="Microsoft YaHei"/>
      <w:color w:val="23364A"/>
      <w:sz w:val="18"/>
    </w:rPr>
  </w:style>
  <w:style w:type="paragraph" w:customStyle="1" w:styleId="ShotMeta">
    <w:name w:val="Shot Meta"/>
    <w:pPr>
      <w:keepNext/>
      <w:spacing w:before="0" w:after="100"/>
    </w:pPr>
    <w:rPr>
      <w:rFonts w:ascii="Calibri" w:hAnsi="Calibri" w:eastAsia="Microsoft YaHei"/>
      <w:color w:val="6672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第四步｜服装道具材质与生成提示词｜《散尽千金的人，为什么成了财神？》</dc:title>
  <dc:subject>生成服装拆分、先秦材质板和二十类关键道具资产。</dc:subject>
  <dc:creator>Codex</dc:creator>
  <cp:keywords>范蠡, 财神, AIGC视频, 分步制作, 提示词</cp:keywords>
  <dc:description>generated by python-docx</dc:description>
  <cp:lastModifiedBy/>
  <cp:revision>1</cp:revision>
  <dcterms:created xsi:type="dcterms:W3CDTF">2013-12-23T23:15:00Z</dcterms:created>
  <dcterms:modified xsi:type="dcterms:W3CDTF">2013-12-23T23:15:00Z</dcterms:modified>
  <cp:category/>
</cp:coreProperties>
</file>