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320"/>
        <w:jc w:val="center"/>
      </w:pPr>
      <w:r>
        <w:rPr>
          <w:rFonts w:ascii="Calibri" w:hAnsi="Calibri" w:eastAsia="Microsoft YaHei"/>
          <w:b/>
          <w:color w:val="A87832"/>
          <w:sz w:val="24"/>
        </w:rPr>
        <w:t>STEP 08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3364A"/>
          <w:sz w:val="50"/>
        </w:rPr>
        <w:t>第八步｜质检修复与最终交付</w:t>
      </w:r>
    </w:p>
    <w:p>
      <w:pPr>
        <w:spacing w:after="560"/>
        <w:ind w:left="936" w:right="936"/>
        <w:jc w:val="center"/>
      </w:pPr>
      <w:r>
        <w:rPr>
          <w:rFonts w:ascii="Calibri" w:hAnsi="Calibri" w:eastAsia="Microsoft YaHei"/>
          <w:color w:val="1F4D78"/>
          <w:sz w:val="24"/>
        </w:rPr>
        <w:t>逐项检查时代、人物、手部、连续性、声音、字幕和导出文件。</w:t>
      </w:r>
    </w:p>
    <w:p>
      <w:pPr>
        <w:spacing w:after="960"/>
        <w:jc w:val="center"/>
      </w:pPr>
      <w:r>
        <w:rPr>
          <w:rFonts w:ascii="Calibri" w:hAnsi="Calibri" w:eastAsia="Microsoft YaHei"/>
          <w:b/>
          <w:color w:val="66727D"/>
          <w:sz w:val="22"/>
        </w:rPr>
        <w:t>《散尽千金的人，为什么成了财神？》</w:t>
      </w:r>
    </w:p>
    <w:p>
      <w:pPr>
        <w:jc w:val="center"/>
        <w:shd w:fill="F4F6F9"/>
      </w:pPr>
      <w:r>
        <w:rPr>
          <w:rFonts w:ascii="Calibri" w:hAnsi="Calibri" w:eastAsia="Microsoft YaHei"/>
          <w:b/>
          <w:color w:val="23364A"/>
          <w:sz w:val="21"/>
        </w:rPr>
        <w:t>按编号顺序执行。上一份文档未达到完成标准，不进入下一份。</w:t>
      </w:r>
    </w:p>
    <w:p>
      <w:r>
        <w:br w:type="page"/>
      </w:r>
    </w:p>
    <w:p>
      <w:pPr>
        <w:pStyle w:val="Heading1"/>
      </w:pPr>
      <w:r>
        <w:t>1. 本步骤定位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阶段字段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执行定义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本步骤目的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在交付前逐项排除 AI 痕迹、时代错误、连续性错误和声音问题。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开始前必须具备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07 已形成完整 4 分钟合成版。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本步骤产出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4K 主母版、1080p 发布版、无字幕净版、分轨声音与完整工程归档。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所有检查项通过；成片时长、字幕、响度、文件命名和播放测试无误。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完成后进入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正式发布与平台版本重构；9:16 版本应重新构图，不直接裁切。</w:t>
            </w:r>
          </w:p>
        </w:tc>
      </w:tr>
    </w:tbl>
    <w:p>
      <w:pPr>
        <w:spacing w:after="20"/>
      </w:pPr>
    </w:p>
    <w:p>
      <w:pPr>
        <w:pStyle w:val="Heading1"/>
      </w:pPr>
      <w:r>
        <w:t>2. 最终质检清单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人物：FL35、FL45、TZG60 的眉形、眼距、鼻尖、下颌和身高比例可被一眼识别为同一人。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发型：无清代辫子、明代网巾、唐宋幞头；发髻高度符合角色卡。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服装：交领方向正确、布料不发塑料光、颜色低饱和、阶层差异不过度。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建筑：历史段落无明清宫殿元素；庙宇段落与先秦段落在时代上明确分离。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器物：无纸张、线装书、青花瓷、银元宝、统一方孔钱、塑料、现代印字和玻璃窗。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手部：印信、竹简、谷粒、绳索等特写必须逐帧检查手指数量、接触关系和重量感。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运动：一镜一个主体动作、一个环境动作、一个相机动作；面部与衣纹无沸腾闪烁。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连续性：雨向、烟向、舟的修补板、仓门缺口、庙内油灯位置在相邻镜头一致。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声音：旁白清晰优先；雨、木门、谷物、麻绳、车轮和水声均有空间远近，不使用廉价连续低频轰鸣。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成片：片尾问题后保留 1–2 秒；字幕位于 16:9 安全区，最终响度与平台规范复核。</w:t>
      </w:r>
    </w:p>
    <w:p>
      <w:pPr>
        <w:pStyle w:val="Heading1"/>
      </w:pPr>
      <w:r>
        <w:t>3. 常见问题修复表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修复路线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人物突然变脸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退回 05，重新挂载中性角色参考；减少转头和表情；缩短可用区间。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年龄漂移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同时挂载相邻年龄校准图；明确 age 35/45/60；固定胡须与鬓灰。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手指/接触错误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先修静帧；把复杂接力拆为两个特写；用遮挡点剪辑。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衣纹沸腾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降低风和身体动作；提高输入图清晰度；局部遮罩稳定服装。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场景跳变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使用同一 E 编号母版与构图草图；只改变相机方向，不重新描述场景。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建筑时代错误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退回 03/04；删除后世宫殿元素；用夯土、木构、坡屋顶和真实材质重新生成。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道具像现代物品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退回 04，使用单独道具三视图；避免纸张、瓷器、元宝、现代印字。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视频物理漂浮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减少动作数量；使用更短片段；把递交、解绳、开门拆成单一动作。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群演复制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分别生成前中后景或分层合成；限制同一层人数。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音乐盖旁白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降低音乐中频、自动化侧链或手动压低；优先修配器而非只降总音量。</w:t>
            </w:r>
          </w:p>
        </w:tc>
      </w:tr>
    </w:tbl>
    <w:p>
      <w:pPr>
        <w:spacing w:after="20"/>
      </w:pPr>
    </w:p>
    <w:p>
      <w:pPr>
        <w:pStyle w:val="Heading1"/>
      </w:pPr>
      <w:r>
        <w:t>4. 交付规格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交付项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规格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主母版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3840×2160，16:9，24 fps，10-bit 优先；ProRes 422 HQ 或高码率中间编码。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发布版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1920×1080，H.264/H.265，高质量 VBR；另导出无字幕净版。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音频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48 kHz / 24-bit；旁白单独轨、音乐单独轨、环境与动作音效分轨。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简体中文，避免遮挡手部与道具；下安全区上缘建议距画面底部至少 7%–8%。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镜头素材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每镜保留：最终静帧、生成参数/种子、角色与场景参考、原始视频、修复版、入剪版。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命名规则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项目_幕_镜号_资产_版本，例如 FL_C05_S05-07_TZG60_E07_v03。</w:t>
            </w:r>
          </w:p>
        </w:tc>
      </w:tr>
    </w:tbl>
    <w:p>
      <w:pPr>
        <w:spacing w:after="20"/>
      </w:pPr>
    </w:p>
    <w:p>
      <w:pPr>
        <w:pStyle w:val="Heading1"/>
      </w:pPr>
      <w:r>
        <w:t>5. 最终播放测试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电脑全屏检查一遍，手机横屏检查一遍，普通耳机和手机外放各听一遍。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逐帧检查片头神像睁眼、印信手部、解绳、衡器、开仓和种子发芽六个高风险点。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检查所有字幕无错字，范蠡/陶朱公称谓统一，时间码与旁白同步。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检查黑场、片尾余韵和片尾卡时长；不让平台自动裁掉最后问题。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导出后重新导入剪辑软件核对时长、声道、帧率和色彩。</w:t>
      </w:r>
    </w:p>
    <w:p>
      <w:pPr>
        <w:pStyle w:val="Heading1"/>
      </w:pPr>
      <w:r>
        <w:t>6. 参考来源</w:t>
      </w:r>
    </w:p>
    <w:p>
      <w:pPr>
        <w:spacing w:after="100"/>
      </w:pPr>
      <w:hyperlink r:id="rId11">
        <w:r>
          <w:rPr>
            <w:rFonts w:ascii="Calibri" w:hAnsi="Calibri" w:eastAsia="Microsoft YaHei"/>
            <w:color w:val="2E74B5"/>
            <w:u w:val="single"/>
          </w:rPr>
          <w:t>中国国家博物馆：中国古代服饰文化（春秋战国出现深衣等材料）</w:t>
        </w:r>
      </w:hyperlink>
    </w:p>
    <w:p>
      <w:pPr>
        <w:spacing w:after="10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中国国家博物馆：中国古代基本陈列·春秋战国城市商业与日常器物</w:t>
        </w:r>
      </w:hyperlink>
    </w:p>
    <w:p>
      <w:pPr>
        <w:spacing w:after="10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浙江省博物馆：越地宝藏·越国水军与青铜剑</w:t>
        </w:r>
      </w:hyperlink>
    </w:p>
    <w:p>
      <w:pPr>
        <w:spacing w:after="10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中国国家博物馆：天秤和环权（春秋战国衡器）</w:t>
        </w:r>
      </w:hyperlink>
    </w:p>
    <w:p>
      <w:pPr>
        <w:spacing w:after="10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中国国家博物馆：三戈青铜戟（战国早期兵器结构）</w:t>
        </w:r>
      </w:hyperlink>
    </w:p>
    <w:p>
      <w:pPr>
        <w:spacing w:after="10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Runway：Gen-4 Image References 官方指南（角色与场景一致性）</w:t>
        </w:r>
      </w:hyperlink>
    </w:p>
    <w:p>
      <w:pPr>
        <w:spacing w:after="10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Runway：Image to Video Prompting Guide（图生视频提示词重点为运动）</w:t>
        </w:r>
      </w:hyperlink>
    </w:p>
    <w:p>
      <w:pPr>
        <w:spacing w:after="100"/>
      </w:pPr>
      <w:hyperlink r:id="rId18">
        <w:r>
          <w:rPr>
            <w:rFonts w:ascii="Calibri" w:hAnsi="Calibri" w:eastAsia="Microsoft YaHei"/>
            <w:color w:val="2E74B5"/>
            <w:u w:val="single"/>
          </w:rPr>
          <w:t>Google Cloud：Veo 视频生成提示指南</w:t>
        </w:r>
      </w:hyperlink>
    </w:p>
    <w:p>
      <w:pPr>
        <w:pStyle w:val="PromptBlock"/>
        <w:shd w:fill="F7F3EB"/>
        <w:pBdr>
          <w:left w:val="single" w:sz="16" w:space="8" w:color="A87832"/>
        </w:pBdr>
      </w:pPr>
      <w:r>
        <w:rPr>
          <w:rFonts w:ascii="Calibri" w:hAnsi="Calibri" w:eastAsia="Microsoft YaHei"/>
          <w:b/>
          <w:color w:val="A87832"/>
          <w:sz w:val="18"/>
        </w:rPr>
        <w:t>交付判断</w:t>
        <w:br/>
      </w:r>
      <w:r>
        <w:rPr>
          <w:rFonts w:ascii="Calibri" w:hAnsi="Calibri" w:eastAsia="Microsoft YaHei"/>
          <w:color w:val="23364A"/>
          <w:sz w:val="18"/>
        </w:rPr>
        <w:t>观众不需要意识到使用了多少 AI 工具。最终成片应让他们相信：这是同一个人走过三个年龄、多个地区和三次聚散；所有器物都有重量，所有选择都来自一个清醒的人。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27D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D"/>
        <w:sz w:val="17"/>
      </w:rPr>
      <w:t>财神范蠡 · AIGC 视觉制作圣经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before="60" w:after="140" w:line="276" w:lineRule="auto"/>
      <w:ind w:left="259" w:right="173"/>
    </w:pPr>
    <w:rPr>
      <w:rFonts w:ascii="Calibri" w:hAnsi="Calibri" w:eastAsia="Microsoft YaHei"/>
      <w:color w:val="23364A"/>
      <w:sz w:val="18"/>
    </w:rPr>
  </w:style>
  <w:style w:type="paragraph" w:customStyle="1" w:styleId="ShotMeta">
    <w:name w:val="Shot Meta"/>
    <w:pPr>
      <w:keepNext/>
      <w:spacing w:before="0" w:after="100"/>
    </w:pPr>
    <w:rPr>
      <w:rFonts w:ascii="Calibri" w:hAnsi="Calibri" w:eastAsia="Microsoft YaHei"/>
      <w:color w:val="6672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hnmuseum.cn/portals/0/web/zt/202102gdfsh/" TargetMode="External"/><Relationship Id="rId12" Type="http://schemas.openxmlformats.org/officeDocument/2006/relationships/hyperlink" Target="https://www.chnmuseum.cn/portals/0/web/zt/gudai/detail3.html" TargetMode="External"/><Relationship Id="rId13" Type="http://schemas.openxmlformats.org/officeDocument/2006/relationships/hyperlink" Target="https://www.zhejiangmuseum.com/topic/ydbz/education06.html" TargetMode="External"/><Relationship Id="rId14" Type="http://schemas.openxmlformats.org/officeDocument/2006/relationships/hyperlink" Target="https://www.chnmuseum.cn/zp/zpml/kgfjp/202110/t20211027_251864.shtml" TargetMode="External"/><Relationship Id="rId15" Type="http://schemas.openxmlformats.org/officeDocument/2006/relationships/hyperlink" Target="https://www.chnmuseum.cn/zp/zpml/kgfjp/202110/t20211026_251849.shtml" TargetMode="External"/><Relationship Id="rId16" Type="http://schemas.openxmlformats.org/officeDocument/2006/relationships/hyperlink" Target="https://help.runwayml.com/hc/en-us/articles/40042718905875-Creating-with-Gen-4-Image-References" TargetMode="External"/><Relationship Id="rId17" Type="http://schemas.openxmlformats.org/officeDocument/2006/relationships/hyperlink" Target="https://help.runwayml.com/hc/en-us/articles/48324313115155-Image-to-Video-Prompting-Guide" TargetMode="External"/><Relationship Id="rId18" Type="http://schemas.openxmlformats.org/officeDocument/2006/relationships/hyperlink" Target="https://docs.cloud.google.com/vertex-ai/generative-ai/docs/video/video-gen-prompt-guide?hl=zh-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第八步｜质检修复与最终交付｜《散尽千金的人，为什么成了财神？》</dc:title>
  <dc:subject>逐项检查时代、人物、手部、连续性、声音、字幕和导出文件。</dc:subject>
  <dc:creator>Codex</dc:creator>
  <cp:keywords>范蠡, 财神, AIGC视频, 分步制作, 提示词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