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Microsoft YaHei"/>
          <w:b/>
          <w:i w:val="0"/>
          <w:color w:val="8A7040"/>
          <w:sz w:val="19"/>
        </w:rPr>
        <w:t>AIGC 角色资产规范 · STATUE</w:t>
      </w:r>
    </w:p>
    <w:p>
      <w:pPr>
        <w:pStyle w:val="Title"/>
      </w:pPr>
      <w:r>
        <w:t>STATUE_MASTER｜财神正面神像</w:t>
      </w:r>
    </w:p>
    <w:p>
      <w:pPr>
        <w:pStyle w:val="Subtitle"/>
      </w:pPr>
      <w:r>
        <w:t>造型权威、旧庙材质层、眼部配对与生成门禁</w:t>
      </w:r>
    </w:p>
    <w:p>
      <w:pPr>
        <w:spacing w:after="40"/>
      </w:pPr>
      <w:r>
        <w:rPr>
          <w:rFonts w:ascii="Calibri" w:hAnsi="Calibri" w:eastAsia="Microsoft YaHei"/>
          <w:b/>
          <w:i w:val="0"/>
          <w:color w:val="66717A"/>
          <w:sz w:val="21"/>
        </w:rPr>
        <w:t>文档版本：</w:t>
      </w:r>
      <w:r>
        <w:rPr>
          <w:rFonts w:ascii="Calibri" w:hAnsi="Calibri" w:eastAsia="Microsoft YaHei"/>
          <w:b w:val="0"/>
          <w:i w:val="0"/>
          <w:color w:val="1F2A30"/>
          <w:sz w:val="21"/>
        </w:rPr>
        <w:t>v2.0｜造型已按导演新参考重置</w:t>
      </w:r>
    </w:p>
    <w:p>
      <w:pPr>
        <w:spacing w:after="40"/>
      </w:pPr>
      <w:r>
        <w:rPr>
          <w:rFonts w:ascii="Calibri" w:hAnsi="Calibri" w:eastAsia="Microsoft YaHei"/>
          <w:b/>
          <w:i w:val="0"/>
          <w:color w:val="66717A"/>
          <w:sz w:val="21"/>
        </w:rPr>
        <w:t>最高权威：</w:t>
      </w:r>
      <w:r>
        <w:rPr>
          <w:rFonts w:ascii="Calibri" w:hAnsi="Calibri" w:eastAsia="Microsoft YaHei"/>
          <w:b w:val="0"/>
          <w:i w:val="0"/>
          <w:color w:val="1F2A30"/>
          <w:sz w:val="21"/>
        </w:rPr>
        <w:t>财神正面.png（STATUE_MASTER_REF）；优先于旧 DOCX 中冲突的神像外形描述</w:t>
      </w:r>
    </w:p>
    <w:p>
      <w:pPr>
        <w:spacing w:after="40"/>
      </w:pPr>
      <w:r>
        <w:rPr>
          <w:rFonts w:ascii="Calibri" w:hAnsi="Calibri" w:eastAsia="Microsoft YaHei"/>
          <w:b/>
          <w:i w:val="0"/>
          <w:color w:val="66717A"/>
          <w:sz w:val="21"/>
        </w:rPr>
        <w:t>Canonical Tag：</w:t>
      </w:r>
      <w:r>
        <w:rPr>
          <w:rFonts w:ascii="Calibri" w:hAnsi="Calibri" w:eastAsia="Microsoft YaHei"/>
          <w:b w:val="0"/>
          <w:i w:val="0"/>
          <w:color w:val="1F2A30"/>
          <w:sz w:val="21"/>
        </w:rPr>
        <w:t>@STATUE_MASTER；@STATUE_OLD_TEMPLE 为同一几何的表面状态，不另选脸、不改造型</w:t>
      </w:r>
    </w:p>
    <w:p>
      <w:pPr>
        <w:spacing w:after="40"/>
      </w:pPr>
      <w:r>
        <w:rPr>
          <w:rFonts w:ascii="Calibri" w:hAnsi="Calibri" w:eastAsia="Microsoft YaHei"/>
          <w:b/>
          <w:i w:val="0"/>
          <w:color w:val="66717A"/>
          <w:sz w:val="21"/>
        </w:rPr>
        <w:t>指定资产目录：</w:t>
      </w:r>
      <w:r>
        <w:rPr>
          <w:rFonts w:ascii="Calibri" w:hAnsi="Calibri" w:eastAsia="Microsoft YaHei"/>
          <w:b w:val="0"/>
          <w:i w:val="0"/>
          <w:color w:val="1F2A30"/>
          <w:sz w:val="21"/>
        </w:rPr>
        <w:t>D:\范蠡AIGC\01_人物资产\STATUE_财神神像</w:t>
      </w:r>
    </w:p>
    <w:p>
      <w:pPr w:contextualSpacing="1">
        <w:spacing w:before="200" w:after="240"/>
        <w:ind w:left="173" w:right="173"/>
        <w:shd w:fill="FFF4D6"/>
      </w:pPr>
      <w:r>
        <w:rPr>
          <w:rFonts w:ascii="Calibri" w:hAnsi="Calibri" w:eastAsia="Microsoft YaHei"/>
          <w:b/>
          <w:i w:val="0"/>
          <w:color w:val="9B1C1C"/>
          <w:sz w:val="22"/>
        </w:rPr>
        <w:t>参考图门禁｜</w:t>
      </w:r>
      <w:r>
        <w:rPr>
          <w:rFonts w:ascii="Calibri" w:hAnsi="Calibri" w:eastAsia="Microsoft YaHei"/>
          <w:b/>
          <w:i w:val="0"/>
          <w:color w:val="1F2A30"/>
          <w:sz w:val="22"/>
        </w:rPr>
        <w:t>当前仅有导演确认的可见特征清单，原始文件 Z:\=05设计资料=\260521添藏\财神正面.png 尚未挂载到本分支。可先锁规范；在用户重新附图或复制到可访问目录前，不生成候选图、批准图或眼部配对图。</w:t>
      </w:r>
    </w:p>
    <w:p>
      <w:pPr>
        <w:pStyle w:val="Heading1"/>
      </w:pPr>
      <w:r>
        <w:t>1. 权威层级与变更结论</w:t>
      </w:r>
    </w:p>
    <w:tbl>
      <w:tblPr>
        <w:tblStyle w:val="TableGrid"/>
        <w:tblW w:type="dxa" w:w="9360"/>
        <w:tblLayout w:type="fixed"/>
        <w:tblLook w:firstColumn="1" w:firstRow="1" w:lastColumn="0" w:lastRow="0" w:noHBand="0" w:noVBand="1" w:val="04A0"/>
        <w:tblInd w:w="120" w:type="dxa"/>
      </w:tblPr>
      <w:tblGrid>
        <w:gridCol w:w="900"/>
        <w:gridCol w:w="2750"/>
        <w:gridCol w:w="5710"/>
      </w:tblGrid>
      <w:tr>
        <w:trPr>
          <w:tblHeader w:val="true"/>
        </w:trPr>
        <w:tc>
          <w:tcPr>
            <w:tcW w:type="dxa" w:w="9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优先级</w:t>
            </w:r>
          </w:p>
        </w:tc>
        <w:tc>
          <w:tcPr>
            <w:tcW w:type="dxa" w:w="27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来源</w:t>
            </w:r>
          </w:p>
        </w:tc>
        <w:tc>
          <w:tcPr>
            <w:tcW w:type="dxa" w:w="571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裁决范围</w:t>
            </w:r>
          </w:p>
        </w:tc>
      </w:tr>
      <w:tr>
        <w:tc>
          <w:tcPr>
            <w:tcW w:type="dxa" w:w="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P0</w:t>
            </w:r>
          </w:p>
        </w:tc>
        <w:tc>
          <w:tcPr>
            <w:tcW w:type="dxa" w:w="27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用户最新指定的 财神正面.png</w:t>
            </w:r>
          </w:p>
        </w:tc>
        <w:tc>
          <w:tcPr>
            <w:tcW w:type="dxa" w:w="57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脸、冠、冠翅、袍服纹样、双手物件、底座和整体站姿；冲突时一律采用</w:t>
            </w:r>
          </w:p>
        </w:tc>
      </w:tr>
      <w:tr>
        <w:tc>
          <w:tcPr>
            <w:tcW w:type="dxa" w:w="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P1</w:t>
            </w:r>
          </w:p>
        </w:tc>
        <w:tc>
          <w:tcPr>
            <w:tcW w:type="dxa" w:w="27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本 v2.0 规范</w:t>
            </w:r>
          </w:p>
        </w:tc>
        <w:tc>
          <w:tcPr>
            <w:tcW w:type="dxa" w:w="57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材质层、状态命名、旧庙老化边界、眼部状态与验收流程</w:t>
            </w:r>
          </w:p>
        </w:tc>
      </w:tr>
      <w:tr>
        <w:tc>
          <w:tcPr>
            <w:tcW w:type="dxa" w:w="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P2</w:t>
            </w:r>
          </w:p>
        </w:tc>
        <w:tc>
          <w:tcPr>
            <w:tcW w:type="dxa" w:w="27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02/04/05/06 DOCX</w:t>
            </w:r>
          </w:p>
        </w:tc>
        <w:tc>
          <w:tcPr>
            <w:tcW w:type="dxa" w:w="57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只保留不冲突的镜头、雕塑质感与静止表演要求</w:t>
            </w:r>
          </w:p>
        </w:tc>
      </w:tr>
    </w:tbl>
    <w:p>
      <w:pPr>
        <w:spacing w:after="40"/>
      </w:pPr>
    </w:p>
    <w:p>
      <w:pPr>
        <w:numPr>
          <w:ilvl w:val="0"/>
          <w:numId w:val="10"/>
        </w:numPr>
      </w:pPr>
      <w:r>
        <w:t>废止旧造型：端坐、左手卷册、右手置膝。不得再用于任何 STATUE 生成或修复。</w:t>
      </w:r>
    </w:p>
    <w:p>
      <w:pPr>
        <w:numPr>
          <w:ilvl w:val="0"/>
          <w:numId w:val="10"/>
        </w:numPr>
      </w:pPr>
      <w:r>
        <w:t>废止旧道具禁令中与新参考冲突的部分：人物自身右手托亮蓝宝珠、左手持金色礼仪物，现为硬锁定结构。</w:t>
      </w:r>
    </w:p>
    <w:p>
      <w:pPr>
        <w:numPr>
          <w:ilvl w:val="0"/>
          <w:numId w:val="10"/>
        </w:numPr>
      </w:pPr>
      <w:r>
        <w:t>STATUE 不再独立从旧文字描述选脸；脸部以 STATUE_MASTER_REF 为造型母版。旧庙版只能是同一母版的表面老化状态。</w:t>
      </w:r>
    </w:p>
    <w:p>
      <w:pPr>
        <w:pStyle w:val="Heading1"/>
      </w:pPr>
      <w:r>
        <w:t>2. STATUE_MASTER 十项不可变造型</w:t>
      </w:r>
    </w:p>
    <w:tbl>
      <w:tblPr>
        <w:tblStyle w:val="TableGrid"/>
        <w:tblW w:type="dxa" w:w="9360"/>
        <w:tblLayout w:type="fixed"/>
        <w:tblLook w:firstColumn="1" w:firstRow="1" w:lastColumn="0" w:lastRow="0" w:noHBand="0" w:noVBand="1" w:val="04A0"/>
        <w:tblInd w:w="120" w:type="dxa"/>
      </w:tblPr>
      <w:tblGrid>
        <w:gridCol w:w="1450"/>
        <w:gridCol w:w="4600"/>
        <w:gridCol w:w="3310"/>
      </w:tblGrid>
      <w:tr>
        <w:trPr>
          <w:tblHeader w:val="true"/>
        </w:trPr>
        <w:tc>
          <w:tcPr>
            <w:tcW w:type="dxa" w:w="14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模块</w:t>
            </w:r>
          </w:p>
        </w:tc>
        <w:tc>
          <w:tcPr>
            <w:tcW w:type="dxa" w:w="46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唯一锁定值</w:t>
            </w:r>
          </w:p>
        </w:tc>
        <w:tc>
          <w:tcPr>
            <w:tcW w:type="dxa" w:w="331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验收失败条件</w:t>
            </w:r>
          </w:p>
        </w:tc>
      </w:tr>
      <w:tr>
        <w:tc>
          <w:tcPr>
            <w:tcW w:type="dxa" w:w="145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整体</w:t>
            </w:r>
          </w:p>
        </w:tc>
        <w:tc>
          <w:tcPr>
            <w:tcW w:type="dxa" w:w="46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正面直立神像；中轴稳定；完整站立/立像结构</w:t>
            </w:r>
          </w:p>
        </w:tc>
        <w:tc>
          <w:tcPr>
            <w:tcW w:type="dxa" w:w="3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坐姿、侧身、单膝、身体扭转或比例漂移</w:t>
            </w:r>
          </w:p>
        </w:tc>
      </w:tr>
      <w:tr>
        <w:tc>
          <w:tcPr>
            <w:tcW w:type="dxa" w:w="145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冠</w:t>
            </w:r>
          </w:p>
        </w:tc>
        <w:tc>
          <w:tcPr>
            <w:tcW w:type="dxa" w:w="46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红色高冠</w:t>
            </w:r>
          </w:p>
        </w:tc>
        <w:tc>
          <w:tcPr>
            <w:tcW w:type="dxa" w:w="3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低冠、黑冠、冕旒、无冠或造型改写</w:t>
            </w:r>
          </w:p>
        </w:tc>
      </w:tr>
      <w:tr>
        <w:tc>
          <w:tcPr>
            <w:tcW w:type="dxa" w:w="145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冠翅</w:t>
            </w:r>
          </w:p>
        </w:tc>
        <w:tc>
          <w:tcPr>
            <w:tcW w:type="dxa" w:w="46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左右横展金色冠翅，结构、长度与方向必须对称可读</w:t>
            </w:r>
          </w:p>
        </w:tc>
        <w:tc>
          <w:tcPr>
            <w:tcW w:type="dxa" w:w="3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缺失、缩短、下垂、换成羽翼或被裁切</w:t>
            </w:r>
          </w:p>
        </w:tc>
      </w:tr>
      <w:tr>
        <w:tc>
          <w:tcPr>
            <w:tcW w:type="dxa" w:w="145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脸眉眼</w:t>
            </w:r>
          </w:p>
        </w:tc>
        <w:tc>
          <w:tcPr>
            <w:tcW w:type="dxa" w:w="46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平直黑眉、细长眼；脸部轮廓以参考图为准</w:t>
            </w:r>
          </w:p>
        </w:tc>
        <w:tc>
          <w:tcPr>
            <w:tcW w:type="dxa" w:w="3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换脸、眉峰明显、圆眼、真人写真化</w:t>
            </w:r>
          </w:p>
        </w:tc>
      </w:tr>
      <w:tr>
        <w:tc>
          <w:tcPr>
            <w:tcW w:type="dxa" w:w="145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须</w:t>
            </w:r>
          </w:p>
        </w:tc>
        <w:tc>
          <w:tcPr>
            <w:tcW w:type="dxa" w:w="46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长黑须，轮廓和分束遵循参考图</w:t>
            </w:r>
          </w:p>
        </w:tc>
        <w:tc>
          <w:tcPr>
            <w:tcW w:type="dxa" w:w="3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短须、白须、飘动或重做胡型</w:t>
            </w:r>
          </w:p>
        </w:tc>
      </w:tr>
      <w:tr>
        <w:tc>
          <w:tcPr>
            <w:tcW w:type="dxa" w:w="145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神袍</w:t>
            </w:r>
          </w:p>
        </w:tc>
        <w:tc>
          <w:tcPr>
            <w:tcW w:type="dxa" w:w="46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大红官式神袍</w:t>
            </w:r>
          </w:p>
        </w:tc>
        <w:tc>
          <w:tcPr>
            <w:tcW w:type="dxa" w:w="3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暗红黑褐素袍、宽袖先秦服或便装</w:t>
            </w:r>
          </w:p>
        </w:tc>
      </w:tr>
      <w:tr>
        <w:tc>
          <w:tcPr>
            <w:tcW w:type="dxa" w:w="145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胸纹</w:t>
            </w:r>
          </w:p>
        </w:tc>
        <w:tc>
          <w:tcPr>
            <w:tcW w:type="dxa" w:w="46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胸前金色盘龙 + 蓝色云纹</w:t>
            </w:r>
          </w:p>
        </w:tc>
        <w:tc>
          <w:tcPr>
            <w:tcW w:type="dxa" w:w="3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龙纹缺失、变成元宝/钱纹、蓝云改色或位置漂移</w:t>
            </w:r>
          </w:p>
        </w:tc>
      </w:tr>
      <w:tr>
        <w:tc>
          <w:tcPr>
            <w:tcW w:type="dxa" w:w="145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腰部</w:t>
            </w:r>
          </w:p>
        </w:tc>
        <w:tc>
          <w:tcPr>
            <w:tcW w:type="dxa" w:w="46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黑金腰带 + 黑金中央垂饰</w:t>
            </w:r>
          </w:p>
        </w:tc>
        <w:tc>
          <w:tcPr>
            <w:tcW w:type="dxa" w:w="3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腰带消失、纯金腰带、中央垂饰移位或换物</w:t>
            </w:r>
          </w:p>
        </w:tc>
      </w:tr>
      <w:tr>
        <w:tc>
          <w:tcPr>
            <w:tcW w:type="dxa" w:w="145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双手物件</w:t>
            </w:r>
          </w:p>
        </w:tc>
        <w:tc>
          <w:tcPr>
            <w:tcW w:type="dxa" w:w="46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人物自身右手（画面左）托亮蓝宝珠；人物自身左手（画面右）持金色礼仪物</w:t>
            </w:r>
          </w:p>
        </w:tc>
        <w:tc>
          <w:tcPr>
            <w:tcW w:type="dxa" w:w="3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左右互换、卷册/置膝、空手、元宝或器物重设计</w:t>
            </w:r>
          </w:p>
        </w:tc>
      </w:tr>
      <w:tr>
        <w:tc>
          <w:tcPr>
            <w:tcW w:type="dxa" w:w="145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底座</w:t>
            </w:r>
          </w:p>
        </w:tc>
        <w:tc>
          <w:tcPr>
            <w:tcW w:type="dxa" w:w="46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下方蓝色海浪纹圆座</w:t>
            </w:r>
          </w:p>
        </w:tc>
        <w:tc>
          <w:tcPr>
            <w:tcW w:type="dxa" w:w="3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莲座、方台、云座、金币座或去除海浪纹</w:t>
            </w:r>
          </w:p>
        </w:tc>
      </w:tr>
    </w:tbl>
    <w:p>
      <w:pPr>
        <w:spacing w:after="40"/>
      </w:pPr>
    </w:p>
    <w:p>
      <w:pPr>
        <w:numPr>
          <w:ilvl w:val="0"/>
          <w:numId w:val="10"/>
        </w:numPr>
      </w:pPr>
      <w:r>
        <w:t>方向标注以人物自身为准，并在括号中写画面侧：自身右手 = 画面左；自身左手 = 画面右。任何水平镜像均判失败。</w:t>
      </w:r>
    </w:p>
    <w:p>
      <w:pPr>
        <w:pStyle w:val="Heading1"/>
      </w:pPr>
      <w:r>
        <w:t>3. 唯一材质栈：造型层与旧庙表面层分离</w:t>
      </w:r>
    </w:p>
    <w:p>
      <w:r>
        <w:t>材质栈不得改变第 2 节几何。旧庙版本只允许增加表面时间层，不得侵蚀到无法辨认冠翅、盘龙、云纹、双手物件或海浪底座。</w:t>
      </w:r>
    </w:p>
    <w:tbl>
      <w:tblPr>
        <w:tblStyle w:val="TableGrid"/>
        <w:tblW w:type="dxa" w:w="9360"/>
        <w:tblLayout w:type="fixed"/>
        <w:tblLook w:firstColumn="1" w:firstRow="1" w:lastColumn="0" w:lastRow="0" w:noHBand="0" w:noVBand="1" w:val="04A0"/>
        <w:tblInd w:w="120" w:type="dxa"/>
      </w:tblPr>
      <w:tblGrid>
        <w:gridCol w:w="800"/>
        <w:gridCol w:w="1500"/>
        <w:gridCol w:w="4300"/>
        <w:gridCol w:w="2760"/>
      </w:tblGrid>
      <w:tr>
        <w:trPr>
          <w:tblHeader w:val="true"/>
        </w:trPr>
        <w:tc>
          <w:tcPr>
            <w:tcW w:type="dxa" w:w="8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层级</w:t>
            </w:r>
          </w:p>
        </w:tc>
        <w:tc>
          <w:tcPr>
            <w:tcW w:type="dxa" w:w="15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材质/作用</w:t>
            </w:r>
          </w:p>
        </w:tc>
        <w:tc>
          <w:tcPr>
            <w:tcW w:type="dxa" w:w="43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锁定表现</w:t>
            </w:r>
          </w:p>
        </w:tc>
        <w:tc>
          <w:tcPr>
            <w:tcW w:type="dxa" w:w="276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保护边界</w:t>
            </w:r>
          </w:p>
        </w:tc>
      </w:tr>
      <w:tr>
        <w:tc>
          <w:tcPr>
            <w:tcW w:type="dxa" w:w="8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M1</w:t>
            </w:r>
          </w:p>
        </w:tc>
        <w:tc>
          <w:tcPr>
            <w:tcW w:type="dxa" w:w="1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木胎结构</w:t>
            </w:r>
          </w:p>
        </w:tc>
        <w:tc>
          <w:tcPr>
            <w:tcW w:type="dxa" w:w="43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旧木胎，干燥纤维与手工接合仅在小缺口可见</w:t>
            </w:r>
          </w:p>
        </w:tc>
        <w:tc>
          <w:tcPr>
            <w:tcW w:type="dxa" w:w="27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不得改变直立体态、冠翅或双手结构</w:t>
            </w:r>
          </w:p>
        </w:tc>
      </w:tr>
      <w:tr>
        <w:tc>
          <w:tcPr>
            <w:tcW w:type="dxa" w:w="8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M2</w:t>
            </w:r>
          </w:p>
        </w:tc>
        <w:tc>
          <w:tcPr>
            <w:tcW w:type="dxa" w:w="1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泥塑找平层</w:t>
            </w:r>
          </w:p>
        </w:tc>
        <w:tc>
          <w:tcPr>
            <w:tcW w:type="dxa" w:w="43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薄层灰米色泥塑找平，可见纤维与脆性边缘</w:t>
            </w:r>
          </w:p>
        </w:tc>
        <w:tc>
          <w:tcPr>
            <w:tcW w:type="dxa" w:w="27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破损只做表层证据，不形成大块断肢</w:t>
            </w:r>
          </w:p>
        </w:tc>
      </w:tr>
      <w:tr>
        <w:tc>
          <w:tcPr>
            <w:tcW w:type="dxa" w:w="8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M3</w:t>
            </w:r>
          </w:p>
        </w:tc>
        <w:tc>
          <w:tcPr>
            <w:tcW w:type="dxa" w:w="1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矿物彩绘</w:t>
            </w:r>
          </w:p>
        </w:tc>
        <w:tc>
          <w:tcPr>
            <w:tcW w:type="dxa" w:w="43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红冠、大红神袍、黑眉黑须、蓝云与蓝海浪、金色纹饰均为哑光矿物彩绘</w:t>
            </w:r>
          </w:p>
        </w:tc>
        <w:tc>
          <w:tcPr>
            <w:tcW w:type="dxa" w:w="27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色相必须保持可辨；不得整体暗化成黑褐素像</w:t>
            </w:r>
          </w:p>
        </w:tc>
      </w:tr>
      <w:tr>
        <w:tc>
          <w:tcPr>
            <w:tcW w:type="dxa" w:w="8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M4</w:t>
            </w:r>
          </w:p>
        </w:tc>
        <w:tc>
          <w:tcPr>
            <w:tcW w:type="dxa" w:w="1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金色装饰层</w:t>
            </w:r>
          </w:p>
        </w:tc>
        <w:tc>
          <w:tcPr>
            <w:tcW w:type="dxa" w:w="43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冠翅、盘龙、礼仪物、腰带细节等金色依参考图；旧庙版允许边缘残旧金</w:t>
            </w:r>
          </w:p>
        </w:tc>
        <w:tc>
          <w:tcPr>
            <w:tcW w:type="dxa" w:w="27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金色结构不可被删；非金色区域不得新增通体鎏金</w:t>
            </w:r>
          </w:p>
        </w:tc>
      </w:tr>
      <w:tr>
        <w:tc>
          <w:tcPr>
            <w:tcW w:type="dxa" w:w="8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M5</w:t>
            </w:r>
          </w:p>
        </w:tc>
        <w:tc>
          <w:tcPr>
            <w:tcW w:type="dxa" w:w="1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旧庙时间层</w:t>
            </w:r>
          </w:p>
        </w:tc>
        <w:tc>
          <w:tcPr>
            <w:tcW w:type="dxa" w:w="43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细裂纹、局部掉漆、积灰、烟熏、低饱和磨损</w:t>
            </w:r>
          </w:p>
        </w:tc>
        <w:tc>
          <w:tcPr>
            <w:tcW w:type="dxa" w:w="27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不得覆盖脸、冠、龙纹、双手物件和底座的识别要点</w:t>
            </w:r>
          </w:p>
        </w:tc>
      </w:tr>
    </w:tbl>
    <w:p>
      <w:pPr>
        <w:spacing w:after="40"/>
      </w:pPr>
    </w:p>
    <w:p>
      <w:pPr>
        <w:pStyle w:val="Heading1"/>
      </w:pPr>
      <w:r>
        <w:t>4. 旧庙老化坐标与禁区</w:t>
      </w:r>
    </w:p>
    <w:p>
      <w:r>
        <w:t>使用正面归一化坐标 S(x,y)：原点为整尊神像包围框左上，x 向右、y 向下。以下坐标须在参考图挂载后以像素复核；当前为保守布局规范，不代表最终像素标定。</w:t>
      </w:r>
    </w:p>
    <w:tbl>
      <w:tblPr>
        <w:tblStyle w:val="TableGrid"/>
        <w:tblW w:type="dxa" w:w="9360"/>
        <w:tblLayout w:type="fixed"/>
        <w:tblLook w:firstColumn="1" w:firstRow="1" w:lastColumn="0" w:lastRow="0" w:noHBand="0" w:noVBand="1" w:val="04A0"/>
        <w:tblInd w:w="120" w:type="dxa"/>
      </w:tblPr>
      <w:tblGrid>
        <w:gridCol w:w="1200"/>
        <w:gridCol w:w="1950"/>
        <w:gridCol w:w="2860"/>
        <w:gridCol w:w="3350"/>
      </w:tblGrid>
      <w:tr>
        <w:trPr>
          <w:tblHeader w:val="true"/>
        </w:trPr>
        <w:tc>
          <w:tcPr>
            <w:tcW w:type="dxa" w:w="12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ID</w:t>
            </w:r>
          </w:p>
        </w:tc>
        <w:tc>
          <w:tcPr>
            <w:tcW w:type="dxa" w:w="19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建议区域</w:t>
            </w:r>
          </w:p>
        </w:tc>
        <w:tc>
          <w:tcPr>
            <w:tcW w:type="dxa" w:w="286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允许老化</w:t>
            </w:r>
          </w:p>
        </w:tc>
        <w:tc>
          <w:tcPr>
            <w:tcW w:type="dxa" w:w="33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禁区/限制</w:t>
            </w:r>
          </w:p>
        </w:tc>
      </w:tr>
      <w:tr>
        <w:tc>
          <w:tcPr>
            <w:tcW w:type="dxa" w:w="12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AGE-CROWN</w:t>
            </w:r>
          </w:p>
        </w:tc>
        <w:tc>
          <w:tcPr>
            <w:tcW w:type="dxa" w:w="19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S(35-65, 2-20)</w:t>
            </w:r>
          </w:p>
        </w:tc>
        <w:tc>
          <w:tcPr>
            <w:tcW w:type="dxa" w:w="28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冠面微细裂、边缘轻磨</w:t>
            </w:r>
          </w:p>
        </w:tc>
        <w:tc>
          <w:tcPr>
            <w:tcW w:type="dxa" w:w="33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冠形与红色主体不可丢；冠翅轮廓不得缺口化</w:t>
            </w:r>
          </w:p>
        </w:tc>
      </w:tr>
      <w:tr>
        <w:tc>
          <w:tcPr>
            <w:tcW w:type="dxa" w:w="12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AGE-FACE</w:t>
            </w:r>
          </w:p>
        </w:tc>
        <w:tc>
          <w:tcPr>
            <w:tcW w:type="dxa" w:w="19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S(38-62, 18-38)</w:t>
            </w:r>
          </w:p>
        </w:tc>
        <w:tc>
          <w:tcPr>
            <w:tcW w:type="dxa" w:w="28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极细网裂、轻烟熏、微小掉彩</w:t>
            </w:r>
          </w:p>
        </w:tc>
        <w:tc>
          <w:tcPr>
            <w:tcW w:type="dxa" w:w="33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不得改脸、眉、眼和长须轮廓；不可真人皮肤化</w:t>
            </w:r>
          </w:p>
        </w:tc>
      </w:tr>
      <w:tr>
        <w:tc>
          <w:tcPr>
            <w:tcW w:type="dxa" w:w="12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AGE-ROBE</w:t>
            </w:r>
          </w:p>
        </w:tc>
        <w:tc>
          <w:tcPr>
            <w:tcW w:type="dxa" w:w="19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S(20-80, 35-78)</w:t>
            </w:r>
          </w:p>
        </w:tc>
        <w:tc>
          <w:tcPr>
            <w:tcW w:type="dxa" w:w="28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褶线积灰、局部矿物色磨损</w:t>
            </w:r>
          </w:p>
        </w:tc>
        <w:tc>
          <w:tcPr>
            <w:tcW w:type="dxa" w:w="33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金盘龙与蓝云必须完整可读</w:t>
            </w:r>
          </w:p>
        </w:tc>
      </w:tr>
      <w:tr>
        <w:tc>
          <w:tcPr>
            <w:tcW w:type="dxa" w:w="12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AGE-HANDS</w:t>
            </w:r>
          </w:p>
        </w:tc>
        <w:tc>
          <w:tcPr>
            <w:tcW w:type="dxa" w:w="19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S(10-30, 40-64) / S(70-90, 40-64)</w:t>
            </w:r>
          </w:p>
        </w:tc>
        <w:tc>
          <w:tcPr>
            <w:tcW w:type="dxa" w:w="28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手背轻旧、器物边缘少量磨损</w:t>
            </w:r>
          </w:p>
        </w:tc>
        <w:tc>
          <w:tcPr>
            <w:tcW w:type="dxa" w:w="33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宝珠、金色礼仪物和左右手关系不得改变</w:t>
            </w:r>
          </w:p>
        </w:tc>
      </w:tr>
      <w:tr>
        <w:tc>
          <w:tcPr>
            <w:tcW w:type="dxa" w:w="12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AGE-BASE</w:t>
            </w:r>
          </w:p>
        </w:tc>
        <w:tc>
          <w:tcPr>
            <w:tcW w:type="dxa" w:w="19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S(22-78, 76-100)</w:t>
            </w:r>
          </w:p>
        </w:tc>
        <w:tc>
          <w:tcPr>
            <w:tcW w:type="dxa" w:w="28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圆座边缘掉彩、凹槽积灰</w:t>
            </w:r>
          </w:p>
        </w:tc>
        <w:tc>
          <w:tcPr>
            <w:tcW w:type="dxa" w:w="33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蓝色海浪纹与圆座结构必须完整可辨</w:t>
            </w:r>
          </w:p>
        </w:tc>
      </w:tr>
      <w:tr>
        <w:tc>
          <w:tcPr>
            <w:tcW w:type="dxa" w:w="12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SOOT</w:t>
            </w:r>
          </w:p>
        </w:tc>
        <w:tc>
          <w:tcPr>
            <w:tcW w:type="dxa" w:w="19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上部与凹槽轻度累积</w:t>
            </w:r>
          </w:p>
        </w:tc>
        <w:tc>
          <w:tcPr>
            <w:tcW w:type="dxa" w:w="28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低对比烟熏，向上聚集</w:t>
            </w:r>
          </w:p>
        </w:tc>
        <w:tc>
          <w:tcPr>
            <w:tcW w:type="dxa" w:w="33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不得形成黑脸、黑冠或遮挡胸纹的大块污迹</w:t>
            </w:r>
          </w:p>
        </w:tc>
      </w:tr>
    </w:tbl>
    <w:p>
      <w:pPr>
        <w:spacing w:after="40"/>
      </w:pPr>
    </w:p>
    <w:p>
      <w:pPr>
        <w:numPr>
          <w:ilvl w:val="0"/>
          <w:numId w:val="10"/>
        </w:numPr>
      </w:pPr>
      <w:r>
        <w:t>任何掉漆都只暴露 M2 或极小面积 M1；冠翅、手指、器物、龙纹、垂饰和底座不得出现结构性缺损。</w:t>
      </w:r>
    </w:p>
    <w:p>
      <w:pPr>
        <w:numPr>
          <w:ilvl w:val="0"/>
          <w:numId w:val="10"/>
        </w:numPr>
      </w:pPr>
      <w:r>
        <w:t>旧庙老化强度保留为导演裁决项，默认只做‘轻度可读、近景可见、远景不改色块’。</w:t>
      </w:r>
    </w:p>
    <w:p>
      <w:pPr>
        <w:pStyle w:val="Heading1"/>
      </w:pPr>
      <w:r>
        <w:t>5. 眼部状态与表演边界</w:t>
      </w:r>
    </w:p>
    <w:tbl>
      <w:tblPr>
        <w:tblStyle w:val="TableGrid"/>
        <w:tblW w:type="dxa" w:w="9360"/>
        <w:tblLayout w:type="fixed"/>
        <w:tblLook w:firstColumn="1" w:firstRow="1" w:lastColumn="0" w:lastRow="0" w:noHBand="0" w:noVBand="1" w:val="04A0"/>
        <w:tblInd w:w="120" w:type="dxa"/>
      </w:tblPr>
      <w:tblGrid>
        <w:gridCol w:w="1900"/>
        <w:gridCol w:w="2900"/>
        <w:gridCol w:w="1800"/>
        <w:gridCol w:w="1450"/>
        <w:gridCol w:w="1310"/>
      </w:tblGrid>
      <w:tr>
        <w:trPr>
          <w:tblHeader w:val="true"/>
        </w:trPr>
        <w:tc>
          <w:tcPr>
            <w:tcW w:type="dxa" w:w="19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状态 ID</w:t>
            </w:r>
          </w:p>
        </w:tc>
        <w:tc>
          <w:tcPr>
            <w:tcW w:type="dxa" w:w="29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定义</w:t>
            </w:r>
          </w:p>
        </w:tc>
        <w:tc>
          <w:tcPr>
            <w:tcW w:type="dxa" w:w="18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眼球/高光</w:t>
            </w:r>
          </w:p>
        </w:tc>
        <w:tc>
          <w:tcPr>
            <w:tcW w:type="dxa" w:w="14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用途</w:t>
            </w:r>
          </w:p>
        </w:tc>
        <w:tc>
          <w:tcPr>
            <w:tcW w:type="dxa" w:w="131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门禁</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STATUE-MASTER-REF</w:t>
            </w:r>
          </w:p>
        </w:tc>
        <w:tc>
          <w:tcPr>
            <w:tcW w:type="dxa" w:w="29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参考图原始眼部状态，未经改写</w:t>
            </w:r>
          </w:p>
        </w:tc>
        <w:tc>
          <w:tcPr>
            <w:tcW w:type="dxa" w:w="18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严格跟随原图</w:t>
            </w:r>
          </w:p>
        </w:tc>
        <w:tc>
          <w:tcPr>
            <w:tcW w:type="dxa" w:w="14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造型对齐、几何校准</w:t>
            </w:r>
          </w:p>
        </w:tc>
        <w:tc>
          <w:tcPr>
            <w:tcW w:type="dxa" w:w="1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必须先挂载原图</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STATUE-CLOSED-01</w:t>
            </w:r>
          </w:p>
        </w:tc>
        <w:tc>
          <w:tcPr>
            <w:tcW w:type="dxa" w:w="29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同一母版上双眼完全闭合，仅改眼睑</w:t>
            </w:r>
          </w:p>
        </w:tc>
        <w:tc>
          <w:tcPr>
            <w:tcW w:type="dxa" w:w="18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眼球不可见</w:t>
            </w:r>
          </w:p>
        </w:tc>
        <w:tc>
          <w:tcPr>
            <w:tcW w:type="dxa" w:w="14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静态庙堂镜头、开眼起点</w:t>
            </w:r>
          </w:p>
        </w:tc>
        <w:tc>
          <w:tcPr>
            <w:tcW w:type="dxa" w:w="1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脸、眉、冠、须和裂纹像素级不漂移</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STATUE-EYE60-01</w:t>
            </w:r>
          </w:p>
        </w:tc>
        <w:tc>
          <w:tcPr>
            <w:tcW w:type="dxa" w:w="29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同一母版上双眼开启至 60%</w:t>
            </w:r>
          </w:p>
        </w:tc>
        <w:tc>
          <w:tcPr>
            <w:tcW w:type="dxa" w:w="18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暗褐眼球；只允许自然弱反光</w:t>
            </w:r>
          </w:p>
        </w:tc>
        <w:tc>
          <w:tcPr>
            <w:tcW w:type="dxa" w:w="14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唯一开眼终态</w:t>
            </w:r>
          </w:p>
        </w:tc>
        <w:tc>
          <w:tcPr>
            <w:tcW w:type="dxa" w:w="1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不得改变眼型、瞳孔方向和面部结构</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STATUE-OLD-CLOSED</w:t>
            </w:r>
          </w:p>
        </w:tc>
        <w:tc>
          <w:tcPr>
            <w:tcW w:type="dxa" w:w="29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旧庙表面层 + CLOSED</w:t>
            </w:r>
          </w:p>
        </w:tc>
        <w:tc>
          <w:tcPr>
            <w:tcW w:type="dxa" w:w="18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同 CLOSED</w:t>
            </w:r>
          </w:p>
        </w:tc>
        <w:tc>
          <w:tcPr>
            <w:tcW w:type="dxa" w:w="14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首尾闭眼状态</w:t>
            </w:r>
          </w:p>
        </w:tc>
        <w:tc>
          <w:tcPr>
            <w:tcW w:type="dxa" w:w="13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只叠加已批准老化层</w:t>
            </w:r>
          </w:p>
        </w:tc>
      </w:tr>
    </w:tbl>
    <w:p>
      <w:pPr>
        <w:spacing w:after="40"/>
      </w:pPr>
    </w:p>
    <w:p>
      <w:pPr>
        <w:pStyle w:val="Heading2"/>
      </w:pPr>
      <w:r>
        <w:t>眼部运动协议</w:t>
      </w:r>
    </w:p>
    <w:p>
      <w:pPr>
        <w:numPr>
          <w:ilvl w:val="0"/>
          <w:numId w:val="11"/>
        </w:numPr>
      </w:pPr>
      <w:r>
        <w:t>0.0-1.5 秒：闭眼母版完全静止。</w:t>
      </w:r>
    </w:p>
    <w:p>
      <w:pPr>
        <w:numPr>
          <w:ilvl w:val="0"/>
          <w:numId w:val="11"/>
        </w:numPr>
      </w:pPr>
      <w:r>
        <w:t>1.5-3.5 秒：只移动上、下眼睑，极慢开启至 60%；头、嘴、眉、鼻翼、长须、冠翅和双手器物均零运动。</w:t>
      </w:r>
    </w:p>
    <w:p>
      <w:pPr>
        <w:numPr>
          <w:ilvl w:val="0"/>
          <w:numId w:val="11"/>
        </w:numPr>
      </w:pPr>
      <w:r>
        <w:t>3.5-4.0 秒：保持 60% 睁眼；眼球不游移，不做口型，不点头。</w:t>
      </w:r>
    </w:p>
    <w:p>
      <w:pPr>
        <w:numPr>
          <w:ilvl w:val="0"/>
          <w:numId w:val="11"/>
        </w:numPr>
      </w:pPr>
      <w:r>
        <w:t>若开眼导致脸形、纹样或材质液化，改用闭眼/30%/60% 三张同机位静帧的局部遮罩合成。</w:t>
      </w:r>
    </w:p>
    <w:p>
      <w:pPr>
        <w:numPr>
          <w:ilvl w:val="0"/>
          <w:numId w:val="10"/>
        </w:numPr>
      </w:pPr>
      <w:r>
        <w:t>宝珠是否实际发光为导演裁决项；在裁决前只按‘亮蓝色材质’处理，不外溢光晕、不照亮脸和袍服。</w:t>
      </w:r>
    </w:p>
    <w:p>
      <w:pPr>
        <w:pStyle w:val="Heading1"/>
      </w:pPr>
      <w:r>
        <w:t>6. 当前允许与禁止的制作动作</w:t>
      </w:r>
    </w:p>
    <w:tbl>
      <w:tblPr>
        <w:tblStyle w:val="TableGrid"/>
        <w:tblW w:type="dxa" w:w="9360"/>
        <w:tblLayout w:type="fixed"/>
        <w:tblLook w:firstColumn="1" w:firstRow="1" w:lastColumn="0" w:lastRow="0" w:noHBand="0" w:noVBand="1" w:val="04A0"/>
        <w:tblInd w:w="120" w:type="dxa"/>
      </w:tblPr>
      <w:tblGrid>
        <w:gridCol w:w="1500"/>
        <w:gridCol w:w="3010"/>
        <w:gridCol w:w="2800"/>
        <w:gridCol w:w="2050"/>
      </w:tblGrid>
      <w:tr>
        <w:trPr>
          <w:tblHeader w:val="true"/>
        </w:trPr>
        <w:tc>
          <w:tcPr>
            <w:tcW w:type="dxa" w:w="15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阶段</w:t>
            </w:r>
          </w:p>
        </w:tc>
        <w:tc>
          <w:tcPr>
            <w:tcW w:type="dxa" w:w="301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可执行</w:t>
            </w:r>
          </w:p>
        </w:tc>
        <w:tc>
          <w:tcPr>
            <w:tcW w:type="dxa" w:w="28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不可执行</w:t>
            </w:r>
          </w:p>
        </w:tc>
        <w:tc>
          <w:tcPr>
            <w:tcW w:type="dxa" w:w="20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通过条件</w:t>
            </w:r>
          </w:p>
        </w:tc>
      </w:tr>
      <w:tr>
        <w:tc>
          <w:tcPr>
            <w:tcW w:type="dxa" w:w="15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A 规范期（当前）</w:t>
            </w:r>
          </w:p>
        </w:tc>
        <w:tc>
          <w:tcPr>
            <w:tcW w:type="dxa" w:w="30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目录、命名、造型锁定表、材质栈、状态协议、验收表</w:t>
            </w:r>
          </w:p>
        </w:tc>
        <w:tc>
          <w:tcPr>
            <w:tcW w:type="dxa" w:w="28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生成候选图、重画脸、重设器物、独立选脸</w:t>
            </w:r>
          </w:p>
        </w:tc>
        <w:tc>
          <w:tcPr>
            <w:tcW w:type="dxa" w:w="20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用户重新附图或把原图复制到可访问目录</w:t>
            </w:r>
          </w:p>
        </w:tc>
      </w:tr>
      <w:tr>
        <w:tc>
          <w:tcPr>
            <w:tcW w:type="dxa" w:w="15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B 参考挂载</w:t>
            </w:r>
          </w:p>
        </w:tc>
        <w:tc>
          <w:tcPr>
            <w:tcW w:type="dxa" w:w="30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校验分辨率、方向、裁切；建立不可变特征遮罩与像素坐标</w:t>
            </w:r>
          </w:p>
        </w:tc>
        <w:tc>
          <w:tcPr>
            <w:tcW w:type="dxa" w:w="28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修复性改画、镜像、自动美化覆盖原图</w:t>
            </w:r>
          </w:p>
        </w:tc>
        <w:tc>
          <w:tcPr>
            <w:tcW w:type="dxa" w:w="20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STATUE_MASTER_REF 获导演确认</w:t>
            </w:r>
          </w:p>
        </w:tc>
      </w:tr>
      <w:tr>
        <w:tc>
          <w:tcPr>
            <w:tcW w:type="dxa" w:w="15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C 状态派生</w:t>
            </w:r>
          </w:p>
        </w:tc>
        <w:tc>
          <w:tcPr>
            <w:tcW w:type="dxa" w:w="30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轻/中老化候选、闭眼/30%/60% 配对、参数记录</w:t>
            </w:r>
          </w:p>
        </w:tc>
        <w:tc>
          <w:tcPr>
            <w:tcW w:type="dxa" w:w="28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改变任何十项硬锁造型</w:t>
            </w:r>
          </w:p>
        </w:tc>
        <w:tc>
          <w:tcPr>
            <w:tcW w:type="dxa" w:w="20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造型、材质、状态三道验收全过</w:t>
            </w:r>
          </w:p>
        </w:tc>
      </w:tr>
      <w:tr>
        <w:tc>
          <w:tcPr>
            <w:tcW w:type="dxa" w:w="15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7"/>
              </w:rPr>
              <w:t>D 镜头调用</w:t>
            </w:r>
          </w:p>
        </w:tc>
        <w:tc>
          <w:tcPr>
            <w:tcW w:type="dxa" w:w="301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在批准母版上叠加庙堂灯光、烟层和相机运动</w:t>
            </w:r>
          </w:p>
        </w:tc>
        <w:tc>
          <w:tcPr>
            <w:tcW w:type="dxa" w:w="28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每镜重新生成神像、宝珠自行发光</w:t>
            </w:r>
          </w:p>
        </w:tc>
        <w:tc>
          <w:tcPr>
            <w:tcW w:type="dxa" w:w="20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7"/>
              </w:rPr>
              <w:t>首尾及近景连续性检查通过</w:t>
            </w:r>
          </w:p>
        </w:tc>
      </w:tr>
    </w:tbl>
    <w:p>
      <w:pPr>
        <w:spacing w:after="40"/>
      </w:pPr>
    </w:p>
    <w:p>
      <w:pPr>
        <w:pStyle w:val="Heading1"/>
      </w:pPr>
      <w:r>
        <w:t>7. 生成提示词框架（参考图挂载后使用）</w:t>
      </w:r>
    </w:p>
    <w:p>
      <w:pPr w:contextualSpacing="1">
        <w:pStyle w:val="PromptBlock"/>
        <w:shd w:fill="F4F6F9"/>
        <w:spacing w:before="80" w:after="160" w:line="264" w:lineRule="auto"/>
        <w:ind w:left="173" w:right="173"/>
      </w:pPr>
      <w:r>
        <w:rPr>
          <w:rFonts w:ascii="Calibri" w:hAnsi="Calibri" w:eastAsia="Microsoft YaHei"/>
          <w:b/>
          <w:i w:val="0"/>
          <w:color w:val="1F4D78"/>
          <w:sz w:val="18"/>
        </w:rPr>
        <w:t>A｜造型绑定 Prompt</w:t>
        <w:br/>
      </w:r>
      <w:r>
        <w:rPr>
          <w:rFonts w:ascii="Consolas" w:hAnsi="Consolas" w:eastAsia="Microsoft YaHei"/>
          <w:b w:val="0"/>
          <w:i w:val="0"/>
          <w:color w:val="1F2A30"/>
          <w:sz w:val="17"/>
        </w:rPr>
        <w:t>Use @STATUE_MASTER_REF as the highest-authority image reference. Preserve the exact frontal standing statue silhouette, tall red crown, horizontally extended gold crown wings, straight black eyebrows, narrow elongated eyes, long black beard, bright red official robe, gold coiling dragon with blue cloud motifs on the chest, black-and-gold belt and central hanging ornament, the statue's right hand on image-left holding a bright blue orb, the statue's left hand on image-right holding the exact gold ceremonial object from the reference, and the blue ocean-wave round pedestal. Do not reinterpret, mirror, replace, simplify, crop, or redesign any locked feature. Unmistakably a painted sculpture, not a living person.</w:t>
      </w:r>
    </w:p>
    <w:p>
      <w:pPr w:contextualSpacing="1">
        <w:pStyle w:val="PromptBlock"/>
        <w:shd w:fill="F4F6F9"/>
        <w:spacing w:before="80" w:after="160" w:line="264" w:lineRule="auto"/>
        <w:ind w:left="173" w:right="173"/>
      </w:pPr>
      <w:r>
        <w:rPr>
          <w:rFonts w:ascii="Calibri" w:hAnsi="Calibri" w:eastAsia="Microsoft YaHei"/>
          <w:b/>
          <w:i w:val="0"/>
          <w:color w:val="1F4D78"/>
          <w:sz w:val="18"/>
        </w:rPr>
        <w:t>B｜旧庙表面层 Prompt</w:t>
        <w:br/>
      </w:r>
      <w:r>
        <w:rPr>
          <w:rFonts w:ascii="Consolas" w:hAnsi="Consolas" w:eastAsia="Microsoft YaHei"/>
          <w:b w:val="0"/>
          <w:i w:val="0"/>
          <w:color w:val="1F2A30"/>
          <w:sz w:val="17"/>
        </w:rPr>
        <w:t>Apply a restrained old-temple surface treatment to the locked @STATUE_MASTER geometry only: aged wooden core, thin clay leveling layer, matte mineral pigments, fine stable crackle, small localized paint chips, shallow dust in recesses, restrained incense soot, and worn old-gold edges. Preserve the exact face, red crown, gold crown wings, dragon and cloud motifs, both hand-held objects, black-gold waist ornaments, and blue wave pedestal. Age the surface without changing silhouette, color-block readability, pose, proportions, iconography, or object placement.</w:t>
      </w:r>
    </w:p>
    <w:p>
      <w:pPr w:contextualSpacing="1">
        <w:pStyle w:val="PromptBlock"/>
        <w:shd w:fill="F4F6F9"/>
        <w:spacing w:before="80" w:after="160" w:line="264" w:lineRule="auto"/>
        <w:ind w:left="173" w:right="173"/>
      </w:pPr>
      <w:r>
        <w:rPr>
          <w:rFonts w:ascii="Calibri" w:hAnsi="Calibri" w:eastAsia="Microsoft YaHei"/>
          <w:b/>
          <w:i w:val="0"/>
          <w:color w:val="1F4D78"/>
          <w:sz w:val="18"/>
        </w:rPr>
        <w:t>C｜闭眼与 60% 睁眼配对 Prompt</w:t>
        <w:br/>
      </w:r>
      <w:r>
        <w:rPr>
          <w:rFonts w:ascii="Consolas" w:hAnsi="Consolas" w:eastAsia="Microsoft YaHei"/>
          <w:b w:val="0"/>
          <w:i w:val="0"/>
          <w:color w:val="1F2A30"/>
          <w:sz w:val="17"/>
        </w:rPr>
        <w:t>Locked camera and locked pixels outside the eyelid masks. Derive a fully closed-eye state and a sixty-percent-open state from the same approved @STATUE_MASTER_REF. Reveal dark-brown eyes with only a tiny natural reflection. Move eyelids only. Keep the face, crown, crown wings, eyebrows, beard, robe motifs, hands, objects, pedestal, cracks, paint chips and soot absolutely unchanged.</w:t>
      </w:r>
    </w:p>
    <w:p>
      <w:pPr w:contextualSpacing="1">
        <w:pStyle w:val="PromptBlock"/>
        <w:shd w:fill="F4F6F9"/>
        <w:spacing w:before="80" w:after="160" w:line="264" w:lineRule="auto"/>
        <w:ind w:left="173" w:right="173"/>
      </w:pPr>
      <w:r>
        <w:rPr>
          <w:rFonts w:ascii="Calibri" w:hAnsi="Calibri" w:eastAsia="Microsoft YaHei"/>
          <w:b/>
          <w:i w:val="0"/>
          <w:color w:val="1F4D78"/>
          <w:sz w:val="18"/>
        </w:rPr>
        <w:t>Negative Prompt</w:t>
        <w:br/>
      </w:r>
      <w:r>
        <w:rPr>
          <w:rFonts w:ascii="Consolas" w:hAnsi="Consolas" w:eastAsia="Microsoft YaHei"/>
          <w:b w:val="0"/>
          <w:i w:val="0"/>
          <w:color w:val="1F2A30"/>
          <w:sz w:val="17"/>
        </w:rPr>
        <w:t>seated statue, scroll in left hand, right hand on knee, missing orb, ingot, coin pile, swapped hands, mirrored image, altered ceremonial object, redesigned crown, missing crown wings, round eyes, short beard, plain dark robe, missing dragon, missing blue clouds, missing belt pendant, lotus pedestal, square pedestal, living skin, pores, subsurface scattering, moist lips, head movement, mouth movement, lip sync, beard movement, glowing eyes, golden aura, fantasy light beams, structural breakage, random cracks, fresh full-body gold leaf, text, logo, watermark</w:t>
      </w:r>
    </w:p>
    <w:p>
      <w:pPr>
        <w:pStyle w:val="Heading1"/>
      </w:pPr>
      <w:r>
        <w:t>8. 导演裁决项</w:t>
      </w:r>
    </w:p>
    <w:tbl>
      <w:tblPr>
        <w:tblStyle w:val="TableGrid"/>
        <w:tblW w:type="dxa" w:w="9360"/>
        <w:tblLayout w:type="fixed"/>
        <w:tblLook w:firstColumn="1" w:firstRow="1" w:lastColumn="0" w:lastRow="0" w:noHBand="0" w:noVBand="1" w:val="04A0"/>
        <w:tblInd w:w="120" w:type="dxa"/>
      </w:tblPr>
      <w:tblGrid>
        <w:gridCol w:w="1900"/>
        <w:gridCol w:w="2650"/>
        <w:gridCol w:w="2850"/>
        <w:gridCol w:w="1960"/>
      </w:tblGrid>
      <w:tr>
        <w:trPr>
          <w:tblHeader w:val="true"/>
        </w:trPr>
        <w:tc>
          <w:tcPr>
            <w:tcW w:type="dxa" w:w="19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裁决项</w:t>
            </w:r>
          </w:p>
        </w:tc>
        <w:tc>
          <w:tcPr>
            <w:tcW w:type="dxa" w:w="26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默认临时值</w:t>
            </w:r>
          </w:p>
        </w:tc>
        <w:tc>
          <w:tcPr>
            <w:tcW w:type="dxa" w:w="28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可选范围</w:t>
            </w:r>
          </w:p>
        </w:tc>
        <w:tc>
          <w:tcPr>
            <w:tcW w:type="dxa" w:w="196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裁决后影响</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宝珠发光</w:t>
            </w:r>
          </w:p>
        </w:tc>
        <w:tc>
          <w:tcPr>
            <w:tcW w:type="dxa" w:w="26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不实际发光；仅亮蓝材质高光</w:t>
            </w:r>
          </w:p>
        </w:tc>
        <w:tc>
          <w:tcPr>
            <w:tcW w:type="dxa" w:w="28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A 不发光 / B 微弱内发光且不外溢 / C 明显发光（需专项审批）</w:t>
            </w:r>
          </w:p>
        </w:tc>
        <w:tc>
          <w:tcPr>
            <w:tcW w:type="dxa" w:w="19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灯光、反射、近景曝光与负面词</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旧庙老化程度</w:t>
            </w:r>
          </w:p>
        </w:tc>
        <w:tc>
          <w:tcPr>
            <w:tcW w:type="dxa" w:w="26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轻度</w:t>
            </w:r>
          </w:p>
        </w:tc>
        <w:tc>
          <w:tcPr>
            <w:tcW w:type="dxa" w:w="285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A 轻度 / B 中度；不提供重度破坏版本</w:t>
            </w:r>
          </w:p>
        </w:tc>
        <w:tc>
          <w:tcPr>
            <w:tcW w:type="dxa" w:w="19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裂纹密度、掉漆面积、烟熏和饱和度</w:t>
            </w:r>
          </w:p>
        </w:tc>
      </w:tr>
    </w:tbl>
    <w:p>
      <w:pPr>
        <w:spacing w:after="40"/>
      </w:pPr>
    </w:p>
    <w:p>
      <w:pPr>
        <w:pStyle w:val="Heading1"/>
      </w:pPr>
      <w:r>
        <w:t>9. 验收表</w:t>
      </w:r>
    </w:p>
    <w:p>
      <w:pPr>
        <w:numPr>
          <w:ilvl w:val="0"/>
          <w:numId w:val="10"/>
        </w:numPr>
      </w:pPr>
      <w:r>
        <w:t>□ G01  正面直立；红色高冠；左右横展金色冠翅全部匹配参考图。</w:t>
      </w:r>
    </w:p>
    <w:p>
      <w:pPr>
        <w:numPr>
          <w:ilvl w:val="0"/>
          <w:numId w:val="10"/>
        </w:numPr>
      </w:pPr>
      <w:r>
        <w:t>□ G02  平直黑眉、细长眼、长黑须及脸部轮廓未改；第一眼仍是雕塑。</w:t>
      </w:r>
    </w:p>
    <w:p>
      <w:pPr>
        <w:numPr>
          <w:ilvl w:val="0"/>
          <w:numId w:val="10"/>
        </w:numPr>
      </w:pPr>
      <w:r>
        <w:t>□ G03  大红官式神袍、金色盘龙、蓝色云纹、黑金腰带和中央垂饰完整。</w:t>
      </w:r>
    </w:p>
    <w:p>
      <w:pPr>
        <w:numPr>
          <w:ilvl w:val="0"/>
          <w:numId w:val="10"/>
        </w:numPr>
      </w:pPr>
      <w:r>
        <w:t>□ G04  自身右手/画面左托亮蓝宝珠；自身左手/画面右持原参考金色礼仪物；没有镜像或换物。</w:t>
      </w:r>
    </w:p>
    <w:p>
      <w:pPr>
        <w:numPr>
          <w:ilvl w:val="0"/>
          <w:numId w:val="10"/>
        </w:numPr>
      </w:pPr>
      <w:r>
        <w:t>□ G05  蓝色海浪纹圆座结构与纹样完整；未换成莲座、方台或其他底座。</w:t>
      </w:r>
    </w:p>
    <w:p>
      <w:pPr>
        <w:numPr>
          <w:ilvl w:val="0"/>
          <w:numId w:val="10"/>
        </w:numPr>
      </w:pPr>
      <w:r>
        <w:t>□ G06  旧庙层只改变表面，不改变脸、冠、冠翅、胸纹、双手物件和底座结构。</w:t>
      </w:r>
    </w:p>
    <w:p>
      <w:pPr>
        <w:numPr>
          <w:ilvl w:val="0"/>
          <w:numId w:val="10"/>
        </w:numPr>
      </w:pPr>
      <w:r>
        <w:t>□ G07  闭眼与 60% 睁眼除眼睑和眼球可见度外，其余像素特征稳定；无口型和头部动作。</w:t>
      </w:r>
    </w:p>
    <w:p>
      <w:pPr>
        <w:numPr>
          <w:ilvl w:val="0"/>
          <w:numId w:val="10"/>
        </w:numPr>
      </w:pPr>
      <w:r>
        <w:t>□ G08  宝珠发光和老化强度严格采用最新导演裁决；未裁决时使用默认临时值。</w:t>
      </w:r>
    </w:p>
    <w:p>
      <w:pPr>
        <w:numPr>
          <w:ilvl w:val="0"/>
          <w:numId w:val="10"/>
        </w:numPr>
      </w:pPr>
      <w:r>
        <w:t>□ G09  源图、提示词、模型版本、种子、参考权重、参数、候选、批准记录均保存在指定目录。</w:t>
      </w:r>
    </w:p>
    <w:p>
      <w:pPr>
        <w:pStyle w:val="Heading1"/>
      </w:pPr>
      <w:r>
        <w:t>10. 目录与命名规范</w:t>
      </w:r>
    </w:p>
    <w:tbl>
      <w:tblPr>
        <w:tblStyle w:val="TableGrid"/>
        <w:tblW w:type="dxa" w:w="9360"/>
        <w:tblLayout w:type="fixed"/>
        <w:tblLook w:firstColumn="1" w:firstRow="1" w:lastColumn="0" w:lastRow="0" w:noHBand="0" w:noVBand="1" w:val="04A0"/>
        <w:tblInd w:w="120" w:type="dxa"/>
      </w:tblPr>
      <w:tblGrid>
        <w:gridCol w:w="1900"/>
        <w:gridCol w:w="3500"/>
        <w:gridCol w:w="3960"/>
      </w:tblGrid>
      <w:tr>
        <w:trPr>
          <w:tblHeader w:val="true"/>
        </w:trPr>
        <w:tc>
          <w:tcPr>
            <w:tcW w:type="dxa" w:w="19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目录</w:t>
            </w:r>
          </w:p>
        </w:tc>
        <w:tc>
          <w:tcPr>
            <w:tcW w:type="dxa" w:w="35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内容</w:t>
            </w:r>
          </w:p>
        </w:tc>
        <w:tc>
          <w:tcPr>
            <w:tcW w:type="dxa" w:w="396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18"/>
              </w:rPr>
              <w:t>命名示例</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00_规范</w:t>
            </w:r>
          </w:p>
        </w:tc>
        <w:tc>
          <w:tcPr>
            <w:tcW w:type="dxa" w:w="3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本规范、变更记录、导演裁决单</w:t>
            </w:r>
          </w:p>
        </w:tc>
        <w:tc>
          <w:tcPr>
            <w:tcW w:type="dxa" w:w="39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STATUE_MASTER_spec_v002.docx</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01_参考图</w:t>
            </w:r>
          </w:p>
        </w:tc>
        <w:tc>
          <w:tcPr>
            <w:tcW w:type="dxa" w:w="3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财神正面原图、来源说明、方向校验图</w:t>
            </w:r>
          </w:p>
        </w:tc>
        <w:tc>
          <w:tcPr>
            <w:tcW w:type="dxa" w:w="39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STATUE_MASTER_REF_v001.png</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02_候选图</w:t>
            </w:r>
          </w:p>
        </w:tc>
        <w:tc>
          <w:tcPr>
            <w:tcW w:type="dxa" w:w="3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轻/中老化、闭眼与睁眼候选</w:t>
            </w:r>
          </w:p>
        </w:tc>
        <w:tc>
          <w:tcPr>
            <w:tcW w:type="dxa" w:w="39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STATUE_OLD_CLOSED_c01.png</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03_批准图</w:t>
            </w:r>
          </w:p>
        </w:tc>
        <w:tc>
          <w:tcPr>
            <w:tcW w:type="dxa" w:w="3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最终批准母版与各状态</w:t>
            </w:r>
          </w:p>
        </w:tc>
        <w:tc>
          <w:tcPr>
            <w:tcW w:type="dxa" w:w="39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STATUE_MASTER_APPROVED_v001.png</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04_材质状态</w:t>
            </w:r>
          </w:p>
        </w:tc>
        <w:tc>
          <w:tcPr>
            <w:tcW w:type="dxa" w:w="3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材质片、老化遮罩、闭眼/30%/60% 配对</w:t>
            </w:r>
          </w:p>
        </w:tc>
        <w:tc>
          <w:tcPr>
            <w:tcW w:type="dxa" w:w="39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STATUE_EYE60_PAIR_v001.png</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05_参数</w:t>
            </w:r>
          </w:p>
        </w:tc>
        <w:tc>
          <w:tcPr>
            <w:tcW w:type="dxa" w:w="3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提示词、负面词、模型、种子、参考权重</w:t>
            </w:r>
          </w:p>
        </w:tc>
        <w:tc>
          <w:tcPr>
            <w:tcW w:type="dxa" w:w="39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STATUE_generation_params_v001.json</w:t>
            </w:r>
          </w:p>
        </w:tc>
      </w:tr>
      <w:tr>
        <w:tc>
          <w:tcPr>
            <w:tcW w:type="dxa" w:w="1900"/>
            <w:tcMar>
              <w:top w:w="80" w:type="dxa"/>
              <w:start w:w="120" w:type="dxa"/>
              <w:bottom w:w="80" w:type="dxa"/>
              <w:end w:w="120" w:type="dxa"/>
            </w:tcMar>
            <w:vAlign w:val="center"/>
          </w:tcPr>
          <w:p>
            <w:pPr>
              <w:spacing w:before="0" w:after="40" w:line="276" w:lineRule="auto"/>
              <w:jc w:val="center"/>
            </w:pPr>
            <w:r>
              <w:rPr>
                <w:rFonts w:ascii="Calibri" w:hAnsi="Calibri" w:eastAsia="Microsoft YaHei"/>
                <w:b w:val="0"/>
                <w:i w:val="0"/>
                <w:color w:val="1F2A30"/>
                <w:sz w:val="18"/>
              </w:rPr>
              <w:t>06_验收记录</w:t>
            </w:r>
          </w:p>
        </w:tc>
        <w:tc>
          <w:tcPr>
            <w:tcW w:type="dxa" w:w="350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G01-G09 核对、导演裁决、修复记录</w:t>
            </w:r>
          </w:p>
        </w:tc>
        <w:tc>
          <w:tcPr>
            <w:tcW w:type="dxa" w:w="3960"/>
            <w:tcMar>
              <w:top w:w="80" w:type="dxa"/>
              <w:start w:w="120" w:type="dxa"/>
              <w:bottom w:w="80" w:type="dxa"/>
              <w:end w:w="120" w:type="dxa"/>
            </w:tcMar>
            <w:vAlign w:val="center"/>
          </w:tcPr>
          <w:p>
            <w:pPr>
              <w:spacing w:before="0" w:after="40" w:line="276" w:lineRule="auto"/>
            </w:pPr>
            <w:r>
              <w:rPr>
                <w:rFonts w:ascii="Calibri" w:hAnsi="Calibri" w:eastAsia="Microsoft YaHei"/>
                <w:b w:val="0"/>
                <w:i w:val="0"/>
                <w:color w:val="1F2A30"/>
                <w:sz w:val="18"/>
              </w:rPr>
              <w:t>STATUE_QA_v001.xlsx</w:t>
            </w:r>
          </w:p>
        </w:tc>
      </w:tr>
    </w:tbl>
    <w:p>
      <w:pPr>
        <w:spacing w:after="40"/>
      </w:pPr>
    </w:p>
    <w:p>
      <w:pPr>
        <w:numPr>
          <w:ilvl w:val="0"/>
          <w:numId w:val="10"/>
        </w:numPr>
      </w:pPr>
      <w:r>
        <w:t>唯一资产根目录：D:\范蠡AIGC\01_人物资产\STATUE_财神神像。后续文件不得散落到其他分支目录。</w:t>
      </w:r>
    </w:p>
    <w:p>
      <w:pPr>
        <w:pStyle w:val="Heading1"/>
      </w:pPr>
      <w:r>
        <w:t>11. 输入缺口与下一动作</w:t>
      </w:r>
    </w:p>
    <w:p>
      <w:pPr>
        <w:numPr>
          <w:ilvl w:val="0"/>
          <w:numId w:val="11"/>
        </w:numPr>
      </w:pPr>
      <w:r>
        <w:t>用户在本分支重新附加 财神正面.png，或将其复制到当前项目可访问目录并提供路径。</w:t>
      </w:r>
    </w:p>
    <w:p>
      <w:pPr>
        <w:numPr>
          <w:ilvl w:val="0"/>
          <w:numId w:val="11"/>
        </w:numPr>
      </w:pPr>
      <w:r>
        <w:t>建立 @STATUE_MASTER_REF，核验图像未镜像、未压缩失真、完整包含冠翅、双手物件和海浪圆座。</w:t>
      </w:r>
    </w:p>
    <w:p>
      <w:pPr>
        <w:numPr>
          <w:ilvl w:val="0"/>
          <w:numId w:val="11"/>
        </w:numPr>
      </w:pPr>
      <w:r>
        <w:t>导演裁决：宝珠发光等级、旧庙老化等级。</w:t>
      </w:r>
    </w:p>
    <w:p>
      <w:pPr>
        <w:numPr>
          <w:ilvl w:val="0"/>
          <w:numId w:val="11"/>
        </w:numPr>
      </w:pPr>
      <w:r>
        <w:t>只从已批准母版生成旧庙表面状态和闭眼/60% 睁眼配对，再进入镜头制作。</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6717A"/>
        <w:sz w:val="18"/>
      </w:rPr>
      <w:t xml:space="preserve">第 </w:t>
    </w:r>
    <w:r>
      <w:fldChar w:fldCharType="begin"/>
      <w:instrText xml:space="preserve"> PAGE </w:instrText>
      <w:fldChar w:fldCharType="separate"/>
      <w:t>1</w:t>
      <w:fldChar w:fldCharType="end"/>
    </w:r>
    <w:r>
      <w:rPr>
        <w:rFonts w:ascii="Calibri" w:hAnsi="Calibri" w:eastAsia="Microsoft YaHei"/>
        <w:b w:val="0"/>
        <w:i w:val="0"/>
        <w:color w:val="66717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66717A"/>
        <w:sz w:val="17"/>
      </w:rPr>
      <w:t>STATUE_MASTER 资产规范 | 《散尽千金的人，为什么成了财神？》</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1F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Microsoft YaHei"/>
      <w:b/>
      <w:color w:val="1F2A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20" w:line="276" w:lineRule="auto"/>
    </w:pPr>
    <w:rPr>
      <w:rFonts w:asciiTheme="majorHAnsi" w:eastAsiaTheme="majorEastAsia" w:hAnsiTheme="majorHAnsi" w:cstheme="majorBidi" w:ascii="Calibri" w:hAnsi="Calibri" w:eastAsia="Microsoft YaHei"/>
      <w:b w:val="0"/>
      <w:i/>
      <w:iCs/>
      <w:color w:val="6671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widowControl/>
      <w:spacing w:before="80" w:after="160" w:line="264" w:lineRule="auto"/>
    </w:pPr>
    <w:rPr>
      <w:rFonts w:ascii="Consolas" w:hAnsi="Consolas" w:eastAsia="Microsoft YaHei"/>
      <w:b w:val="0"/>
      <w:color w:val="1F2A3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STATUE_MASTER 财神神像 - 造型材质与状态规范 v2.0</dc:title>
  <dc:subject>AIGC 角色资产 STATUE</dc:subject>
  <dc:creator>Codex</dc:creator>
  <cp:keywords>STATUE_MASTER, 财神正面, 神像, AIGC, 材质规范, 状态配对</cp:keywords>
  <dc:description>generated by python-docx</dc:description>
  <cp:lastModifiedBy/>
  <cp:revision>1</cp:revision>
  <dcterms:created xsi:type="dcterms:W3CDTF">2013-12-23T23:15:00Z</dcterms:created>
  <dcterms:modified xsi:type="dcterms:W3CDTF">2013-12-23T23:15:00Z</dcterms:modified>
  <cp:category/>
</cp:coreProperties>
</file>