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07"/>
        <w:ind w:left="3295" w:right="3695" w:firstLine="0"/>
        <w:jc w:val="center"/>
        <w:rPr>
          <w:rFonts w:ascii="微软雅黑" w:eastAsia="微软雅黑" w:hint="eastAsia"/>
          <w:b/>
          <w:sz w:val="32"/>
        </w:rPr>
      </w:pPr>
      <w:r>
        <w:rPr>
          <w:rFonts w:ascii="微软雅黑" w:eastAsia="微软雅黑" w:hint="eastAsia"/>
          <w:b/>
          <w:color w:val="000007"/>
          <w:sz w:val="32"/>
        </w:rPr>
        <w:t>第九章知识点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311" w:after="0"/>
        <w:ind w:left="400" w:right="0" w:hanging="281"/>
        <w:jc w:val="left"/>
        <w:rPr>
          <w:sz w:val="21"/>
        </w:rPr>
      </w:pPr>
      <w:r>
        <w:rPr>
          <w:color w:val="000007"/>
          <w:sz w:val="21"/>
        </w:rPr>
        <w:t>虚拟页表和实际物理页的分配关系</w:t>
      </w: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1378058</wp:posOffset>
            </wp:positionH>
            <wp:positionV relativeFrom="paragraph">
              <wp:posOffset>137093</wp:posOffset>
            </wp:positionV>
            <wp:extent cx="4220357" cy="300523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357" cy="300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76" w:lineRule="auto" w:before="57" w:after="0"/>
        <w:ind w:left="120" w:right="517" w:firstLine="0"/>
        <w:jc w:val="left"/>
        <w:rPr>
          <w:sz w:val="21"/>
        </w:rPr>
      </w:pPr>
      <w:r>
        <w:rPr>
          <w:color w:val="000007"/>
          <w:sz w:val="21"/>
        </w:rPr>
        <w:t>缺页之后的处理方法：选择一个牺牲页，然后进行替换，重新换入相应的页面。然后重新运行触发缺页的指令，此时则可以找到相应的页面。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95" w:lineRule="auto" w:before="6" w:after="0"/>
        <w:ind w:left="120" w:right="513" w:firstLine="0"/>
        <w:jc w:val="left"/>
        <w:rPr>
          <w:rFonts w:ascii="Arial" w:eastAsia="Arial"/>
          <w:sz w:val="21"/>
        </w:rPr>
      </w:pPr>
      <w:r>
        <w:rPr>
          <w:color w:val="000007"/>
          <w:spacing w:val="-2"/>
          <w:sz w:val="21"/>
        </w:rPr>
        <w:t>工作集：程序将趋于在一个较小的活动页面集合上工作，这个集合叫做工作集 </w:t>
      </w:r>
      <w:r>
        <w:rPr>
          <w:rFonts w:ascii="Arial" w:eastAsia="Arial"/>
          <w:color w:val="000007"/>
          <w:sz w:val="21"/>
        </w:rPr>
        <w:t>Working set</w:t>
      </w:r>
    </w:p>
    <w:p>
      <w:pPr>
        <w:pStyle w:val="BodyText"/>
        <w:spacing w:line="263" w:lineRule="exact"/>
        <w:ind w:left="120"/>
      </w:pPr>
      <w:r>
        <w:rPr>
          <w:color w:val="000007"/>
        </w:rPr>
        <w:t>如果需要的工作集过大，那么会引起抖动现象。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45" w:after="0"/>
        <w:ind w:left="400" w:right="0" w:hanging="281"/>
        <w:jc w:val="left"/>
        <w:rPr>
          <w:sz w:val="21"/>
        </w:rPr>
      </w:pPr>
      <w:r>
        <w:rPr>
          <w:color w:val="000007"/>
          <w:sz w:val="21"/>
        </w:rPr>
        <w:t>如何进行虚拟地址到实际物理地址的转换。</w:t>
      </w:r>
    </w:p>
    <w:p>
      <w:pPr>
        <w:pStyle w:val="BodyTex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1476198</wp:posOffset>
            </wp:positionH>
            <wp:positionV relativeFrom="paragraph">
              <wp:posOffset>171516</wp:posOffset>
            </wp:positionV>
            <wp:extent cx="5245062" cy="3168396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062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120"/>
      </w:pPr>
      <w:r>
        <w:rPr>
          <w:color w:val="000007"/>
        </w:rPr>
        <w:t>更 </w:t>
      </w:r>
      <w:r>
        <w:rPr>
          <w:rFonts w:ascii="Arial" w:eastAsia="Arial"/>
          <w:color w:val="000007"/>
        </w:rPr>
        <w:t>High-Level </w:t>
      </w:r>
      <w:r>
        <w:rPr>
          <w:color w:val="000007"/>
        </w:rPr>
        <w:t>层面的转换</w:t>
      </w:r>
    </w:p>
    <w:p>
      <w:pPr>
        <w:spacing w:after="0"/>
        <w:sectPr>
          <w:type w:val="continuous"/>
          <w:pgSz w:w="11910" w:h="16840"/>
          <w:pgMar w:top="1580" w:bottom="280" w:left="1680" w:right="1280"/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03"/>
        <w:rPr>
          <w:sz w:val="20"/>
        </w:rPr>
      </w:pPr>
      <w:r>
        <w:rPr>
          <w:sz w:val="20"/>
        </w:rPr>
        <w:drawing>
          <wp:inline distT="0" distB="0" distL="0" distR="0">
            <wp:extent cx="3893774" cy="2827020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774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149" w:after="0"/>
        <w:ind w:left="400" w:right="0" w:hanging="281"/>
        <w:jc w:val="left"/>
        <w:rPr>
          <w:sz w:val="21"/>
        </w:rPr>
      </w:pPr>
      <w:r>
        <w:rPr>
          <w:color w:val="000007"/>
          <w:sz w:val="21"/>
        </w:rPr>
        <w:t>虚拟内存和高速缓存结合起来进行数据存取的整个过程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1650182</wp:posOffset>
            </wp:positionH>
            <wp:positionV relativeFrom="paragraph">
              <wp:posOffset>126852</wp:posOffset>
            </wp:positionV>
            <wp:extent cx="4694061" cy="2773679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061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7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0" w:after="0"/>
        <w:ind w:left="400" w:right="0" w:hanging="281"/>
        <w:jc w:val="left"/>
        <w:rPr>
          <w:sz w:val="21"/>
        </w:rPr>
      </w:pPr>
      <w:r>
        <w:rPr>
          <w:rFonts w:ascii="Arial" w:eastAsia="Arial"/>
          <w:color w:val="000007"/>
          <w:sz w:val="21"/>
        </w:rPr>
        <w:t>TLB</w:t>
      </w:r>
      <w:r>
        <w:rPr>
          <w:rFonts w:ascii="Arial" w:eastAsia="Arial"/>
          <w:color w:val="000007"/>
          <w:spacing w:val="45"/>
          <w:sz w:val="21"/>
        </w:rPr>
        <w:t> </w:t>
      </w:r>
      <w:r>
        <w:rPr>
          <w:color w:val="000007"/>
          <w:sz w:val="21"/>
        </w:rPr>
        <w:t>全称 </w:t>
      </w:r>
      <w:r>
        <w:rPr>
          <w:rFonts w:ascii="Arial" w:eastAsia="Arial"/>
          <w:color w:val="000007"/>
          <w:sz w:val="21"/>
        </w:rPr>
        <w:t>Translation</w:t>
      </w:r>
      <w:r>
        <w:rPr>
          <w:rFonts w:ascii="Arial" w:eastAsia="Arial"/>
          <w:color w:val="000007"/>
          <w:spacing w:val="-1"/>
          <w:sz w:val="21"/>
        </w:rPr>
        <w:t> </w:t>
      </w:r>
      <w:r>
        <w:rPr>
          <w:rFonts w:ascii="Arial" w:eastAsia="Arial"/>
          <w:color w:val="000007"/>
          <w:sz w:val="21"/>
        </w:rPr>
        <w:t>Lookaside Buffer</w:t>
      </w:r>
      <w:r>
        <w:rPr>
          <w:rFonts w:ascii="Arial" w:eastAsia="Arial"/>
          <w:color w:val="000007"/>
          <w:spacing w:val="46"/>
          <w:sz w:val="21"/>
        </w:rPr>
        <w:t> </w:t>
      </w:r>
      <w:r>
        <w:rPr>
          <w:color w:val="000007"/>
          <w:sz w:val="21"/>
        </w:rPr>
        <w:t>快表</w:t>
      </w:r>
    </w:p>
    <w:p>
      <w:pPr>
        <w:pStyle w:val="BodyText"/>
        <w:spacing w:line="278" w:lineRule="auto" w:before="42"/>
        <w:ind w:left="540" w:right="1835"/>
      </w:pPr>
      <w:r>
        <w:rPr>
          <w:color w:val="000007"/>
        </w:rPr>
        <w:t>存储的是多个 </w:t>
      </w:r>
      <w:r>
        <w:rPr>
          <w:rFonts w:ascii="Arial" w:eastAsia="Arial"/>
          <w:color w:val="000007"/>
        </w:rPr>
        <w:t>PTE </w:t>
      </w:r>
      <w:r>
        <w:rPr>
          <w:color w:val="000007"/>
        </w:rPr>
        <w:t>的集合，在 </w:t>
      </w:r>
      <w:r>
        <w:rPr>
          <w:rFonts w:ascii="Arial" w:eastAsia="Arial"/>
          <w:color w:val="000007"/>
        </w:rPr>
        <w:t>MMU </w:t>
      </w:r>
      <w:r>
        <w:rPr>
          <w:color w:val="000007"/>
        </w:rPr>
        <w:t>中。用来加速地址翻译的过程。组织类似于高速缓存的组织，采用多路组相联的形式。</w:t>
      </w:r>
    </w:p>
    <w:p>
      <w:pPr>
        <w:pStyle w:val="BodyText"/>
        <w:spacing w:line="269" w:lineRule="exact"/>
        <w:ind w:left="540"/>
        <w:rPr>
          <w:rFonts w:ascii="Arial" w:eastAsia="Arial"/>
        </w:rPr>
      </w:pPr>
      <w:r>
        <w:rPr>
          <w:rFonts w:ascii="Arial" w:eastAsia="Arial"/>
          <w:color w:val="000007"/>
        </w:rPr>
        <w:t>TLB </w:t>
      </w:r>
      <w:r>
        <w:rPr>
          <w:color w:val="000007"/>
        </w:rPr>
        <w:t>的构成：</w:t>
      </w:r>
      <w:r>
        <w:rPr>
          <w:rFonts w:ascii="Arial" w:eastAsia="Arial"/>
          <w:color w:val="000007"/>
        </w:rPr>
        <w:t>TLBT + TLBI + VPO</w:t>
      </w:r>
    </w:p>
    <w:p>
      <w:pPr>
        <w:spacing w:after="0" w:line="269" w:lineRule="exact"/>
        <w:rPr>
          <w:rFonts w:ascii="Arial" w:eastAsia="Arial"/>
        </w:rPr>
        <w:sectPr>
          <w:pgSz w:w="11910" w:h="16840"/>
          <w:pgMar w:top="1580" w:bottom="280" w:left="1680" w:right="1280"/>
        </w:sectPr>
      </w:pPr>
    </w:p>
    <w:p>
      <w:pPr>
        <w:pStyle w:val="BodyText"/>
        <w:ind w:left="54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09037" cy="2891790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037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68"/>
        <w:ind w:left="540"/>
        <w:rPr>
          <w:rFonts w:ascii="Arial" w:eastAsia="Arial"/>
        </w:rPr>
      </w:pPr>
      <w:r>
        <w:rPr>
          <w:color w:val="000007"/>
        </w:rPr>
        <w:t>计算 </w:t>
      </w:r>
      <w:r>
        <w:rPr>
          <w:rFonts w:ascii="Arial" w:eastAsia="Arial"/>
          <w:color w:val="000007"/>
        </w:rPr>
        <w:t>TLB </w:t>
      </w:r>
      <w:r>
        <w:rPr>
          <w:color w:val="000007"/>
        </w:rPr>
        <w:t>的平均有效访问时间：</w:t>
      </w:r>
      <w:r>
        <w:rPr>
          <w:rFonts w:ascii="Arial" w:eastAsia="Arial"/>
          <w:color w:val="000007"/>
        </w:rPr>
        <w:t>HitR * (TLB + MA) + (1- HitR)*(TLB+2*MA)</w:t>
      </w:r>
    </w:p>
    <w:p>
      <w:pPr>
        <w:pStyle w:val="BodyText"/>
        <w:spacing w:line="278" w:lineRule="auto" w:before="43"/>
        <w:ind w:left="120" w:right="510" w:firstLine="420"/>
      </w:pPr>
      <w:r>
        <w:rPr>
          <w:color w:val="FF0000"/>
        </w:rPr>
        <w:t>（</w:t>
      </w:r>
      <w:r>
        <w:rPr>
          <w:rFonts w:ascii="Arial" w:eastAsia="Arial"/>
          <w:color w:val="FF0000"/>
        </w:rPr>
        <w:t>HitR </w:t>
      </w:r>
      <w:r>
        <w:rPr>
          <w:color w:val="FF0000"/>
          <w:spacing w:val="-10"/>
        </w:rPr>
        <w:t>代表访问 </w:t>
      </w:r>
      <w:r>
        <w:rPr>
          <w:rFonts w:ascii="Arial" w:eastAsia="Arial"/>
          <w:color w:val="FF0000"/>
        </w:rPr>
        <w:t>TLB </w:t>
      </w:r>
      <w:r>
        <w:rPr>
          <w:color w:val="FF0000"/>
        </w:rPr>
        <w:t>的命中率， </w:t>
      </w:r>
      <w:r>
        <w:rPr>
          <w:rFonts w:ascii="Arial" w:eastAsia="Arial"/>
          <w:color w:val="FF0000"/>
        </w:rPr>
        <w:t>TLB </w:t>
      </w:r>
      <w:r>
        <w:rPr>
          <w:color w:val="FF0000"/>
          <w:spacing w:val="1"/>
        </w:rPr>
        <w:t>代表访问 </w:t>
      </w:r>
      <w:r>
        <w:rPr>
          <w:rFonts w:ascii="Arial" w:eastAsia="Arial"/>
          <w:color w:val="FF0000"/>
        </w:rPr>
        <w:t>TLB </w:t>
      </w:r>
      <w:r>
        <w:rPr>
          <w:color w:val="FF0000"/>
        </w:rPr>
        <w:t>的时间，</w:t>
      </w:r>
      <w:r>
        <w:rPr>
          <w:rFonts w:ascii="Arial" w:eastAsia="Arial"/>
          <w:color w:val="FF0000"/>
        </w:rPr>
        <w:t>MA </w:t>
      </w:r>
      <w:r>
        <w:rPr>
          <w:color w:val="FF0000"/>
        </w:rPr>
        <w:t>代表访问主存的时间）</w:t>
      </w:r>
    </w:p>
    <w:p>
      <w:pPr>
        <w:pStyle w:val="BodyText"/>
        <w:spacing w:line="269" w:lineRule="exact"/>
        <w:ind w:left="540"/>
      </w:pPr>
      <w:r>
        <w:rPr>
          <w:color w:val="000007"/>
        </w:rPr>
        <w:t>引入 </w:t>
      </w:r>
      <w:r>
        <w:rPr>
          <w:rFonts w:ascii="Arial" w:eastAsia="Arial"/>
          <w:color w:val="000007"/>
        </w:rPr>
        <w:t>TLB </w:t>
      </w:r>
      <w:r>
        <w:rPr>
          <w:color w:val="000007"/>
        </w:rPr>
        <w:t>之后，进行地址转换的整个过程</w:t>
      </w:r>
    </w:p>
    <w:p>
      <w:pPr>
        <w:pStyle w:val="BodyText"/>
        <w:spacing w:before="3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1409700</wp:posOffset>
            </wp:positionH>
            <wp:positionV relativeFrom="paragraph">
              <wp:posOffset>132471</wp:posOffset>
            </wp:positionV>
            <wp:extent cx="5299328" cy="3403091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328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2" w:after="0"/>
        <w:ind w:left="400" w:right="0" w:hanging="281"/>
        <w:jc w:val="left"/>
        <w:rPr>
          <w:sz w:val="21"/>
        </w:rPr>
      </w:pPr>
      <w:r>
        <w:rPr>
          <w:color w:val="000007"/>
          <w:sz w:val="21"/>
        </w:rPr>
        <w:t>多级页表</w:t>
      </w:r>
    </w:p>
    <w:p>
      <w:pPr>
        <w:pStyle w:val="BodyText"/>
        <w:spacing w:before="43"/>
        <w:ind w:left="540"/>
      </w:pPr>
      <w:r>
        <w:rPr>
          <w:color w:val="000007"/>
        </w:rPr>
        <w:t>出现的原因：索引的页表项过多，导致页表项本身占用的空间过大。</w:t>
      </w:r>
    </w:p>
    <w:p>
      <w:pPr>
        <w:spacing w:after="0"/>
        <w:sectPr>
          <w:pgSz w:w="11910" w:h="16840"/>
          <w:pgMar w:top="1500" w:bottom="280" w:left="1680" w:right="1280"/>
        </w:sectPr>
      </w:pPr>
    </w:p>
    <w:p>
      <w:pPr>
        <w:pStyle w:val="BodyText"/>
        <w:ind w:left="540"/>
        <w:rPr>
          <w:sz w:val="20"/>
        </w:rPr>
      </w:pPr>
      <w:r>
        <w:rPr>
          <w:sz w:val="20"/>
        </w:rPr>
        <w:drawing>
          <wp:inline distT="0" distB="0" distL="0" distR="0">
            <wp:extent cx="5214079" cy="2982468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079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90"/>
        <w:ind w:left="540"/>
      </w:pPr>
      <w:r>
        <w:rPr>
          <w:rFonts w:ascii="Arial" w:eastAsia="Arial"/>
          <w:color w:val="000007"/>
        </w:rPr>
        <w:t>K </w:t>
      </w:r>
      <w:r>
        <w:rPr>
          <w:color w:val="000007"/>
        </w:rPr>
        <w:t>级页表的地址转换过程。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281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1476173</wp:posOffset>
            </wp:positionH>
            <wp:positionV relativeFrom="paragraph">
              <wp:posOffset>250697</wp:posOffset>
            </wp:positionV>
            <wp:extent cx="3768270" cy="2600801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70" cy="2600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7"/>
          <w:sz w:val="21"/>
        </w:rPr>
        <w:t>共享对象带来的 </w:t>
      </w:r>
      <w:r>
        <w:rPr>
          <w:rFonts w:ascii="Arial" w:eastAsia="Arial"/>
          <w:color w:val="000007"/>
          <w:sz w:val="21"/>
        </w:rPr>
        <w:t>COW</w:t>
      </w:r>
      <w:r>
        <w:rPr>
          <w:rFonts w:ascii="Arial" w:eastAsia="Arial"/>
          <w:color w:val="000007"/>
          <w:spacing w:val="48"/>
          <w:sz w:val="21"/>
        </w:rPr>
        <w:t> </w:t>
      </w:r>
      <w:r>
        <w:rPr>
          <w:color w:val="FF0000"/>
          <w:sz w:val="21"/>
        </w:rPr>
        <w:t>（</w:t>
      </w:r>
      <w:r>
        <w:rPr>
          <w:rFonts w:ascii="Arial" w:eastAsia="Arial"/>
          <w:color w:val="FF0000"/>
          <w:sz w:val="21"/>
        </w:rPr>
        <w:t>copy-on-write</w:t>
      </w:r>
      <w:r>
        <w:rPr>
          <w:color w:val="FF0000"/>
          <w:sz w:val="21"/>
        </w:rPr>
        <w:t>）</w:t>
      </w:r>
      <w:r>
        <w:rPr>
          <w:color w:val="000007"/>
          <w:sz w:val="21"/>
        </w:rPr>
        <w:t>机制</w:t>
      </w:r>
    </w:p>
    <w:sectPr>
      <w:pgSz w:w="11910" w:h="16840"/>
      <w:pgMar w:top="1540" w:bottom="280" w:left="16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281"/>
        <w:jc w:val="right"/>
      </w:pPr>
      <w:rPr>
        <w:rFonts w:hint="default" w:ascii="Arial" w:hAnsi="Arial" w:eastAsia="Arial" w:cs="Arial"/>
        <w:color w:val="000007"/>
        <w:w w:val="99"/>
        <w:sz w:val="21"/>
        <w:szCs w:val="21"/>
        <w:lang w:val="zh-CN" w:eastAsia="zh-CN" w:bidi="zh-CN"/>
      </w:rPr>
    </w:lvl>
    <w:lvl w:ilvl="1">
      <w:start w:val="0"/>
      <w:numFmt w:val="bullet"/>
      <w:lvlText w:val="•"/>
      <w:lvlJc w:val="left"/>
      <w:pPr>
        <w:ind w:left="780" w:hanging="281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687" w:hanging="281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594" w:hanging="281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502" w:hanging="281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409" w:hanging="281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316" w:hanging="281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224" w:hanging="281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131" w:hanging="281"/>
      </w:pPr>
      <w:rPr>
        <w:rFonts w:hint="default"/>
        <w:lang w:val="zh-CN" w:eastAsia="zh-CN" w:bidi="zh-C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1"/>
      <w:szCs w:val="21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spacing w:before="1"/>
      <w:ind w:left="400" w:hanging="281"/>
    </w:pPr>
    <w:rPr>
      <w:rFonts w:ascii="宋体" w:hAnsi="宋体" w:eastAsia="宋体" w:cs="宋体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yuanjingsong</dc:creator>
  <dcterms:created xsi:type="dcterms:W3CDTF">2022-06-06T02:58:42Z</dcterms:created>
  <dcterms:modified xsi:type="dcterms:W3CDTF">2022-06-06T02:58:42Z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2022-06-06T00:00:00Z</vt:filetime>
  </property>
</Properties>
</file>