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西游记 阅读整理</w:t>
      </w:r>
    </w:p>
    <w:p>
      <w:pPr>
        <w:spacing w:after="200"/>
      </w:pPr>
      <w:r>
        <w:rPr>
          <w:b w:val="0"/>
          <w:sz w:val="19"/>
        </w:rPr>
        <w:t>生成日期  2026年10月12日</w:t>
      </w:r>
    </w:p>
    <w:p>
      <w:r>
        <w:rPr>
          <w:b w:val="0"/>
        </w:rPr>
        <w:t>以下按通行的</w:t>
      </w:r>
      <w:r>
        <w:rPr>
          <w:b/>
        </w:rPr>
        <w:t>一百回本原著</w:t>
      </w:r>
      <w:r>
        <w:rPr>
          <w:b w:val="0"/>
        </w:rPr>
        <w:t>整理，包含结局。章节分析采用“全书脉络＋重点回目”的方式；主题与人物评价属于阅读解读。</w:t>
      </w:r>
    </w:p>
    <w:p>
      <w:pPr>
        <w:pStyle w:val="Heading1"/>
      </w:pPr>
      <w:r>
        <w:t>一 书籍基本信息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8220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书名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《西游记》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作者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通常署名吴承恩，作者归属仍有学术争议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创作时代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明代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文学类型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长篇章回体神魔小说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篇幅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通行本共一百回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文学地位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中国古典四大名著之一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主要人物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唐僧、孙悟空、猪八戒、沙僧、白龙马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核心情节</w:t>
            </w:r>
          </w:p>
        </w:tc>
        <w:tc>
          <w:tcPr>
            <w:tcW w:type="dxa" w:w="82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唐僧师徒西天取经，历经磨难，最终取得真经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r>
        <w:rPr>
          <w:b w:val="0"/>
        </w:rPr>
        <w:t>现存最早的完整百回刊本为</w:t>
      </w:r>
      <w:r>
        <w:rPr>
          <w:b/>
        </w:rPr>
        <w:t>1592年的金陵世德堂本</w:t>
      </w:r>
      <w:r>
        <w:rPr>
          <w:b w:val="0"/>
        </w:rPr>
        <w:t>，当时未署作者姓名。这也是作者问题至今仍有讨论的重要原因。</w:t>
      </w:r>
      <w:r>
        <w:rPr>
          <w:sz w:val="18"/>
        </w:rPr>
        <w:t xml:space="preserve"> [1]</w:t>
      </w:r>
    </w:p>
    <w:p>
      <w:pPr>
        <w:pStyle w:val="Heading1"/>
      </w:pPr>
      <w:r>
        <w:t>二 作者介绍</w:t>
      </w:r>
    </w:p>
    <w:p>
      <w:r>
        <w:rPr>
          <w:b w:val="0"/>
        </w:rPr>
        <w:t>吴承恩，字汝忠，号射阳山人，明代文学家，江苏山阳人，即今江苏淮安一带。他屡次参加科举未能中举，后来成为岁贡生，曾任浙江长兴县丞。除通常归于其名下的《西游记》外，还有诗文传世。</w:t>
      </w:r>
      <w:r>
        <w:rPr>
          <w:sz w:val="18"/>
        </w:rPr>
        <w:t xml:space="preserve"> [2]</w:t>
      </w:r>
    </w:p>
    <w:p>
      <w:r>
        <w:rPr>
          <w:b w:val="0"/>
        </w:rPr>
        <w:t>按照传统作者说，可以把他的文学才华与社会经历作为理解作品的背景。但</w:t>
      </w:r>
      <w:r>
        <w:rPr>
          <w:b/>
        </w:rPr>
        <w:t>不能直接把孙悟空的经历等同于吴承恩的个人经历</w:t>
      </w:r>
      <w:r>
        <w:rPr>
          <w:b w:val="0"/>
        </w:rPr>
        <w:t>，也不宜将小说中的所有讽刺都解释成作者对某次遭遇的回应。</w:t>
      </w:r>
    </w:p>
    <w:p>
      <w:pPr>
        <w:pStyle w:val="Heading1"/>
      </w:pPr>
      <w:r>
        <w:t>三 创作背景</w:t>
      </w:r>
    </w:p>
    <w:p>
      <w:pPr>
        <w:pStyle w:val="Heading2"/>
      </w:pPr>
      <w:r>
        <w:t>历史源头 玄奘西行求法</w:t>
      </w:r>
    </w:p>
    <w:p>
      <w:r>
        <w:rPr>
          <w:b w:val="0"/>
        </w:rPr>
        <w:t>小说的基本故事源于唐代僧人玄奘赴印度求取佛经的真实经历。历史上的西行包含艰难的旅行、求学与宗教探索，后来逐渐被加工为充满神异色彩的取经故事。</w:t>
      </w:r>
      <w:r>
        <w:rPr>
          <w:sz w:val="18"/>
        </w:rPr>
        <w:t xml:space="preserve"> [3]</w:t>
      </w:r>
    </w:p>
    <w:p>
      <w:pPr>
        <w:pStyle w:val="Heading2"/>
      </w:pPr>
      <w:r>
        <w:t>文学积累 取经故事长期演变</w:t>
      </w:r>
    </w:p>
    <w:p>
      <w:r>
        <w:rPr>
          <w:b w:val="0"/>
        </w:rPr>
        <w:t>在百回本出现之前，已有《大唐三藏取经诗话》等作品，其中出现了帮助取经的“猴行者”。取经故事经过说唱、戏曲和民间传播，不断增添人物与情节，最终形成规模宏大的小说。</w:t>
      </w:r>
      <w:r>
        <w:rPr>
          <w:sz w:val="18"/>
        </w:rPr>
        <w:t xml:space="preserve"> [4]</w:t>
      </w:r>
    </w:p>
    <w:p>
      <w:pPr>
        <w:pStyle w:val="Heading2"/>
      </w:pPr>
      <w:r>
        <w:t>文化背景 多种思想交织</w:t>
      </w:r>
    </w:p>
    <w:p>
      <w:r>
        <w:rPr>
          <w:b w:val="0"/>
        </w:rPr>
        <w:t>作品融合佛教取经、道教修炼、民间神话与世俗生活。神仙世界也有官职、等级、人情和利益纠葛，因此可以从宗教寓言、成长故事、社会讽刺等不同角度阅读。</w:t>
      </w:r>
    </w:p>
    <w:p>
      <w:pPr>
        <w:pStyle w:val="Heading1"/>
      </w:pPr>
      <w:r>
        <w:t>四 故事概括</w:t>
      </w:r>
    </w:p>
    <w:p>
      <w:r>
        <w:rPr>
          <w:b w:val="0"/>
        </w:rPr>
        <w:t>孙悟空由仙石孕育而生，在花果山成为美猴王。为了摆脱死亡，他外出拜师，学得变化与腾云的本领，随后取得金箍棒、闯入地府，又因不满天庭安排而大闹天宫，最终被如来压在五行山下。</w:t>
      </w:r>
    </w:p>
    <w:p>
      <w:r>
        <w:rPr>
          <w:b w:val="0"/>
        </w:rPr>
        <w:t>后来，唐僧奉命西天取经，途中救出孙悟空，又陆续收下白龙马、猪八戒和沙僧。师徒一路面对妖魔、险阻与诱惑，也不断经历误解、争执和分离。</w:t>
      </w:r>
    </w:p>
    <w:p>
      <w:r>
        <w:rPr>
          <w:b w:val="0"/>
        </w:rPr>
        <w:t>他们最终抵达灵山，取得真经，返回东土，并各自获得封授。故事由孙悟空个人的冒险，逐步转向师徒共同完成使命。</w:t>
      </w:r>
      <w:r>
        <w:rPr>
          <w:sz w:val="18"/>
        </w:rPr>
        <w:t xml:space="preserve"> [5]</w:t>
      </w:r>
    </w:p>
    <w:p>
      <w:pPr>
        <w:pStyle w:val="Heading1"/>
      </w:pPr>
      <w:r>
        <w:t>五 内容总结</w:t>
      </w:r>
    </w:p>
    <w:p>
      <w:pPr>
        <w:pStyle w:val="Heading2"/>
      </w:pPr>
      <w:r>
        <w:t>人物及其作用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34"/>
        <w:gridCol w:w="3742"/>
        <w:gridCol w:w="5046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人物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主要特点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值得关注的矛盾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唐僧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慈悲、信念坚定、坚持取经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有善意，却经常缺乏辨别危险的能力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孙悟空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勇敢、机敏、敢于反抗、善于行动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能力强，但急躁，常与师父发生冲突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猪八戒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贪吃、好色、怕苦，也有人情味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经常动摇，却也会战斗、救援和促成和解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沙僧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稳重、忠诚、坚持履行职责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表现不突出，却维持着队伍的稳定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白龙马</w:t>
            </w:r>
          </w:p>
        </w:tc>
        <w:tc>
          <w:tcPr>
            <w:tcW w:type="dxa" w:w="37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承担脚力，长期默默付出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容易被忽略，但取经离不开他的参与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pStyle w:val="Heading2"/>
      </w:pPr>
      <w:r>
        <w:t>可以重点理解的主题</w:t>
      </w:r>
    </w:p>
    <w:p>
      <w:r>
        <w:rPr>
          <w:b w:val="0"/>
        </w:rPr>
      </w:r>
      <w:r>
        <w:rPr>
          <w:b/>
        </w:rPr>
        <w:t>成长与自我约束：</w:t>
      </w:r>
      <w:r>
        <w:rPr>
          <w:b w:val="0"/>
        </w:rPr>
        <w:t>孙悟空逐渐学会把自己的力量用于承担责任，同时保留机智与反抗精神。</w:t>
      </w:r>
    </w:p>
    <w:p>
      <w:r>
        <w:rPr>
          <w:b w:val="0"/>
        </w:rPr>
      </w:r>
      <w:r>
        <w:rPr>
          <w:b/>
        </w:rPr>
        <w:t>理想与坚持：</w:t>
      </w:r>
      <w:r>
        <w:rPr>
          <w:b w:val="0"/>
        </w:rPr>
        <w:t>取经目标让师徒在恐惧、疲惫和诱惑中继续前进。</w:t>
      </w:r>
    </w:p>
    <w:p>
      <w:r>
        <w:rPr>
          <w:b w:val="0"/>
        </w:rPr>
      </w:r>
      <w:r>
        <w:rPr>
          <w:b/>
        </w:rPr>
        <w:t>合作与信任：</w:t>
      </w:r>
      <w:r>
        <w:rPr>
          <w:b w:val="0"/>
        </w:rPr>
        <w:t>不同性格的人既能互补，也会互相误解；队伍需要不断修复关系。</w:t>
      </w:r>
    </w:p>
    <w:p>
      <w:r>
        <w:rPr>
          <w:b w:val="0"/>
        </w:rPr>
      </w:r>
      <w:r>
        <w:rPr>
          <w:b/>
        </w:rPr>
        <w:t>表象与真相：</w:t>
      </w:r>
      <w:r>
        <w:rPr>
          <w:b w:val="0"/>
        </w:rPr>
        <w:t>善良外貌可能掩盖恶意，庄严身份也未必意味着可靠。</w:t>
      </w:r>
    </w:p>
    <w:p>
      <w:r>
        <w:rPr>
          <w:b w:val="0"/>
        </w:rPr>
      </w:r>
      <w:r>
        <w:rPr>
          <w:b/>
        </w:rPr>
        <w:t>权力与公平：</w:t>
      </w:r>
      <w:r>
        <w:rPr>
          <w:b w:val="0"/>
        </w:rPr>
        <w:t>神佛与妖怪之间的关系，为讨论权威、责任和不同待遇提供了空间。</w:t>
      </w:r>
    </w:p>
    <w:p>
      <w:r>
        <w:rPr>
          <w:b w:val="0"/>
        </w:rPr>
        <w:t>这些是结合情节提出的阅读角度，作品可以容纳多种解释。</w:t>
      </w:r>
    </w:p>
    <w:p>
      <w:pPr>
        <w:pStyle w:val="Heading1"/>
      </w:pPr>
      <w:r>
        <w:t>六 章节分析</w:t>
      </w:r>
    </w:p>
    <w:p>
      <w:r>
        <w:rPr>
          <w:b w:val="0"/>
        </w:rPr>
        <w:t>《西游记》以“回”为叙事单位。下面按故事阶段覆盖全书，方便建立整体认识。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31"/>
        <w:gridCol w:w="3685"/>
        <w:gridCol w:w="4706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回目范围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AF2"/>
          </w:tcPr>
          <w:p>
            <w:pPr>
              <w:keepNext/>
              <w:spacing w:line="288" w:lineRule="auto" w:after="0" w:before="0"/>
              <w:jc w:val="center"/>
            </w:pPr>
            <w:r>
              <w:rPr>
                <w:b/>
                <w:sz w:val="21"/>
              </w:rPr>
              <w:t>分析重点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第1—7回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石猴出世、拜师学艺、大闹天宫、被压五行山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孙悟空追求长生、尊严与自由，也暴露出力量失控的问题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第8—12回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观音筹备取经、唐僧身世与取经缘起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将个人冒险转入取经使命，建立全书主线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第13—22回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唐僧出发，陆续收徒，经历早期磨难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团队形成；师徒对暴力、纪律和责任的分歧开始显现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第23—31回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四圣试禅心、人参果、白骨精、宝象国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欲望、冲动与误判考验队伍；悟空离队后，团队弱点暴露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第32—39回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平顶山斗法、乌鸡国辨认真假国王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智谋与身份辨识成为解决问题的关键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第40—52回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红孩儿、车迟国、通天河、青牛精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悟空多次遭遇能力限制，需要求助与合作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第53—61回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女儿国、真假美猴王、三调芭蕉扇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情感诱惑、内部冲突及旧日关系交织，取经考验更加复杂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第62—73回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祭赛国、小雷音寺、朱紫国、盘丝洞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虚假权威与欲望反复出现；悟空也承担治病、救人的任务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第74—86回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狮驼岭、比丘国、无底洞、灭法国等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妖魔危害与世俗权力相互交织，师徒同时面对个人与公共苦难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第87—97回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凤仙郡、玉华州、金平府、天竺国、寇员外事件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6F8FA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取经接近终点，仍需处理灾荒、传艺、身份冒充与冤屈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center"/>
            </w:pPr>
            <w:r>
              <w:rPr>
                <w:b w:val="0"/>
                <w:sz w:val="21"/>
              </w:rPr>
              <w:t>第98—100回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抵达灵山、取得真经、最后一难、功德圆满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line="288" w:lineRule="auto" w:after="0" w:before="0"/>
              <w:jc w:val="left"/>
            </w:pPr>
            <w:r>
              <w:rPr>
                <w:b w:val="0"/>
                <w:sz w:val="21"/>
              </w:rPr>
              <w:t>完成使命，并留下关于交换、缺憾与修行的思考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r>
        <w:rPr>
          <w:b w:val="0"/>
        </w:rPr>
        <w:t>回目范围依据原著目录整理，分析栏为阅读解读。</w:t>
      </w:r>
      <w:r>
        <w:rPr>
          <w:sz w:val="18"/>
        </w:rPr>
        <w:t xml:space="preserve"> [5]</w:t>
      </w:r>
    </w:p>
    <w:p>
      <w:pPr>
        <w:pStyle w:val="Heading2"/>
      </w:pPr>
      <w:r>
        <w:t>三个值得精读的情节</w:t>
      </w:r>
    </w:p>
    <w:p>
      <w:pPr>
        <w:keepNext/>
      </w:pPr>
      <w:r>
        <w:rPr>
          <w:b w:val="0"/>
        </w:rPr>
      </w:r>
      <w:r>
        <w:rPr>
          <w:b/>
        </w:rPr>
        <w:t>三打白骨精，第27回。</w:t>
      </w:r>
      <w:r>
        <w:rPr>
          <w:b w:val="0"/>
        </w:rPr>
      </w:r>
    </w:p>
    <w:p>
      <w:r>
        <w:rPr>
          <w:b w:val="0"/>
        </w:rPr>
        <w:t>唐僧根据眼前所见判断悟空杀人，悟空则凭辨妖能力认定自己在保护师父。可以从这里讨论：</w:t>
      </w:r>
      <w:r>
        <w:rPr>
          <w:b/>
        </w:rPr>
        <w:t>善意与正确判断为什么可能发生冲突？</w:t>
      </w:r>
      <w:r>
        <w:rPr>
          <w:b w:val="0"/>
        </w:rPr>
        <w:t>有依据的判断，又该如何向别人说明？</w:t>
      </w:r>
      <w:r>
        <w:rPr>
          <w:sz w:val="18"/>
        </w:rPr>
        <w:t xml:space="preserve"> [6]</w:t>
      </w:r>
    </w:p>
    <w:p>
      <w:pPr>
        <w:keepNext/>
      </w:pPr>
      <w:r>
        <w:rPr>
          <w:b w:val="0"/>
        </w:rPr>
      </w:r>
      <w:r>
        <w:rPr>
          <w:b/>
        </w:rPr>
        <w:t>真假美猴王，第57—58回。</w:t>
      </w:r>
      <w:r>
        <w:rPr>
          <w:b w:val="0"/>
        </w:rPr>
      </w:r>
    </w:p>
    <w:p>
      <w:r>
        <w:rPr>
          <w:b w:val="0"/>
        </w:rPr>
        <w:t>真假悟空难以分辨，将身份认定的困难推到极致。结合第58回回目中的“二心”，也可以把它理解为对内心冲突的寓言式表达；这是解读角度，情节中的假悟空是六耳猕猴。</w:t>
      </w:r>
      <w:r>
        <w:rPr>
          <w:sz w:val="18"/>
        </w:rPr>
        <w:t xml:space="preserve"> [7]</w:t>
      </w:r>
    </w:p>
    <w:p>
      <w:pPr>
        <w:keepNext/>
      </w:pPr>
      <w:r>
        <w:rPr>
          <w:b w:val="0"/>
        </w:rPr>
      </w:r>
      <w:r>
        <w:rPr>
          <w:b/>
        </w:rPr>
        <w:t>灵山取经与最后一难，第98—99回。</w:t>
      </w:r>
      <w:r>
        <w:rPr>
          <w:b w:val="0"/>
        </w:rPr>
      </w:r>
    </w:p>
    <w:p>
      <w:r>
        <w:rPr>
          <w:b w:val="0"/>
        </w:rPr>
        <w:t>师徒抵达目的地后，仍经历索取人事、无字经与经书落水等波折。它让“成功”带上复杂意味：到达终点之后，仍然可能面对现实纠葛与无法补齐的缺憾。</w:t>
      </w:r>
      <w:r>
        <w:rPr>
          <w:sz w:val="18"/>
        </w:rPr>
        <w:t xml:space="preserve"> [8]</w:t>
      </w:r>
      <w:r>
        <w:rPr>
          <w:sz w:val="18"/>
        </w:rPr>
        <w:t xml:space="preserve"> [9]</w:t>
      </w:r>
    </w:p>
    <w:p>
      <w:pPr>
        <w:pStyle w:val="Heading1"/>
      </w:pPr>
      <w:r>
        <w:t>七 阅读思考</w:t>
      </w:r>
    </w:p>
    <w:p>
      <w:pPr>
        <w:keepNext/>
        <w:spacing w:after="60"/>
      </w:pPr>
      <w:r>
        <w:rPr>
          <w:b w:val="0"/>
        </w:rPr>
      </w:r>
      <w:r>
        <w:rPr>
          <w:b/>
        </w:rPr>
        <w:t>1. 孙悟空成佛，是成长，还是对自由的放弃？</w:t>
      </w:r>
      <w:r>
        <w:rPr>
          <w:b w:val="0"/>
        </w:rPr>
      </w:r>
    </w:p>
    <w:p>
      <w:r>
        <w:rPr>
          <w:b w:val="0"/>
        </w:rPr>
        <w:t>可以比较大闹天宫与取经后期：他仍敢质疑、善于变通，但行动逐渐围绕保护他人展开。自由、规则和责任之间的关系，是一个值得保留开放答案的问题。</w:t>
      </w:r>
    </w:p>
    <w:p>
      <w:pPr>
        <w:keepNext/>
        <w:spacing w:after="60"/>
      </w:pPr>
      <w:r>
        <w:rPr>
          <w:b w:val="0"/>
        </w:rPr>
      </w:r>
      <w:r>
        <w:rPr>
          <w:b/>
        </w:rPr>
        <w:t>2. 唐僧经常误判，为什么仍是取经队伍的核心？</w:t>
      </w:r>
      <w:r>
        <w:rPr>
          <w:b w:val="0"/>
        </w:rPr>
      </w:r>
    </w:p>
    <w:p>
      <w:r>
        <w:rPr>
          <w:b w:val="0"/>
        </w:rPr>
        <w:t>他提供持续的目标和信念。由此可以讨论：一个团队需要怎样的领导者？方向、判断与执行能力应该怎样配合？</w:t>
      </w:r>
    </w:p>
    <w:p>
      <w:pPr>
        <w:keepNext/>
        <w:spacing w:after="60"/>
      </w:pPr>
      <w:r>
        <w:rPr>
          <w:b w:val="0"/>
        </w:rPr>
      </w:r>
      <w:r>
        <w:rPr>
          <w:b/>
        </w:rPr>
        <w:t>3. 猪八戒有哪些不可替代的价值？</w:t>
      </w:r>
      <w:r>
        <w:rPr>
          <w:b w:val="0"/>
        </w:rPr>
      </w:r>
    </w:p>
    <w:p>
      <w:r>
        <w:rPr>
          <w:b w:val="0"/>
        </w:rPr>
        <w:t>留意他参与战斗、承担劳动、请回悟空的表现。评价人物时，可以同时考察缺点与实际贡献。</w:t>
      </w:r>
    </w:p>
    <w:p>
      <w:pPr>
        <w:keepNext/>
        <w:spacing w:after="60"/>
      </w:pPr>
      <w:r>
        <w:rPr>
          <w:b w:val="0"/>
        </w:rPr>
      </w:r>
      <w:r>
        <w:rPr>
          <w:b/>
        </w:rPr>
        <w:t>4. 为什么一些妖怪被打死，另一些被神佛带走？</w:t>
      </w:r>
      <w:r>
        <w:rPr>
          <w:b w:val="0"/>
        </w:rPr>
      </w:r>
    </w:p>
    <w:p>
      <w:r>
        <w:rPr>
          <w:b w:val="0"/>
        </w:rPr>
        <w:t>可以观察它们的来历、行为与结局，讨论身份是否影响待遇，以及掌握权力者是否应为失管承担责任。</w:t>
      </w:r>
    </w:p>
    <w:p>
      <w:pPr>
        <w:keepNext/>
        <w:spacing w:after="60"/>
      </w:pPr>
      <w:r>
        <w:rPr>
          <w:b w:val="0"/>
        </w:rPr>
      </w:r>
      <w:r>
        <w:rPr>
          <w:b/>
        </w:rPr>
        <w:t>5. 为什么取经必须经历漫长磨难？</w:t>
      </w:r>
      <w:r>
        <w:rPr>
          <w:b w:val="0"/>
        </w:rPr>
      </w:r>
    </w:p>
    <w:p>
      <w:r>
        <w:rPr>
          <w:b w:val="0"/>
        </w:rPr>
        <w:t>从成长故事的角度看，磨难使师徒的信念、关系与行为发生变化。不过也可以继续追问：这些安排是否都合理？人物承受的痛苦又该如何评价？</w:t>
      </w:r>
    </w:p>
    <w:p>
      <w:r>
        <w:rPr>
          <w:b w:val="0"/>
        </w:rPr>
        <w:t>写读后感时，可以采用这个顺序：</w:t>
      </w:r>
      <w:r>
        <w:rPr>
          <w:b/>
        </w:rPr>
        <w:t>选择一个问题 → 找出两处原著情节 → 比较人物的选择 → 提出自己的判断。</w:t>
      </w:r>
      <w:r>
        <w:rPr>
          <w:b w:val="0"/>
        </w:rPr>
      </w:r>
    </w:p>
    <w:p>
      <w:pPr>
        <w:pStyle w:val="Heading1"/>
      </w:pPr>
      <w:r>
        <w:t>参考资料</w:t>
      </w:r>
    </w:p>
    <w:p>
      <w:pPr>
        <w:keepNext/>
        <w:spacing w:after="100" w:line="276" w:lineRule="auto"/>
      </w:pPr>
      <w:r>
        <w:rPr>
          <w:sz w:val="19"/>
        </w:rPr>
        <w:t xml:space="preserve">[1] </w:t>
      </w:r>
      <w:hyperlink r:id="rId9">
        <w:r>
          <w:rPr>
            <w:color w:val="24577A"/>
            <w:u w:val="single"/>
            <w:sz w:val="19"/>
            <w:rFonts w:eastAsia="Hiragino Sans GB" w:ascii="Arial" w:hAnsi="Arial"/>
          </w:rPr>
          <w:t>陈大康 古代小说考证七忌 华东师范大学学报 2021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[2] </w:t>
      </w:r>
      <w:hyperlink r:id="rId10">
        <w:r>
          <w:rPr>
            <w:color w:val="24577A"/>
            <w:u w:val="single"/>
            <w:sz w:val="19"/>
            <w:rFonts w:eastAsia="Hiragino Sans GB" w:ascii="Arial" w:hAnsi="Arial"/>
          </w:rPr>
          <w:t>南京市地方志工作办公室 解码西游记与金陵城的奇妙缘分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[3] </w:t>
      </w:r>
      <w:hyperlink r:id="rId11">
        <w:r>
          <w:rPr>
            <w:color w:val="24577A"/>
            <w:u w:val="single"/>
            <w:sz w:val="19"/>
            <w:rFonts w:eastAsia="Hiragino Sans GB" w:ascii="Arial" w:hAnsi="Arial"/>
          </w:rPr>
          <w:t>胡适 西游记考证 维基文库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[4] </w:t>
      </w:r>
      <w:hyperlink r:id="rId12">
        <w:r>
          <w:rPr>
            <w:color w:val="24577A"/>
            <w:u w:val="single"/>
            <w:sz w:val="19"/>
            <w:rFonts w:eastAsia="Hiragino Sans GB" w:ascii="Arial" w:hAnsi="Arial"/>
          </w:rPr>
          <w:t>文史广东 西游记之前的孙悟空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[5] </w:t>
      </w:r>
      <w:hyperlink r:id="rId13">
        <w:r>
          <w:rPr>
            <w:color w:val="24577A"/>
            <w:u w:val="single"/>
            <w:sz w:val="19"/>
            <w:rFonts w:eastAsia="Hiragino Sans GB" w:ascii="Arial" w:hAnsi="Arial"/>
          </w:rPr>
          <w:t>西游记 原著全文与回目 维基文库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[6] </w:t>
      </w:r>
      <w:hyperlink r:id="rId14">
        <w:r>
          <w:rPr>
            <w:color w:val="24577A"/>
            <w:u w:val="single"/>
            <w:sz w:val="19"/>
            <w:rFonts w:eastAsia="Hiragino Sans GB" w:ascii="Arial" w:hAnsi="Arial"/>
          </w:rPr>
          <w:t>西游记 第27回 维基文库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[7] </w:t>
      </w:r>
      <w:hyperlink r:id="rId15">
        <w:r>
          <w:rPr>
            <w:color w:val="24577A"/>
            <w:u w:val="single"/>
            <w:sz w:val="19"/>
            <w:rFonts w:eastAsia="Hiragino Sans GB" w:ascii="Arial" w:hAnsi="Arial"/>
          </w:rPr>
          <w:t>西游记 第58回 维基文库</w:t>
        </w:r>
      </w:hyperlink>
    </w:p>
    <w:p>
      <w:pPr>
        <w:keepNext/>
        <w:spacing w:after="100" w:line="276" w:lineRule="auto"/>
      </w:pPr>
      <w:r>
        <w:rPr>
          <w:sz w:val="19"/>
        </w:rPr>
        <w:t xml:space="preserve">[8] </w:t>
      </w:r>
      <w:hyperlink r:id="rId16">
        <w:r>
          <w:rPr>
            <w:color w:val="24577A"/>
            <w:u w:val="single"/>
            <w:sz w:val="19"/>
            <w:rFonts w:eastAsia="Hiragino Sans GB" w:ascii="Arial" w:hAnsi="Arial"/>
          </w:rPr>
          <w:t>西游记 第98回 维基文库</w:t>
        </w:r>
      </w:hyperlink>
    </w:p>
    <w:p>
      <w:pPr>
        <w:keepNext w:val="0"/>
        <w:spacing w:after="100" w:line="276" w:lineRule="auto"/>
      </w:pPr>
      <w:r>
        <w:rPr>
          <w:sz w:val="19"/>
        </w:rPr>
        <w:t xml:space="preserve">[9] </w:t>
      </w:r>
      <w:hyperlink r:id="rId17">
        <w:r>
          <w:rPr>
            <w:color w:val="24577A"/>
            <w:u w:val="single"/>
            <w:sz w:val="19"/>
            <w:rFonts w:eastAsia="Hiragino Sans GB" w:ascii="Arial" w:hAnsi="Arial"/>
          </w:rPr>
          <w:t>西游记 第99回 维基文库</w:t>
        </w:r>
      </w:hyperlink>
    </w:p>
    <w:sectPr w:rsidR="00FC693F" w:rsidRPr="0006063C" w:rsidSect="00034616">
      <w:footerReference w:type="default" r:id="rId1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bzs.ecnu.edu.cn/article/2021/1000-5579/2021-5-101.shtml" TargetMode="External"/><Relationship Id="rId10" Type="http://schemas.openxmlformats.org/officeDocument/2006/relationships/hyperlink" Target="https://dfz.nanjing.gov.cn/gzdt/202506/t20250609_5581169.html" TargetMode="External"/><Relationship Id="rId11" Type="http://schemas.openxmlformats.org/officeDocument/2006/relationships/hyperlink" Target="https://zh.wikisource.org/zh-hans/&#12298;&#35199;&#36938;&#35352;&#12299;&#32771;&#35657;" TargetMode="External"/><Relationship Id="rId12" Type="http://schemas.openxmlformats.org/officeDocument/2006/relationships/hyperlink" Target="https://www.gdwsw.gov.cn/wsbl/content/post_39681.html" TargetMode="External"/><Relationship Id="rId13" Type="http://schemas.openxmlformats.org/officeDocument/2006/relationships/hyperlink" Target="https://zh.wikisource.org/wiki/&#35199;&#36938;&#35352;" TargetMode="External"/><Relationship Id="rId14" Type="http://schemas.openxmlformats.org/officeDocument/2006/relationships/hyperlink" Target="https://zh.wikisource.org/zh/&#35199;&#36938;&#35352;/&#31532;027&#22238;" TargetMode="External"/><Relationship Id="rId15" Type="http://schemas.openxmlformats.org/officeDocument/2006/relationships/hyperlink" Target="https://zh.wikisource.org/zh/&#35199;&#36938;&#35352;/&#31532;058&#22238;" TargetMode="External"/><Relationship Id="rId16" Type="http://schemas.openxmlformats.org/officeDocument/2006/relationships/hyperlink" Target="https://zh.wikisource.org/zh/&#35199;&#36938;&#35352;/&#31532;098&#22238;" TargetMode="External"/><Relationship Id="rId17" Type="http://schemas.openxmlformats.org/officeDocument/2006/relationships/hyperlink" Target="https://zh.wikisource.org/zh/&#35199;&#36938;&#35352;/&#31532;099&#22238;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西游记 阅读整理</dc:title>
  <dc:subject>书籍基本信息 作者介绍 创作背景 故事概括 内容总结 章节分析 阅读思考</dc:subject>
  <dc:creator/>
  <cp:keywords>西游记,阅读整理,读书笔记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