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快速入门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改造itcast-service-consumer工程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导入依赖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&lt;groupId&gt;org.springframework.cloud&lt;/groupId&gt;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&lt;artifactId&gt;spring-cloud-starter-openfeign&lt;/artifactId&gt;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开启Feign功能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我们在启动类上，添加注解，开启Feign功能 @EnableFeignClients // 开启feign客户端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7240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删除RestTemplate：feign已经自动集成了Ribbon负载均衡的RestTemplate。所以，此处不需要再注册RestTemplate。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Feign的客户端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在itcast-service-consumer工程中，添加UserClient接口：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7360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首先这是一个接口，Feign会通过动态代理，帮我们生成实现类。这点跟mybatis的mapper很像</w:t>
      </w:r>
    </w:p>
    <w:p>
      <w:pPr>
        <w:rPr>
          <w:rFonts w:hint="eastAsia"/>
        </w:rPr>
      </w:pPr>
      <w:r>
        <w:rPr>
          <w:rFonts w:hint="eastAsia"/>
        </w:rPr>
        <w:t>- @FeignClient，声明这是一个Feign客户端，类似@Mapper注解。同时通过value属性指定服务名称</w:t>
      </w:r>
    </w:p>
    <w:p>
      <w:pPr>
        <w:rPr>
          <w:rFonts w:hint="eastAsia"/>
        </w:rPr>
      </w:pPr>
      <w:r>
        <w:rPr>
          <w:rFonts w:hint="eastAsia"/>
        </w:rPr>
        <w:t>- 接口中的定义方法，完全采用SpringMVC的注解，Feign会根据注解帮我们生成URL，并访问获取结果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改造原来的调用逻辑，调用UserClient接口：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48488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启动测试</w:t>
      </w:r>
    </w:p>
    <w:p>
      <w:pPr>
        <w:rPr>
          <w:rFonts w:hint="eastAsia"/>
        </w:rPr>
      </w:pPr>
      <w:r>
        <w:drawing>
          <wp:inline distT="0" distB="0" distL="114300" distR="114300">
            <wp:extent cx="303847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访问接口：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9017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正常获取到了结果。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C1C7D"/>
    <w:rsid w:val="02FE4C73"/>
    <w:rsid w:val="277F5014"/>
    <w:rsid w:val="298C3370"/>
    <w:rsid w:val="2FE80A5D"/>
    <w:rsid w:val="30ED2CA2"/>
    <w:rsid w:val="36C64C02"/>
    <w:rsid w:val="43211DA2"/>
    <w:rsid w:val="48C42CDD"/>
    <w:rsid w:val="5F0077EF"/>
    <w:rsid w:val="6E513EC4"/>
    <w:rsid w:val="7A864DC0"/>
    <w:rsid w:val="7F50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2019-06-04T13:23:45Z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