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236"/>
        <w:gridCol w:w="4535"/>
      </w:tblGrid>
      <w:tr>
        <w:tc>
          <w:tcPr>
            <w:tcW w:type="dxa" w:w="5386"/>
            <w:vAlign w:val="center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F2B45"/>
                <w:sz w:val="44"/>
              </w:rPr>
              <w:t>谢键禧</w:t>
            </w:r>
          </w:p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7B6ED8"/>
                <w:sz w:val="18"/>
              </w:rPr>
              <w:t>AI 应用开发 / Agent 工程方向</w:t>
            </w:r>
          </w:p>
          <w:p>
            <w:pPr>
              <w:pBdr>
                <w:bottom w:val="single" w:sz="12" w:space="1" w:color="7B6ED8"/>
              </w:pBdr>
            </w:pPr>
            <w:r>
              <w:br/>
            </w:r>
          </w:p>
          <w:p>
            <w:pPr>
              <w:widowControl/>
              <w:spacing w:before="4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B5563"/>
                <w:sz w:val="15"/>
              </w:rPr>
              <w:t>大数据技术专业  |  广州 / 深圳  |  2027 届</w:t>
            </w:r>
          </w:p>
          <w:p>
            <w:pPr>
              <w:widowControl/>
              <w:spacing w:before="0" w:after="0" w:line="240" w:lineRule="auto"/>
            </w:pPr>
            <w:r>
              <w:rPr>
                <w:rFonts w:ascii="Calibri" w:hAnsi="Calibri" w:eastAsia="微软雅黑"/>
                <w:b w:val="0"/>
                <w:i/>
                <w:color w:val="6B7280"/>
                <w:sz w:val="14"/>
              </w:rPr>
              <w:t>AI 应用开发 · Agent 运行时 · 数据智能</w:t>
            </w:r>
          </w:p>
        </w:tc>
        <w:tc>
          <w:tcPr>
            <w:tcW w:type="dxa" w:w="5386"/>
            <w:vAlign w:val="center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insideH w:val="nil" w:sz="0" w:space="0" w:color="auto"/>
              <w:insideV w:val="nil" w:sz="0" w:space="0" w:color="auto"/>
            </w:tcBorders>
          </w:tcPr>
          <w:p>
            <w:pPr>
              <w:widowControl/>
              <w:spacing w:before="0" w:after="20" w:line="240" w:lineRule="auto"/>
              <w:jc w:val="right"/>
            </w:pPr>
            <w:r>
              <w:rPr>
                <w:rFonts w:ascii="Calibri" w:hAnsi="Calibri" w:eastAsia="微软雅黑"/>
                <w:b w:val="0"/>
                <w:i w:val="0"/>
                <w:color w:val="4B5563"/>
                <w:sz w:val="14"/>
              </w:rPr>
              <w:t>13829420485  |  13829420485@163.com</w:t>
            </w:r>
          </w:p>
          <w:p>
            <w:pPr>
              <w:widowControl/>
              <w:spacing w:before="0" w:after="20" w:line="240" w:lineRule="auto"/>
              <w:jc w:val="right"/>
            </w:pPr>
            <w:r>
              <w:rPr>
                <w:rFonts w:ascii="Calibri" w:hAnsi="Calibri" w:eastAsia="微软雅黑"/>
                <w:b w:val="0"/>
                <w:i w:val="0"/>
                <w:color w:val="4B5563"/>
                <w:sz w:val="14"/>
              </w:rPr>
              <w:t xml:space="preserve">GitHub  </w:t>
            </w:r>
            <w:r>
              <w:rPr>
                <w:rFonts w:ascii="Calibri" w:hAnsi="Calibri" w:eastAsia="微软雅黑"/>
                <w:b w:val="0"/>
                <w:i w:val="0"/>
                <w:color w:val="4F46E5"/>
                <w:sz w:val="14"/>
                <w:u w:val="single"/>
              </w:rPr>
              <w:t>github.com/laolaola278-dev</w:t>
            </w:r>
          </w:p>
          <w:p>
            <w:pPr>
              <w:widowControl/>
              <w:spacing w:before="0" w:after="20" w:line="240" w:lineRule="auto"/>
              <w:jc w:val="right"/>
            </w:pPr>
            <w:r>
              <w:rPr>
                <w:rFonts w:ascii="Calibri" w:hAnsi="Calibri" w:eastAsia="微软雅黑"/>
                <w:b w:val="0"/>
                <w:i w:val="0"/>
                <w:color w:val="4B5563"/>
                <w:sz w:val="14"/>
              </w:rPr>
              <w:t xml:space="preserve">作品集  </w:t>
            </w:r>
            <w:r>
              <w:rPr>
                <w:rFonts w:ascii="Calibri" w:hAnsi="Calibri" w:eastAsia="微软雅黑"/>
                <w:b w:val="0"/>
                <w:i w:val="0"/>
                <w:color w:val="4F46E5"/>
                <w:sz w:val="14"/>
                <w:u w:val="single"/>
              </w:rPr>
              <w:t>laolaola278-dev.github.io/resume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2EC"/>
          <w:left w:val="single" w:sz="4" w:space="0" w:color="DDE2EC"/>
          <w:bottom w:val="single" w:sz="4" w:space="0" w:color="DDE2EC"/>
          <w:right w:val="single" w:sz="4" w:space="0" w:color="DDE2EC"/>
          <w:insideH w:val="single" w:sz="4" w:space="0" w:color="DDE2EC"/>
          <w:insideV w:val="single" w:sz="4" w:space="0" w:color="DDE2EC"/>
        </w:tblBorders>
      </w:tblPr>
      <w:tblGrid>
        <w:gridCol w:w="3572"/>
        <w:gridCol w:w="6633"/>
      </w:tblGrid>
      <w:tr>
        <w:tc>
          <w:tcPr>
            <w:tcW w:type="dxa" w:w="5386"/>
            <w:vAlign w:val="top"/>
            <w:shd w:val="clear" w:color="auto" w:fill="EEF0F4"/>
            <w:tcMar>
              <w:top w:w="80" w:type="dxa"/>
              <w:left w:w="140" w:type="dxa"/>
              <w:bottom w:w="80" w:type="dxa"/>
              <w:right w:w="140" w:type="dxa"/>
            </w:tcMar>
          </w:tcPr>
          <w:p/>
          <w:p>
            <w:pPr>
              <w:widowControl/>
              <w:spacing w:before="120" w:after="20" w:line="240" w:lineRule="auto"/>
            </w:pPr>
            <w:r>
              <w:rPr>
                <w:rFonts w:ascii="Calibri" w:hAnsi="Calibri" w:eastAsia="微软雅黑"/>
                <w:b/>
                <w:i w:val="0"/>
                <w:color w:val="0F2B45"/>
                <w:sz w:val="20"/>
              </w:rPr>
              <w:t>个人档案</w:t>
            </w:r>
          </w:p>
          <w:p>
            <w:pPr>
              <w:widowControl/>
              <w:spacing w:before="80" w:after="20" w:line="240" w:lineRule="auto"/>
            </w:pPr>
            <w:r>
              <w:rPr>
                <w:rFonts w:ascii="Calibri" w:hAnsi="Calibri" w:eastAsia="微软雅黑"/>
                <w:b/>
                <w:i w:val="0"/>
                <w:color w:val="7B6ED8"/>
                <w:sz w:val="17"/>
              </w:rPr>
              <w:t>教育经历</w:t>
            </w:r>
          </w:p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微软雅黑"/>
                <w:b/>
                <w:i w:val="0"/>
                <w:color w:val="1A1A2E"/>
                <w:sz w:val="17"/>
              </w:rPr>
              <w:t>广东职业技术学院</w:t>
            </w:r>
          </w:p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4B5563"/>
                <w:sz w:val="15"/>
              </w:rPr>
              <w:t>大数据技术 | 大专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6B7280"/>
                <w:sz w:val="14"/>
              </w:rPr>
              <w:t>2024.09 - 2027.09</w:t>
            </w:r>
          </w:p>
          <w:p>
            <w:pPr>
              <w:widowControl/>
              <w:spacing w:before="0" w:after="80" w:line="240" w:lineRule="auto"/>
            </w:pPr>
            <w:r>
              <w:rPr>
                <w:rFonts w:ascii="Calibri" w:hAnsi="Calibri" w:eastAsia="微软雅黑"/>
                <w:b/>
                <w:i w:val="0"/>
                <w:color w:val="7B6ED8"/>
                <w:sz w:val="15"/>
              </w:rPr>
              <w:t>专业排名：前 10%</w:t>
            </w:r>
          </w:p>
          <w:p>
            <w:pPr>
              <w:widowControl/>
              <w:spacing w:before="120" w:after="20" w:line="240" w:lineRule="auto"/>
            </w:pPr>
            <w:r>
              <w:rPr>
                <w:rFonts w:ascii="Calibri" w:hAnsi="Calibri" w:eastAsia="微软雅黑"/>
                <w:b/>
                <w:i w:val="0"/>
                <w:color w:val="0F2B45"/>
                <w:sz w:val="20"/>
              </w:rPr>
              <w:t>竞赛与荣誉</w:t>
            </w:r>
          </w:p>
          <w:p>
            <w:pPr>
              <w:widowControl/>
              <w:spacing w:before="80" w:after="20" w:line="240" w:lineRule="auto"/>
            </w:pPr>
            <w:r>
              <w:rPr>
                <w:rFonts w:ascii="Calibri" w:hAnsi="Calibri" w:eastAsia="微软雅黑"/>
                <w:b/>
                <w:i w:val="0"/>
                <w:color w:val="7B6ED8"/>
                <w:sz w:val="17"/>
              </w:rPr>
              <w:t>最佳挑战者</w:t>
            </w:r>
          </w:p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1A1A2E"/>
                <w:sz w:val="14"/>
              </w:rPr>
              <w:t>2025 第六届“挑战杯”全国大学生应用挑战赛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6B7280"/>
                <w:sz w:val="14"/>
              </w:rPr>
              <w:t>击败 99.8% 参赛者 | 前 0.2%</w:t>
            </w:r>
          </w:p>
          <w:p>
            <w:pPr>
              <w:widowControl/>
              <w:spacing w:before="80" w:after="20" w:line="240" w:lineRule="auto"/>
            </w:pPr>
            <w:r>
              <w:rPr>
                <w:rFonts w:ascii="Calibri" w:hAnsi="Calibri" w:eastAsia="微软雅黑"/>
                <w:b/>
                <w:i w:val="0"/>
                <w:color w:val="7B6ED8"/>
                <w:sz w:val="17"/>
              </w:rPr>
              <w:t>二等奖</w:t>
            </w:r>
          </w:p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1A1A2E"/>
                <w:sz w:val="14"/>
              </w:rPr>
              <w:t>2026 “一带一路”暨金砖国家技能发展与技术创新大赛</w:t>
            </w:r>
          </w:p>
          <w:p>
            <w:pPr>
              <w:widowControl/>
              <w:spacing w:before="0" w:after="8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1A1A2E"/>
                <w:sz w:val="14"/>
              </w:rPr>
              <w:t>之首届 AI 赋能数字创意设计与应用赛项选拔赛</w:t>
            </w:r>
          </w:p>
          <w:p>
            <w:pPr>
              <w:widowControl/>
              <w:spacing w:before="120" w:after="20" w:line="240" w:lineRule="auto"/>
            </w:pPr>
            <w:r>
              <w:rPr>
                <w:rFonts w:ascii="Calibri" w:hAnsi="Calibri" w:eastAsia="微软雅黑"/>
                <w:b/>
                <w:i w:val="0"/>
                <w:color w:val="0F2B45"/>
                <w:sz w:val="20"/>
              </w:rPr>
              <w:t>技术关键词</w:t>
            </w:r>
          </w:p>
          <w:p>
            <w:pPr>
              <w:widowControl/>
              <w:spacing w:before="80" w:after="20" w:line="240" w:lineRule="auto"/>
            </w:pPr>
            <w:r>
              <w:rPr>
                <w:rFonts w:ascii="Calibri" w:hAnsi="Calibri" w:eastAsia="微软雅黑"/>
                <w:b/>
                <w:i w:val="0"/>
                <w:color w:val="7B6ED8"/>
                <w:sz w:val="17"/>
              </w:rPr>
              <w:t>Agent / LLM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4B5563"/>
                <w:sz w:val="14"/>
              </w:rPr>
              <w:t>OpenAI-compatible API · Tool Calling · MCP · Agent 运行时</w:t>
            </w:r>
          </w:p>
          <w:p>
            <w:pPr>
              <w:widowControl/>
              <w:spacing w:before="80" w:after="20" w:line="240" w:lineRule="auto"/>
            </w:pPr>
            <w:r>
              <w:rPr>
                <w:rFonts w:ascii="Calibri" w:hAnsi="Calibri" w:eastAsia="微软雅黑"/>
                <w:b/>
                <w:i w:val="0"/>
                <w:color w:val="7B6ED8"/>
                <w:sz w:val="17"/>
              </w:rPr>
              <w:t>后端与工程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4B5563"/>
                <w:sz w:val="14"/>
              </w:rPr>
              <w:t>Python · FastAPI · TypeScript · Node.js · PostgreSQL · Docker</w:t>
            </w:r>
          </w:p>
          <w:p>
            <w:pPr>
              <w:widowControl/>
              <w:spacing w:before="80" w:after="20" w:line="240" w:lineRule="auto"/>
            </w:pPr>
            <w:r>
              <w:rPr>
                <w:rFonts w:ascii="Calibri" w:hAnsi="Calibri" w:eastAsia="微软雅黑"/>
                <w:b/>
                <w:i w:val="0"/>
                <w:color w:val="7B6ED8"/>
                <w:sz w:val="17"/>
              </w:rPr>
              <w:t>数据与机器学习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4B5563"/>
                <w:sz w:val="14"/>
              </w:rPr>
              <w:t>Kafka · Flink · LightGBM · PyTorch · 特征工程</w:t>
            </w:r>
          </w:p>
          <w:p>
            <w:pPr>
              <w:widowControl/>
              <w:spacing w:before="80" w:after="20" w:line="240" w:lineRule="auto"/>
            </w:pPr>
            <w:r>
              <w:rPr>
                <w:rFonts w:ascii="Calibri" w:hAnsi="Calibri" w:eastAsia="微软雅黑"/>
                <w:b/>
                <w:i w:val="0"/>
                <w:color w:val="7B6ED8"/>
                <w:sz w:val="17"/>
              </w:rPr>
              <w:t>前端基础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4B5563"/>
                <w:sz w:val="14"/>
              </w:rPr>
              <w:t>Vue · React · Next.js · Tailwind CSS</w:t>
            </w:r>
          </w:p>
          <w:p>
            <w:pPr>
              <w:widowControl/>
              <w:spacing w:before="120" w:after="20" w:line="240" w:lineRule="auto"/>
            </w:pPr>
            <w:r>
              <w:rPr>
                <w:rFonts w:ascii="Calibri" w:hAnsi="Calibri" w:eastAsia="微软雅黑"/>
                <w:b/>
                <w:i w:val="0"/>
                <w:color w:val="0F2B45"/>
                <w:sz w:val="20"/>
              </w:rPr>
              <w:t>校园经历</w:t>
            </w:r>
          </w:p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微软雅黑"/>
                <w:b/>
                <w:i w:val="0"/>
                <w:color w:val="1A1A2E"/>
                <w:sz w:val="15"/>
              </w:rPr>
              <w:t>校秘书部 | 学生干部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4B5563"/>
                <w:sz w:val="14"/>
              </w:rPr>
              <w:t>会议组织、文件管理与信息传达；获“优秀学员”称号。</w:t>
            </w:r>
          </w:p>
          <w:p>
            <w:pPr>
              <w:widowControl/>
              <w:spacing w:before="0" w:after="0" w:line="276" w:lineRule="auto"/>
            </w:pPr>
            <w:r>
              <w:rPr>
                <w:rFonts w:ascii="Calibri" w:hAnsi="Calibri" w:eastAsia="微软雅黑"/>
                <w:b/>
                <w:i w:val="0"/>
                <w:color w:val="1A1A2E"/>
                <w:sz w:val="15"/>
              </w:rPr>
              <w:t>院青年志愿者服务站 | 学生干部</w:t>
            </w:r>
          </w:p>
          <w:p>
            <w:pPr>
              <w:widowControl/>
              <w:spacing w:before="0" w:after="40" w:line="276" w:lineRule="auto"/>
            </w:pPr>
            <w:r>
              <w:rPr>
                <w:rFonts w:ascii="Calibri" w:hAnsi="Calibri" w:eastAsia="微软雅黑"/>
                <w:b w:val="0"/>
                <w:i w:val="0"/>
                <w:color w:val="4B5563"/>
                <w:sz w:val="14"/>
              </w:rPr>
              <w:t>10+ 次服务 | 50+ 小时 | 协助招募 80+ 人 | 项目参与者 300+。</w:t>
            </w:r>
          </w:p>
        </w:tc>
        <w:tc>
          <w:tcPr>
            <w:tcW w:type="dxa" w:w="5386"/>
            <w:vAlign w:val="top"/>
            <w:shd w:val="clear" w:color="auto" w:fill="FFFFFF"/>
            <w:tcMar>
              <w:top w:w="80" w:type="dxa"/>
              <w:left w:w="180" w:type="dxa"/>
              <w:bottom w:w="80" w:type="dxa"/>
              <w:right w:w="140" w:type="dxa"/>
            </w:tcMar>
          </w:tcPr>
          <w:p/>
          <w:p>
            <w:pPr>
              <w:widowControl/>
              <w:spacing w:before="160" w:after="40" w:line="240" w:lineRule="auto"/>
              <w:pBdr>
                <w:bottom w:val="single" w:sz="6" w:space="1" w:color="C8CCE0"/>
              </w:pBdr>
            </w:pPr>
            <w:r>
              <w:rPr>
                <w:rFonts w:ascii="Calibri" w:hAnsi="Calibri" w:eastAsia="微软雅黑"/>
                <w:b/>
                <w:i w:val="0"/>
                <w:color w:val="0F2B45"/>
                <w:sz w:val="22"/>
              </w:rPr>
              <w:t>个人简介</w:t>
            </w:r>
          </w:p>
          <w:p>
            <w:pPr>
              <w:widowControl/>
              <w:spacing w:before="0" w:after="40" w:line="336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4B5563"/>
                <w:sz w:val="16"/>
              </w:rPr>
              <w:t>大数据技术专业 2027 届在读，专业排名前 10%。专注大模型应用与 Agent 工程，独立完成 AgentOS、RailMind、skillc 等项目，具备模型接入、Tool Calling、MCP、任务编排、数据管道、模型评估与服务部署实践。重视可验证性，能够通过对照实验和运行指标定位数据泄漏、系统性能与工程质量问题。</w:t>
            </w:r>
          </w:p>
          <w:p>
            <w:pPr>
              <w:widowControl/>
              <w:spacing w:before="160" w:after="40" w:line="240" w:lineRule="auto"/>
              <w:pBdr>
                <w:bottom w:val="single" w:sz="6" w:space="1" w:color="C8CCE0"/>
              </w:pBdr>
            </w:pPr>
            <w:r>
              <w:rPr>
                <w:rFonts w:ascii="Calibri" w:hAnsi="Calibri" w:eastAsia="微软雅黑"/>
                <w:b/>
                <w:i w:val="0"/>
                <w:color w:val="0F2B45"/>
                <w:sz w:val="22"/>
              </w:rPr>
              <w:t>核心项目</w:t>
            </w:r>
          </w:p>
          <w:p>
            <w:pPr>
              <w:widowControl/>
              <w:spacing w:before="100" w:after="20" w:line="288" w:lineRule="auto"/>
            </w:pPr>
            <w:r>
              <w:rPr>
                <w:rFonts w:ascii="Calibri" w:hAnsi="Calibri" w:eastAsia="微软雅黑"/>
                <w:b/>
                <w:i w:val="0"/>
                <w:color w:val="7B6ED8"/>
                <w:sz w:val="18"/>
              </w:rPr>
              <w:t>AgentOS | 本地自主 Agent 运行时</w:t>
            </w:r>
            <w:r>
              <w:rPr>
                <w:rFonts w:ascii="Calibri" w:hAnsi="Calibri" w:eastAsia="微软雅黑"/>
                <w:b w:val="0"/>
                <w:i w:val="0"/>
                <w:color w:val="6B7280"/>
                <w:sz w:val="14"/>
              </w:rPr>
              <w:t xml:space="preserve">  独立开发 · TypeScript / Node.js / Next.js / PostgreSQL</w:t>
            </w:r>
          </w:p>
          <w:p>
            <w:pPr>
              <w:pStyle w:val="ListBullet"/>
              <w:widowControl/>
              <w:spacing w:before="0" w:after="30" w:line="312" w:lineRule="auto"/>
              <w:ind w:left="200" w:hanging="1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A1A2E"/>
                <w:sz w:val="15"/>
              </w:rPr>
              <w:t>解决 Agent 自行宣布完成、缺少客观证据的问题，设计规划—执行—验证—评审—修复闭环。</w:t>
            </w:r>
          </w:p>
          <w:p>
            <w:pPr>
              <w:pStyle w:val="ListBullet"/>
              <w:widowControl/>
              <w:spacing w:before="0" w:after="30" w:line="312" w:lineRule="auto"/>
              <w:ind w:left="200" w:hanging="1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A1A2E"/>
                <w:sz w:val="15"/>
              </w:rPr>
              <w:t>实现 Tool Calling 主循环、工具注册、权限确认、检查点恢复、上下文压缩与分级沙箱。</w:t>
            </w:r>
          </w:p>
          <w:p>
            <w:pPr>
              <w:pStyle w:val="ListBullet"/>
              <w:widowControl/>
              <w:spacing w:before="0" w:after="30" w:line="312" w:lineRule="auto"/>
              <w:ind w:left="200" w:hanging="1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A1A2E"/>
                <w:sz w:val="15"/>
              </w:rPr>
              <w:t>以“验证命令通过 + 独立评审 PASS”作为完成条件，并用成功/故意失败对照实验验证闸门有效。</w:t>
            </w:r>
          </w:p>
          <w:p>
            <w:pPr>
              <w:widowControl/>
              <w:spacing w:before="100" w:after="20" w:line="288" w:lineRule="auto"/>
            </w:pPr>
            <w:r>
              <w:rPr>
                <w:rFonts w:ascii="Calibri" w:hAnsi="Calibri" w:eastAsia="微软雅黑"/>
                <w:b/>
                <w:i w:val="0"/>
                <w:color w:val="7B6ED8"/>
                <w:sz w:val="18"/>
              </w:rPr>
              <w:t>RailMind | 铁路票务数据与机器学习平台</w:t>
            </w:r>
            <w:r>
              <w:rPr>
                <w:rFonts w:ascii="Calibri" w:hAnsi="Calibri" w:eastAsia="微软雅黑"/>
                <w:b w:val="0"/>
                <w:i w:val="0"/>
                <w:color w:val="6B7280"/>
                <w:sz w:val="14"/>
              </w:rPr>
              <w:t xml:space="preserve">  独立开发 · Python / Kafka / Flink / LightGBM / FastAPI / Vue</w:t>
            </w:r>
          </w:p>
          <w:p>
            <w:pPr>
              <w:pStyle w:val="ListBullet"/>
              <w:widowControl/>
              <w:spacing w:before="0" w:after="30" w:line="312" w:lineRule="auto"/>
              <w:ind w:left="200" w:hanging="1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A1A2E"/>
                <w:sz w:val="15"/>
              </w:rPr>
              <w:t>搭建数据采集、流式特征计算、模型训练、在线预测和可视化的全链路管道，处理 321 万条记录。</w:t>
            </w:r>
          </w:p>
          <w:p>
            <w:pPr>
              <w:pStyle w:val="ListBullet"/>
              <w:widowControl/>
              <w:spacing w:before="0" w:after="30" w:line="312" w:lineRule="auto"/>
              <w:ind w:left="200" w:hanging="1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A1A2E"/>
                <w:sz w:val="15"/>
              </w:rPr>
              <w:t>发现 Baseline 的 R²=1.0 为数据泄漏假象，定位并移除 3 个泄漏特征，重建三分类评估基线。</w:t>
            </w:r>
          </w:p>
          <w:p>
            <w:pPr>
              <w:pStyle w:val="ListBullet"/>
              <w:widowControl/>
              <w:spacing w:before="0" w:after="30" w:line="312" w:lineRule="auto"/>
              <w:ind w:left="200" w:hanging="1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A1A2E"/>
                <w:sz w:val="15"/>
              </w:rPr>
              <w:t>LightGBM 最优 ROC-AUC 0.9065；稳定性测试 QPS 193、P50 4.38ms、错误率 0%。</w:t>
            </w:r>
          </w:p>
          <w:p>
            <w:pPr>
              <w:widowControl/>
              <w:spacing w:before="100" w:after="20" w:line="288" w:lineRule="auto"/>
            </w:pPr>
            <w:r>
              <w:rPr>
                <w:rFonts w:ascii="Calibri" w:hAnsi="Calibri" w:eastAsia="微软雅黑"/>
                <w:b/>
                <w:i w:val="0"/>
                <w:color w:val="7B6ED8"/>
                <w:sz w:val="18"/>
              </w:rPr>
              <w:t>skillc | 多运行时 Skill 编译器</w:t>
            </w:r>
            <w:r>
              <w:rPr>
                <w:rFonts w:ascii="Calibri" w:hAnsi="Calibri" w:eastAsia="微软雅黑"/>
                <w:b w:val="0"/>
                <w:i w:val="0"/>
                <w:color w:val="6B7280"/>
                <w:sz w:val="14"/>
              </w:rPr>
              <w:t xml:space="preserve">  独立开发 · TypeScript / Node.js</w:t>
            </w:r>
          </w:p>
          <w:p>
            <w:pPr>
              <w:pStyle w:val="ListBullet"/>
              <w:widowControl/>
              <w:spacing w:before="0" w:after="30" w:line="312" w:lineRule="auto"/>
              <w:ind w:left="200" w:hanging="1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A1A2E"/>
                <w:sz w:val="15"/>
              </w:rPr>
              <w:t>针对同一套 Agent Skill 难以适配不同运行时的问题，实现源码解析器与多目标发射器。</w:t>
            </w:r>
          </w:p>
          <w:p>
            <w:pPr>
              <w:pStyle w:val="ListBullet"/>
              <w:widowControl/>
              <w:spacing w:before="0" w:after="30" w:line="312" w:lineRule="auto"/>
              <w:ind w:left="200" w:hanging="1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A1A2E"/>
                <w:sz w:val="15"/>
              </w:rPr>
              <w:t>支持一份 Skill 源码编译为多个 Agent 运行时的原生格式，并实现确定性发现、资源打包和安全同步。</w:t>
            </w:r>
          </w:p>
          <w:p>
            <w:pPr>
              <w:pStyle w:val="ListBullet"/>
              <w:widowControl/>
              <w:spacing w:before="0" w:after="30" w:line="312" w:lineRule="auto"/>
              <w:ind w:left="200" w:hanging="1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A1A2E"/>
                <w:sz w:val="15"/>
              </w:rPr>
              <w:t>配套开发 gitguard 提交卫生检查工具，降低跨仓库分发时的覆盖和格式错误风险。</w:t>
            </w:r>
          </w:p>
          <w:p>
            <w:pPr>
              <w:widowControl/>
              <w:spacing w:before="160" w:after="40" w:line="240" w:lineRule="auto"/>
              <w:pBdr>
                <w:bottom w:val="single" w:sz="6" w:space="1" w:color="C8CCE0"/>
              </w:pBdr>
            </w:pPr>
            <w:r>
              <w:rPr>
                <w:rFonts w:ascii="Calibri" w:hAnsi="Calibri" w:eastAsia="微软雅黑"/>
                <w:b/>
                <w:i w:val="0"/>
                <w:color w:val="0F2B45"/>
                <w:sz w:val="22"/>
              </w:rPr>
              <w:t>补充经历</w:t>
            </w:r>
          </w:p>
          <w:p>
            <w:pPr>
              <w:pStyle w:val="ListBullet"/>
              <w:widowControl/>
              <w:spacing w:before="0" w:after="30" w:line="312" w:lineRule="auto"/>
              <w:ind w:left="200" w:hanging="1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A1A2E"/>
                <w:sz w:val="15"/>
              </w:rPr>
              <w:t>api-health-checker | LLM API 健康检测服务：统一接入多家模型 Provider，支持并发检测、速率限制、延迟与首 Token 记录、模型列表查询及 SSRF 防护；真实环境验证 14 个 API 端点。</w:t>
            </w:r>
          </w:p>
          <w:p>
            <w:pPr>
              <w:pStyle w:val="ListBullet"/>
              <w:widowControl/>
              <w:spacing w:before="0" w:after="30" w:line="312" w:lineRule="auto"/>
              <w:ind w:left="200" w:hanging="120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A1A2E"/>
                <w:sz w:val="15"/>
              </w:rPr>
              <w:t>作品集与开源项目：完整技术细节、运行证据和代码仓库见页眉链接。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454" w:right="567" w:bottom="454" w:left="56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center"/>
    </w:pPr>
    <w:r>
      <w:rPr>
        <w:rFonts w:ascii="Calibri" w:hAnsi="Calibri" w:eastAsia="微软雅黑"/>
        <w:b w:val="0"/>
        <w:i w:val="0"/>
        <w:color w:val="9CA3AF"/>
        <w:sz w:val="13"/>
      </w:rPr>
      <w:t>谢键禧  |  AI 应用开发 / Agent 工程方向  |  参赛简历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