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>数据校验规则</w:t>
      </w:r>
    </w:p>
    <w:p>
      <w:r>
        <w:rPr>
          <w:rFonts w:ascii="Microsoft YaHei" w:hAnsi="Microsoft YaHei" w:eastAsia="Microsoft YaHei"/>
          <w:color w:val="555555"/>
          <w:sz w:val="21"/>
        </w:rPr>
        <w:t>基础数据校验用于确认上传表是否具备进入 BOM 估算和施工资料生成的最低结构条件。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必填字段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异常处理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站点编号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必须存在。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缺失时报错，要求修正表头或补充字段。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站点类型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必须存在。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缺失时报错，要求修正表头或补充字段。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AAU型号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必须存在。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缺失时报错，要求修正表头或补充字段。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BBU型号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必须存在。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缺失时报错，要求修正表头或补充字段。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线缆敷设距离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必须存在。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缺失时报错，无法进入正式生成。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取电方式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必须存在。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缺失时报错，无法进入正式生成。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字段值校验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校验对象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线缆敷设距离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无法转换为数字。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提示警告，并按 0 米参与估算。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线缆敷设距离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小于 0。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提示警告，并按 0 米参与估算。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线缆敷设距离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正常数字。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保留数值并参与 BOM 估算。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站点编号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存在空值。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提示警告，建议补齐后再用于正式交付。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校验与审查的关系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sz w:val="21"/>
        </w:rPr>
        <w:t>数据校验是基础结构校验，主要检查中文必填字段和核心数值可用性。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sz w:val="21"/>
        </w:rPr>
        <w:t>轻量智能审查是工程风险审查，会进一步检查标准字段、距离区间、纤芯、取电和资源冲突。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sz w:val="21"/>
        </w:rPr>
        <w:t>校验错误或审查错误会阻止正式施工资料生成，但页面仍可保留预览提示。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