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HARPAZO-OWAS NATIONAL REPORTING PLATFORM</w:t>
      </w:r>
    </w:p>
    <w:p>
      <w:pPr>
        <w:spacing w:after="40"/>
      </w:pPr>
      <w:r>
        <w:rPr>
          <w:b/>
          <w:bCs/>
          <w:color w:val="B7862C"/>
          <w:sz w:val="26"/>
          <w:szCs w:val="26"/>
        </w:rPr>
        <w:t xml:space="preserve">User Roles &amp; Organizational Structure Guide</w:t>
      </w:r>
    </w:p>
    <w:p>
      <w:pPr>
        <w:spacing w:after="300"/>
      </w:pPr>
      <w:r>
        <w:rPr>
          <w:i/>
          <w:iCs/>
          <w:color w:val="595959"/>
          <w:sz w:val="19"/>
          <w:szCs w:val="19"/>
        </w:rPr>
        <w:t xml:space="preserve">Living Faith Foundation (LFF) — 7 Million Souls Mandate  |  Prepared July 2026</w:t>
      </w:r>
    </w:p>
    <w:p>
      <w:pPr>
        <w:pStyle w:val="Heading1"/>
        <w:pBdr>
          <w:bottom w:val="single" w:color="B7862C" w:sz="6" w:space="4"/>
        </w:pBdr>
        <w:spacing w:after="160" w:before="360"/>
      </w:pPr>
      <w:r>
        <w:rPr>
          <w:b/>
          <w:bCs/>
          <w:color w:val="1F3864"/>
          <w:sz w:val="30"/>
          <w:szCs w:val="30"/>
        </w:rPr>
        <w:t xml:space="preserve">1. Purpose</w:t>
      </w:r>
    </w:p>
    <w:p>
      <w:pPr>
        <w:spacing w:after="160" w:line="276"/>
      </w:pPr>
      <w:r>
        <w:rPr>
          <w:color w:val="222222"/>
          <w:sz w:val="21"/>
          <w:szCs w:val="21"/>
        </w:rPr>
        <w:t xml:space="preserve">HARPAZO-OWAS digitizes LFF's Operation Win A Soul (OWAS) reporting and soul-tracking system. It replaces WhatsApp-only manual reporting with a structured, auditable, real-time platform, while keeping WhatsApp available as a valid reporting channel. This document explains what each user role and each organizational level is responsible for within the platform.</w:t>
      </w:r>
    </w:p>
    <w:p>
      <w:pPr>
        <w:pStyle w:val="Heading1"/>
        <w:pBdr>
          <w:bottom w:val="single" w:color="B7862C" w:sz="6" w:space="4"/>
        </w:pBdr>
        <w:spacing w:after="160" w:before="360"/>
      </w:pPr>
      <w:r>
        <w:rPr>
          <w:b/>
          <w:bCs/>
          <w:color w:val="1F3864"/>
          <w:sz w:val="30"/>
          <w:szCs w:val="30"/>
        </w:rPr>
        <w:t xml:space="preserve">2. Organizational Structure</w:t>
      </w:r>
    </w:p>
    <w:p>
      <w:pPr>
        <w:spacing w:after="160" w:line="276"/>
      </w:pPr>
      <w:r>
        <w:rPr>
          <w:color w:val="222222"/>
          <w:sz w:val="21"/>
          <w:szCs w:val="21"/>
        </w:rPr>
        <w:t xml:space="preserve">The platform mirrors LFF's real-world hierarchy. Data submitted at the bottom (Flight Shepherd) automatically rolls up through each level — no level above Branch ever re-types figures.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40"/>
      </w:tblGrid>
      <w:tr>
        <w:trPr>
          <w:tblHeader/>
        </w:trPr>
        <w:tc>
          <w:tcPr>
            <w:tcW w:type="dxa" w:w="700"/>
            <w:shd w:fill="1F3864" w:val="clear"/>
            <w:tcMar>
              <w:top w:type="dxa" w:w="100"/>
              <w:left w:type="dxa" w:w="120"/>
              <w:bottom w:type="dxa" w:w="100"/>
              <w:right w:type="dxa" w:w="120"/>
            </w:tcMar>
          </w:tcPr>
          <w:p>
            <w:r>
              <w:rPr>
                <w:b/>
                <w:bCs/>
                <w:color w:val="FFFFFF"/>
                <w:sz w:val="19"/>
                <w:szCs w:val="19"/>
              </w:rPr>
              <w:t xml:space="preserve">Level</w:t>
            </w:r>
          </w:p>
        </w:tc>
        <w:tc>
          <w:tcPr>
            <w:tcW w:type="dxa" w:w="2400"/>
            <w:shd w:fill="1F3864" w:val="clear"/>
            <w:tcMar>
              <w:top w:type="dxa" w:w="100"/>
              <w:left w:type="dxa" w:w="120"/>
              <w:bottom w:type="dxa" w:w="100"/>
              <w:right w:type="dxa" w:w="120"/>
            </w:tcMar>
          </w:tcPr>
          <w:p>
            <w:r>
              <w:rPr>
                <w:b/>
                <w:bCs/>
                <w:color w:val="FFFFFF"/>
                <w:sz w:val="19"/>
                <w:szCs w:val="19"/>
              </w:rPr>
              <w:t xml:space="preserve">Entity</w:t>
            </w:r>
          </w:p>
        </w:tc>
        <w:tc>
          <w:tcPr>
            <w:tcW w:type="dxa" w:w="6540"/>
            <w:shd w:fill="1F3864" w:val="clear"/>
            <w:tcMar>
              <w:top w:type="dxa" w:w="100"/>
              <w:left w:type="dxa" w:w="120"/>
              <w:bottom w:type="dxa" w:w="100"/>
              <w:right w:type="dxa" w:w="120"/>
            </w:tcMar>
          </w:tcPr>
          <w:p>
            <w:r>
              <w:rPr>
                <w:b/>
                <w:bCs/>
                <w:color w:val="FFFFFF"/>
                <w:sz w:val="19"/>
                <w:szCs w:val="19"/>
              </w:rPr>
              <w:t xml:space="preserve">What it represents</w:t>
            </w:r>
          </w:p>
        </w:tc>
      </w:tr>
      <w:tr>
        <w:tc>
          <w:tcPr>
            <w:tcW w:type="dxa" w:w="700"/>
            <w:tcMar>
              <w:top w:type="dxa" w:w="100"/>
              <w:left w:type="dxa" w:w="120"/>
              <w:bottom w:type="dxa" w:w="100"/>
              <w:right w:type="dxa" w:w="120"/>
            </w:tcMar>
          </w:tcPr>
          <w:p>
            <w:r>
              <w:rPr>
                <w:b w:val="false"/>
                <w:bCs w:val="false"/>
                <w:color w:val="222222"/>
                <w:sz w:val="19"/>
                <w:szCs w:val="19"/>
              </w:rPr>
              <w:t xml:space="preserve">1</w:t>
            </w:r>
          </w:p>
        </w:tc>
        <w:tc>
          <w:tcPr>
            <w:tcW w:type="dxa" w:w="2400"/>
            <w:tcMar>
              <w:top w:type="dxa" w:w="100"/>
              <w:left w:type="dxa" w:w="120"/>
              <w:bottom w:type="dxa" w:w="100"/>
              <w:right w:type="dxa" w:w="120"/>
            </w:tcMar>
          </w:tcPr>
          <w:p>
            <w:r>
              <w:rPr>
                <w:b w:val="false"/>
                <w:bCs w:val="false"/>
                <w:color w:val="222222"/>
                <w:sz w:val="19"/>
                <w:szCs w:val="19"/>
              </w:rPr>
              <w:t xml:space="preserve">National</w:t>
            </w:r>
          </w:p>
        </w:tc>
        <w:tc>
          <w:tcPr>
            <w:tcW w:type="dxa" w:w="6540"/>
            <w:tcMar>
              <w:top w:type="dxa" w:w="100"/>
              <w:left w:type="dxa" w:w="120"/>
              <w:bottom w:type="dxa" w:w="100"/>
              <w:right w:type="dxa" w:w="120"/>
            </w:tcMar>
          </w:tcPr>
          <w:p>
            <w:r>
              <w:rPr>
                <w:b w:val="false"/>
                <w:bCs w:val="false"/>
                <w:color w:val="222222"/>
                <w:sz w:val="19"/>
                <w:szCs w:val="19"/>
              </w:rPr>
              <w:t xml:space="preserve">Single top-level entity covering all of LFF worldwide. Owns the 7 Million Souls Mandate target and its distribution across every Region, Zone, District and Branch. Receives the compiled National Report and publishes the monthly KPI Scorecard.</w:t>
            </w:r>
          </w:p>
        </w:tc>
      </w:tr>
      <w:tr>
        <w:tc>
          <w:tcPr>
            <w:tcW w:type="dxa" w:w="700"/>
            <w:shd w:fill="F2F2F2" w:val="clear"/>
            <w:tcMar>
              <w:top w:type="dxa" w:w="100"/>
              <w:left w:type="dxa" w:w="120"/>
              <w:bottom w:type="dxa" w:w="100"/>
              <w:right w:type="dxa" w:w="120"/>
            </w:tcMar>
          </w:tcPr>
          <w:p>
            <w:r>
              <w:rPr>
                <w:b w:val="false"/>
                <w:bCs w:val="false"/>
                <w:color w:val="222222"/>
                <w:sz w:val="19"/>
                <w:szCs w:val="19"/>
              </w:rPr>
              <w:t xml:space="preserve">2</w:t>
            </w:r>
          </w:p>
        </w:tc>
        <w:tc>
          <w:tcPr>
            <w:tcW w:type="dxa" w:w="2400"/>
            <w:shd w:fill="F2F2F2" w:val="clear"/>
            <w:tcMar>
              <w:top w:type="dxa" w:w="100"/>
              <w:left w:type="dxa" w:w="120"/>
              <w:bottom w:type="dxa" w:w="100"/>
              <w:right w:type="dxa" w:w="120"/>
            </w:tcMar>
          </w:tcPr>
          <w:p>
            <w:r>
              <w:rPr>
                <w:b w:val="false"/>
                <w:bCs w:val="false"/>
                <w:color w:val="222222"/>
                <w:sz w:val="19"/>
                <w:szCs w:val="19"/>
              </w:rPr>
              <w:t xml:space="preserve">Region</w:t>
            </w:r>
          </w:p>
        </w:tc>
        <w:tc>
          <w:tcPr>
            <w:tcW w:type="dxa" w:w="6540"/>
            <w:shd w:fill="F2F2F2" w:val="clear"/>
            <w:tcMar>
              <w:top w:type="dxa" w:w="100"/>
              <w:left w:type="dxa" w:w="120"/>
              <w:bottom w:type="dxa" w:w="100"/>
              <w:right w:type="dxa" w:w="120"/>
            </w:tcMar>
          </w:tcPr>
          <w:p>
            <w:r>
              <w:rPr>
                <w:b w:val="false"/>
                <w:bCs w:val="false"/>
                <w:color w:val="222222"/>
                <w:sz w:val="19"/>
                <w:szCs w:val="19"/>
              </w:rPr>
              <w:t xml:space="preserve">Groups multiple Zones within a large geography (e.g. "South West", "North Central"). Added between National and Zone so oversight scales past ~70 zones. Has an assigned Regional Coordinator.</w:t>
            </w:r>
          </w:p>
        </w:tc>
      </w:tr>
      <w:tr>
        <w:tc>
          <w:tcPr>
            <w:tcW w:type="dxa" w:w="700"/>
            <w:tcMar>
              <w:top w:type="dxa" w:w="100"/>
              <w:left w:type="dxa" w:w="120"/>
              <w:bottom w:type="dxa" w:w="100"/>
              <w:right w:type="dxa" w:w="120"/>
            </w:tcMar>
          </w:tcPr>
          <w:p>
            <w:r>
              <w:rPr>
                <w:b w:val="false"/>
                <w:bCs w:val="false"/>
                <w:color w:val="222222"/>
                <w:sz w:val="19"/>
                <w:szCs w:val="19"/>
              </w:rPr>
              <w:t xml:space="preserve">3</w:t>
            </w:r>
          </w:p>
        </w:tc>
        <w:tc>
          <w:tcPr>
            <w:tcW w:type="dxa" w:w="2400"/>
            <w:tcMar>
              <w:top w:type="dxa" w:w="100"/>
              <w:left w:type="dxa" w:w="120"/>
              <w:bottom w:type="dxa" w:w="100"/>
              <w:right w:type="dxa" w:w="120"/>
            </w:tcMar>
          </w:tcPr>
          <w:p>
            <w:r>
              <w:rPr>
                <w:b w:val="false"/>
                <w:bCs w:val="false"/>
                <w:color w:val="222222"/>
                <w:sz w:val="19"/>
                <w:szCs w:val="19"/>
              </w:rPr>
              <w:t xml:space="preserve">Zone</w:t>
            </w:r>
          </w:p>
        </w:tc>
        <w:tc>
          <w:tcPr>
            <w:tcW w:type="dxa" w:w="6540"/>
            <w:tcMar>
              <w:top w:type="dxa" w:w="100"/>
              <w:left w:type="dxa" w:w="120"/>
              <w:bottom w:type="dxa" w:w="100"/>
              <w:right w:type="dxa" w:w="120"/>
            </w:tcMar>
          </w:tcPr>
          <w:p>
            <w:r>
              <w:rPr>
                <w:b w:val="false"/>
                <w:bCs w:val="false"/>
                <w:color w:val="222222"/>
                <w:sz w:val="19"/>
                <w:szCs w:val="19"/>
              </w:rPr>
              <w:t xml:space="preserve">Groups Districts within a Region (~70 nationwide). Aggregates District reports into a Zonal Report every Tuesday and tracks HST/EE readiness across its districts.</w:t>
            </w:r>
          </w:p>
        </w:tc>
      </w:tr>
      <w:tr>
        <w:tc>
          <w:tcPr>
            <w:tcW w:type="dxa" w:w="700"/>
            <w:shd w:fill="F2F2F2" w:val="clear"/>
            <w:tcMar>
              <w:top w:type="dxa" w:w="100"/>
              <w:left w:type="dxa" w:w="120"/>
              <w:bottom w:type="dxa" w:w="100"/>
              <w:right w:type="dxa" w:w="120"/>
            </w:tcMar>
          </w:tcPr>
          <w:p>
            <w:r>
              <w:rPr>
                <w:b w:val="false"/>
                <w:bCs w:val="false"/>
                <w:color w:val="222222"/>
                <w:sz w:val="19"/>
                <w:szCs w:val="19"/>
              </w:rPr>
              <w:t xml:space="preserve">4</w:t>
            </w:r>
          </w:p>
        </w:tc>
        <w:tc>
          <w:tcPr>
            <w:tcW w:type="dxa" w:w="2400"/>
            <w:shd w:fill="F2F2F2" w:val="clear"/>
            <w:tcMar>
              <w:top w:type="dxa" w:w="100"/>
              <w:left w:type="dxa" w:w="120"/>
              <w:bottom w:type="dxa" w:w="100"/>
              <w:right w:type="dxa" w:w="120"/>
            </w:tcMar>
          </w:tcPr>
          <w:p>
            <w:r>
              <w:rPr>
                <w:b w:val="false"/>
                <w:bCs w:val="false"/>
                <w:color w:val="222222"/>
                <w:sz w:val="19"/>
                <w:szCs w:val="19"/>
              </w:rPr>
              <w:t xml:space="preserve">District</w:t>
            </w:r>
          </w:p>
        </w:tc>
        <w:tc>
          <w:tcPr>
            <w:tcW w:type="dxa" w:w="6540"/>
            <w:shd w:fill="F2F2F2" w:val="clear"/>
            <w:tcMar>
              <w:top w:type="dxa" w:w="100"/>
              <w:left w:type="dxa" w:w="120"/>
              <w:bottom w:type="dxa" w:w="100"/>
              <w:right w:type="dxa" w:w="120"/>
            </w:tcMar>
          </w:tcPr>
          <w:p>
            <w:r>
              <w:rPr>
                <w:b w:val="false"/>
                <w:bCs w:val="false"/>
                <w:color w:val="222222"/>
                <w:sz w:val="19"/>
                <w:szCs w:val="19"/>
              </w:rPr>
              <w:t xml:space="preserve">Groups Branches within a Zone (~700 nationwide). Aggregates Branch reports into a District Report every Monday; never re-enters branch figures.</w:t>
            </w:r>
          </w:p>
        </w:tc>
      </w:tr>
      <w:tr>
        <w:tc>
          <w:tcPr>
            <w:tcW w:type="dxa" w:w="700"/>
            <w:tcMar>
              <w:top w:type="dxa" w:w="100"/>
              <w:left w:type="dxa" w:w="120"/>
              <w:bottom w:type="dxa" w:w="100"/>
              <w:right w:type="dxa" w:w="120"/>
            </w:tcMar>
          </w:tcPr>
          <w:p>
            <w:r>
              <w:rPr>
                <w:b w:val="false"/>
                <w:bCs w:val="false"/>
                <w:color w:val="222222"/>
                <w:sz w:val="19"/>
                <w:szCs w:val="19"/>
              </w:rPr>
              <w:t xml:space="preserve">5</w:t>
            </w:r>
          </w:p>
        </w:tc>
        <w:tc>
          <w:tcPr>
            <w:tcW w:type="dxa" w:w="2400"/>
            <w:tcMar>
              <w:top w:type="dxa" w:w="100"/>
              <w:left w:type="dxa" w:w="120"/>
              <w:bottom w:type="dxa" w:w="100"/>
              <w:right w:type="dxa" w:w="120"/>
            </w:tcMar>
          </w:tcPr>
          <w:p>
            <w:r>
              <w:rPr>
                <w:b w:val="false"/>
                <w:bCs w:val="false"/>
                <w:color w:val="222222"/>
                <w:sz w:val="19"/>
                <w:szCs w:val="19"/>
              </w:rPr>
              <w:t xml:space="preserve">Branch</w:t>
            </w:r>
          </w:p>
        </w:tc>
        <w:tc>
          <w:tcPr>
            <w:tcW w:type="dxa" w:w="6540"/>
            <w:tcMar>
              <w:top w:type="dxa" w:w="100"/>
              <w:left w:type="dxa" w:w="120"/>
              <w:bottom w:type="dxa" w:w="100"/>
              <w:right w:type="dxa" w:w="120"/>
            </w:tcMar>
          </w:tcPr>
          <w:p>
            <w:r>
              <w:rPr>
                <w:b w:val="false"/>
                <w:bCs w:val="false"/>
                <w:color w:val="222222"/>
                <w:sz w:val="19"/>
                <w:szCs w:val="19"/>
              </w:rPr>
              <w:t xml:space="preserve">The core local-church operating unit (~7,000 nationwide, ~500 at launch). Runs GOWAS outreach, registers new converts, submits the 9-section Weekly Branch Report every Sunday, and manages its own Flight Shepherds.</w:t>
            </w:r>
          </w:p>
        </w:tc>
      </w:tr>
      <w:tr>
        <w:tc>
          <w:tcPr>
            <w:tcW w:type="dxa" w:w="700"/>
            <w:shd w:fill="F2F2F2" w:val="clear"/>
            <w:tcMar>
              <w:top w:type="dxa" w:w="100"/>
              <w:left w:type="dxa" w:w="120"/>
              <w:bottom w:type="dxa" w:w="100"/>
              <w:right w:type="dxa" w:w="120"/>
            </w:tcMar>
          </w:tcPr>
          <w:p>
            <w:r>
              <w:rPr>
                <w:b w:val="false"/>
                <w:bCs w:val="false"/>
                <w:color w:val="222222"/>
                <w:sz w:val="19"/>
                <w:szCs w:val="19"/>
              </w:rPr>
              <w:t xml:space="preserve">6</w:t>
            </w:r>
          </w:p>
        </w:tc>
        <w:tc>
          <w:tcPr>
            <w:tcW w:type="dxa" w:w="2400"/>
            <w:shd w:fill="F2F2F2" w:val="clear"/>
            <w:tcMar>
              <w:top w:type="dxa" w:w="100"/>
              <w:left w:type="dxa" w:w="120"/>
              <w:bottom w:type="dxa" w:w="100"/>
              <w:right w:type="dxa" w:w="120"/>
            </w:tcMar>
          </w:tcPr>
          <w:p>
            <w:r>
              <w:rPr>
                <w:b w:val="false"/>
                <w:bCs w:val="false"/>
                <w:color w:val="222222"/>
                <w:sz w:val="19"/>
                <w:szCs w:val="19"/>
              </w:rPr>
              <w:t xml:space="preserve">Flight Shepherd (tag)</w:t>
            </w:r>
          </w:p>
        </w:tc>
        <w:tc>
          <w:tcPr>
            <w:tcW w:type="dxa" w:w="6540"/>
            <w:shd w:fill="F2F2F2" w:val="clear"/>
            <w:tcMar>
              <w:top w:type="dxa" w:w="100"/>
              <w:left w:type="dxa" w:w="120"/>
              <w:bottom w:type="dxa" w:w="100"/>
              <w:right w:type="dxa" w:w="120"/>
            </w:tcMar>
          </w:tcPr>
          <w:p>
            <w:r>
              <w:rPr>
                <w:b w:val="false"/>
                <w:bCs w:val="false"/>
                <w:color w:val="222222"/>
                <w:sz w:val="19"/>
                <w:szCs w:val="19"/>
              </w:rPr>
              <w:t xml:space="preserve">A named follow-up assignment within a Branch (e.g. YM-Tag1, YF-Tag2), auto-generated by demographic group (Youth Male / Youth Female / Adult Male / Adult Woman). Each tag holds a set of assigned converts (souls).</w:t>
            </w:r>
          </w:p>
        </w:tc>
      </w:tr>
    </w:tbl>
    <w:p>
      <w:pPr>
        <w:pStyle w:val="Heading1"/>
        <w:pBdr>
          <w:bottom w:val="single" w:color="B7862C" w:sz="6" w:space="4"/>
        </w:pBdr>
        <w:spacing w:after="160" w:before="360"/>
      </w:pPr>
      <w:r>
        <w:rPr>
          <w:b/>
          <w:bCs/>
          <w:color w:val="1F3864"/>
          <w:sz w:val="30"/>
          <w:szCs w:val="30"/>
        </w:rPr>
        <w:t xml:space="preserve">3. User Roles</w:t>
      </w:r>
    </w:p>
    <w:p>
      <w:pPr>
        <w:spacing w:after="160" w:line="276"/>
      </w:pPr>
      <w:r>
        <w:rPr>
          <w:color w:val="222222"/>
          <w:sz w:val="21"/>
          <w:szCs w:val="21"/>
        </w:rPr>
        <w:t xml:space="preserve">Ten roles exist, each scoped to a level of the organizational structure above. Accounts are created top-down by administrators — there is no public self-registration.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1550"/>
        <w:gridCol w:w="5440"/>
      </w:tblGrid>
      <w:tr>
        <w:trPr>
          <w:tblHeader/>
        </w:trPr>
        <w:tc>
          <w:tcPr>
            <w:tcW w:type="dxa" w:w="1750"/>
            <w:shd w:fill="1F3864" w:val="clear"/>
            <w:tcMar>
              <w:top w:type="dxa" w:w="100"/>
              <w:left w:type="dxa" w:w="120"/>
              <w:bottom w:type="dxa" w:w="100"/>
              <w:right w:type="dxa" w:w="120"/>
            </w:tcMar>
          </w:tcPr>
          <w:p>
            <w:r>
              <w:rPr>
                <w:b/>
                <w:bCs/>
                <w:color w:val="FFFFFF"/>
                <w:sz w:val="19"/>
                <w:szCs w:val="19"/>
              </w:rPr>
              <w:t xml:space="preserve">Role</w:t>
            </w:r>
          </w:p>
        </w:tc>
        <w:tc>
          <w:tcPr>
            <w:tcW w:type="dxa" w:w="900"/>
            <w:shd w:fill="1F3864" w:val="clear"/>
            <w:tcMar>
              <w:top w:type="dxa" w:w="100"/>
              <w:left w:type="dxa" w:w="120"/>
              <w:bottom w:type="dxa" w:w="100"/>
              <w:right w:type="dxa" w:w="120"/>
            </w:tcMar>
          </w:tcPr>
          <w:p>
            <w:r>
              <w:rPr>
                <w:b/>
                <w:bCs/>
                <w:color w:val="FFFFFF"/>
                <w:sz w:val="19"/>
                <w:szCs w:val="19"/>
              </w:rPr>
              <w:t xml:space="preserve">Approx. count</w:t>
            </w:r>
          </w:p>
        </w:tc>
        <w:tc>
          <w:tcPr>
            <w:tcW w:type="dxa" w:w="1550"/>
            <w:shd w:fill="1F3864" w:val="clear"/>
            <w:tcMar>
              <w:top w:type="dxa" w:w="100"/>
              <w:left w:type="dxa" w:w="120"/>
              <w:bottom w:type="dxa" w:w="100"/>
              <w:right w:type="dxa" w:w="120"/>
            </w:tcMar>
          </w:tcPr>
          <w:p>
            <w:r>
              <w:rPr>
                <w:b/>
                <w:bCs/>
                <w:color w:val="FFFFFF"/>
                <w:sz w:val="19"/>
                <w:szCs w:val="19"/>
              </w:rPr>
              <w:t xml:space="preserve">Org level</w:t>
            </w:r>
          </w:p>
        </w:tc>
        <w:tc>
          <w:tcPr>
            <w:tcW w:type="dxa" w:w="5440"/>
            <w:shd w:fill="1F3864" w:val="clear"/>
            <w:tcMar>
              <w:top w:type="dxa" w:w="100"/>
              <w:left w:type="dxa" w:w="120"/>
              <w:bottom w:type="dxa" w:w="100"/>
              <w:right w:type="dxa" w:w="120"/>
            </w:tcMar>
          </w:tcPr>
          <w:p>
            <w:r>
              <w:rPr>
                <w:b/>
                <w:bCs/>
                <w:color w:val="FFFFFF"/>
                <w:sz w:val="19"/>
                <w:szCs w:val="19"/>
              </w:rPr>
              <w:t xml:space="preserve">What they do</w:t>
            </w:r>
          </w:p>
        </w:tc>
      </w:tr>
      <w:tr>
        <w:tc>
          <w:tcPr>
            <w:tcW w:type="dxa" w:w="1750"/>
            <w:tcMar>
              <w:top w:type="dxa" w:w="100"/>
              <w:left w:type="dxa" w:w="120"/>
              <w:bottom w:type="dxa" w:w="100"/>
              <w:right w:type="dxa" w:w="120"/>
            </w:tcMar>
          </w:tcPr>
          <w:p>
            <w:r>
              <w:rPr>
                <w:b w:val="false"/>
                <w:bCs w:val="false"/>
                <w:color w:val="222222"/>
                <w:sz w:val="19"/>
                <w:szCs w:val="19"/>
              </w:rPr>
              <w:t xml:space="preserve">Super Admin</w:t>
            </w:r>
          </w:p>
        </w:tc>
        <w:tc>
          <w:tcPr>
            <w:tcW w:type="dxa" w:w="900"/>
            <w:tcMar>
              <w:top w:type="dxa" w:w="100"/>
              <w:left w:type="dxa" w:w="120"/>
              <w:bottom w:type="dxa" w:w="100"/>
              <w:right w:type="dxa" w:w="120"/>
            </w:tcMar>
          </w:tcPr>
          <w:p>
            <w:r>
              <w:rPr>
                <w:b w:val="false"/>
                <w:bCs w:val="false"/>
                <w:color w:val="222222"/>
                <w:sz w:val="19"/>
                <w:szCs w:val="19"/>
              </w:rPr>
              <w:t xml:space="preserve">~3</w:t>
            </w:r>
          </w:p>
        </w:tc>
        <w:tc>
          <w:tcPr>
            <w:tcW w:type="dxa" w:w="1550"/>
            <w:tcMar>
              <w:top w:type="dxa" w:w="100"/>
              <w:left w:type="dxa" w:w="120"/>
              <w:bottom w:type="dxa" w:w="100"/>
              <w:right w:type="dxa" w:w="120"/>
            </w:tcMar>
          </w:tcPr>
          <w:p>
            <w:r>
              <w:rPr>
                <w:b w:val="false"/>
                <w:bCs w:val="false"/>
                <w:color w:val="222222"/>
                <w:sz w:val="19"/>
                <w:szCs w:val="19"/>
              </w:rPr>
              <w:t xml:space="preserve">System-wide</w:t>
            </w:r>
          </w:p>
        </w:tc>
        <w:tc>
          <w:tcPr>
            <w:tcW w:type="dxa" w:w="5440"/>
            <w:tcMar>
              <w:top w:type="dxa" w:w="100"/>
              <w:left w:type="dxa" w:w="120"/>
              <w:bottom w:type="dxa" w:w="100"/>
              <w:right w:type="dxa" w:w="120"/>
            </w:tcMar>
          </w:tcPr>
          <w:p>
            <w:r>
              <w:rPr>
                <w:b w:val="false"/>
                <w:bCs w:val="false"/>
                <w:color w:val="222222"/>
                <w:sz w:val="19"/>
                <w:szCs w:val="19"/>
              </w:rPr>
              <w:t xml:space="preserve">Configures the entire platform: creates the Region → Zone → District → Branch structure, provisions every coordinator account, sets the 7M target distribution, adjusts KPI weightings, reviews the full audit log, and is the only role that can unlock a submitted report for correction.</w:t>
            </w:r>
          </w:p>
        </w:tc>
      </w:tr>
      <w:tr>
        <w:tc>
          <w:tcPr>
            <w:tcW w:type="dxa" w:w="1750"/>
            <w:shd w:fill="F2F2F2" w:val="clear"/>
            <w:tcMar>
              <w:top w:type="dxa" w:w="100"/>
              <w:left w:type="dxa" w:w="120"/>
              <w:bottom w:type="dxa" w:w="100"/>
              <w:right w:type="dxa" w:w="120"/>
            </w:tcMar>
          </w:tcPr>
          <w:p>
            <w:r>
              <w:rPr>
                <w:b w:val="false"/>
                <w:bCs w:val="false"/>
                <w:color w:val="222222"/>
                <w:sz w:val="19"/>
                <w:szCs w:val="19"/>
              </w:rPr>
              <w:t xml:space="preserve">National Coordinator</w:t>
            </w:r>
          </w:p>
        </w:tc>
        <w:tc>
          <w:tcPr>
            <w:tcW w:type="dxa" w:w="900"/>
            <w:shd w:fill="F2F2F2" w:val="clear"/>
            <w:tcMar>
              <w:top w:type="dxa" w:w="100"/>
              <w:left w:type="dxa" w:w="120"/>
              <w:bottom w:type="dxa" w:w="100"/>
              <w:right w:type="dxa" w:w="120"/>
            </w:tcMar>
          </w:tcPr>
          <w:p>
            <w:r>
              <w:rPr>
                <w:b w:val="false"/>
                <w:bCs w:val="false"/>
                <w:color w:val="222222"/>
                <w:sz w:val="19"/>
                <w:szCs w:val="19"/>
              </w:rPr>
              <w:t xml:space="preserve">~2</w:t>
            </w:r>
          </w:p>
        </w:tc>
        <w:tc>
          <w:tcPr>
            <w:tcW w:type="dxa" w:w="1550"/>
            <w:shd w:fill="F2F2F2" w:val="clear"/>
            <w:tcMar>
              <w:top w:type="dxa" w:w="100"/>
              <w:left w:type="dxa" w:w="120"/>
              <w:bottom w:type="dxa" w:w="100"/>
              <w:right w:type="dxa" w:w="120"/>
            </w:tcMar>
          </w:tcPr>
          <w:p>
            <w:r>
              <w:rPr>
                <w:b w:val="false"/>
                <w:bCs w:val="false"/>
                <w:color w:val="222222"/>
                <w:sz w:val="19"/>
                <w:szCs w:val="19"/>
              </w:rPr>
              <w:t xml:space="preserve">National</w:t>
            </w:r>
          </w:p>
        </w:tc>
        <w:tc>
          <w:tcPr>
            <w:tcW w:type="dxa" w:w="5440"/>
            <w:shd w:fill="F2F2F2" w:val="clear"/>
            <w:tcMar>
              <w:top w:type="dxa" w:w="100"/>
              <w:left w:type="dxa" w:w="120"/>
              <w:bottom w:type="dxa" w:w="100"/>
              <w:right w:type="dxa" w:w="120"/>
            </w:tcMar>
          </w:tcPr>
          <w:p>
            <w:r>
              <w:rPr>
                <w:b w:val="false"/>
                <w:bCs w:val="false"/>
                <w:color w:val="222222"/>
                <w:sz w:val="19"/>
                <w:szCs w:val="19"/>
              </w:rPr>
              <w:t xml:space="preserve">Strategic oversight of the whole mandate. Weekly review of the national dashboard (souls won, retention, 7M progress), drills into underperforming zones, compiles and submits the Monthly National Report to the President/GO, and publishes the KPI Scorecard to all coordinators.</w:t>
            </w:r>
          </w:p>
        </w:tc>
      </w:tr>
      <w:tr>
        <w:tc>
          <w:tcPr>
            <w:tcW w:type="dxa" w:w="1750"/>
            <w:tcMar>
              <w:top w:type="dxa" w:w="100"/>
              <w:left w:type="dxa" w:w="120"/>
              <w:bottom w:type="dxa" w:w="100"/>
              <w:right w:type="dxa" w:w="120"/>
            </w:tcMar>
          </w:tcPr>
          <w:p>
            <w:r>
              <w:rPr>
                <w:b w:val="false"/>
                <w:bCs w:val="false"/>
                <w:color w:val="222222"/>
                <w:sz w:val="19"/>
                <w:szCs w:val="19"/>
              </w:rPr>
              <w:t xml:space="preserve">Regional Coordinator</w:t>
            </w:r>
          </w:p>
        </w:tc>
        <w:tc>
          <w:tcPr>
            <w:tcW w:type="dxa" w:w="900"/>
            <w:tcMar>
              <w:top w:type="dxa" w:w="100"/>
              <w:left w:type="dxa" w:w="120"/>
              <w:bottom w:type="dxa" w:w="100"/>
              <w:right w:type="dxa" w:w="120"/>
            </w:tcMar>
          </w:tcPr>
          <w:p>
            <w:r>
              <w:rPr>
                <w:b w:val="false"/>
                <w:bCs w:val="false"/>
                <w:color w:val="222222"/>
                <w:sz w:val="19"/>
                <w:szCs w:val="19"/>
              </w:rPr>
              <w:t xml:space="preserve">—</w:t>
            </w:r>
          </w:p>
        </w:tc>
        <w:tc>
          <w:tcPr>
            <w:tcW w:type="dxa" w:w="1550"/>
            <w:tcMar>
              <w:top w:type="dxa" w:w="100"/>
              <w:left w:type="dxa" w:w="120"/>
              <w:bottom w:type="dxa" w:w="100"/>
              <w:right w:type="dxa" w:w="120"/>
            </w:tcMar>
          </w:tcPr>
          <w:p>
            <w:r>
              <w:rPr>
                <w:b w:val="false"/>
                <w:bCs w:val="false"/>
                <w:color w:val="222222"/>
                <w:sz w:val="19"/>
                <w:szCs w:val="19"/>
              </w:rPr>
              <w:t xml:space="preserve">Region</w:t>
            </w:r>
          </w:p>
        </w:tc>
        <w:tc>
          <w:tcPr>
            <w:tcW w:type="dxa" w:w="5440"/>
            <w:tcMar>
              <w:top w:type="dxa" w:w="100"/>
              <w:left w:type="dxa" w:w="120"/>
              <w:bottom w:type="dxa" w:w="100"/>
              <w:right w:type="dxa" w:w="120"/>
            </w:tcMar>
          </w:tcPr>
          <w:p>
            <w:r>
              <w:rPr>
                <w:b w:val="false"/>
                <w:bCs w:val="false"/>
                <w:color w:val="222222"/>
                <w:sz w:val="19"/>
                <w:szCs w:val="19"/>
              </w:rPr>
              <w:t xml:space="preserve">Oversees all Zones within their Region, sitting between the National Coordinator and Zonal Coordinators in the escalation and reporting chain. Added to the role set specifically to keep national oversight manageable as the network scales toward 7,000 branches.</w:t>
            </w:r>
          </w:p>
        </w:tc>
      </w:tr>
      <w:tr>
        <w:tc>
          <w:tcPr>
            <w:tcW w:type="dxa" w:w="1750"/>
            <w:shd w:fill="F2F2F2" w:val="clear"/>
            <w:tcMar>
              <w:top w:type="dxa" w:w="100"/>
              <w:left w:type="dxa" w:w="120"/>
              <w:bottom w:type="dxa" w:w="100"/>
              <w:right w:type="dxa" w:w="120"/>
            </w:tcMar>
          </w:tcPr>
          <w:p>
            <w:r>
              <w:rPr>
                <w:b w:val="false"/>
                <w:bCs w:val="false"/>
                <w:color w:val="222222"/>
                <w:sz w:val="19"/>
                <w:szCs w:val="19"/>
              </w:rPr>
              <w:t xml:space="preserve">Zonal Coordinator</w:t>
            </w:r>
          </w:p>
        </w:tc>
        <w:tc>
          <w:tcPr>
            <w:tcW w:type="dxa" w:w="900"/>
            <w:shd w:fill="F2F2F2" w:val="clear"/>
            <w:tcMar>
              <w:top w:type="dxa" w:w="100"/>
              <w:left w:type="dxa" w:w="120"/>
              <w:bottom w:type="dxa" w:w="100"/>
              <w:right w:type="dxa" w:w="120"/>
            </w:tcMar>
          </w:tcPr>
          <w:p>
            <w:r>
              <w:rPr>
                <w:b w:val="false"/>
                <w:bCs w:val="false"/>
                <w:color w:val="222222"/>
                <w:sz w:val="19"/>
                <w:szCs w:val="19"/>
              </w:rPr>
              <w:t xml:space="preserve">~70</w:t>
            </w:r>
          </w:p>
        </w:tc>
        <w:tc>
          <w:tcPr>
            <w:tcW w:type="dxa" w:w="1550"/>
            <w:shd w:fill="F2F2F2" w:val="clear"/>
            <w:tcMar>
              <w:top w:type="dxa" w:w="100"/>
              <w:left w:type="dxa" w:w="120"/>
              <w:bottom w:type="dxa" w:w="100"/>
              <w:right w:type="dxa" w:w="120"/>
            </w:tcMar>
          </w:tcPr>
          <w:p>
            <w:r>
              <w:rPr>
                <w:b w:val="false"/>
                <w:bCs w:val="false"/>
                <w:color w:val="222222"/>
                <w:sz w:val="19"/>
                <w:szCs w:val="19"/>
              </w:rPr>
              <w:t xml:space="preserve">Zone</w:t>
            </w:r>
          </w:p>
        </w:tc>
        <w:tc>
          <w:tcPr>
            <w:tcW w:type="dxa" w:w="5440"/>
            <w:shd w:fill="F2F2F2" w:val="clear"/>
            <w:tcMar>
              <w:top w:type="dxa" w:w="100"/>
              <w:left w:type="dxa" w:w="120"/>
              <w:bottom w:type="dxa" w:w="100"/>
              <w:right w:type="dxa" w:w="120"/>
            </w:tcMar>
          </w:tcPr>
          <w:p>
            <w:r>
              <w:rPr>
                <w:b w:val="false"/>
                <w:bCs w:val="false"/>
                <w:color w:val="222222"/>
                <w:sz w:val="19"/>
                <w:szCs w:val="19"/>
              </w:rPr>
              <w:t xml:space="preserve">Every Tuesday, reviews which Districts have reported (auto-populated red/green status), submits the aggregated Zonal Report, tracks the Top 3 Districts by KPI score, and oversees HST/EE training readiness across the zone.</w:t>
            </w:r>
          </w:p>
        </w:tc>
      </w:tr>
      <w:tr>
        <w:tc>
          <w:tcPr>
            <w:tcW w:type="dxa" w:w="1750"/>
            <w:tcMar>
              <w:top w:type="dxa" w:w="100"/>
              <w:left w:type="dxa" w:w="120"/>
              <w:bottom w:type="dxa" w:w="100"/>
              <w:right w:type="dxa" w:w="120"/>
            </w:tcMar>
          </w:tcPr>
          <w:p>
            <w:r>
              <w:rPr>
                <w:b w:val="false"/>
                <w:bCs w:val="false"/>
                <w:color w:val="222222"/>
                <w:sz w:val="19"/>
                <w:szCs w:val="19"/>
              </w:rPr>
              <w:t xml:space="preserve">District Coordinator</w:t>
            </w:r>
          </w:p>
        </w:tc>
        <w:tc>
          <w:tcPr>
            <w:tcW w:type="dxa" w:w="900"/>
            <w:tcMar>
              <w:top w:type="dxa" w:w="100"/>
              <w:left w:type="dxa" w:w="120"/>
              <w:bottom w:type="dxa" w:w="100"/>
              <w:right w:type="dxa" w:w="120"/>
            </w:tcMar>
          </w:tcPr>
          <w:p>
            <w:r>
              <w:rPr>
                <w:b w:val="false"/>
                <w:bCs w:val="false"/>
                <w:color w:val="222222"/>
                <w:sz w:val="19"/>
                <w:szCs w:val="19"/>
              </w:rPr>
              <w:t xml:space="preserve">~700</w:t>
            </w:r>
          </w:p>
        </w:tc>
        <w:tc>
          <w:tcPr>
            <w:tcW w:type="dxa" w:w="1550"/>
            <w:tcMar>
              <w:top w:type="dxa" w:w="100"/>
              <w:left w:type="dxa" w:w="120"/>
              <w:bottom w:type="dxa" w:w="100"/>
              <w:right w:type="dxa" w:w="120"/>
            </w:tcMar>
          </w:tcPr>
          <w:p>
            <w:r>
              <w:rPr>
                <w:b w:val="false"/>
                <w:bCs w:val="false"/>
                <w:color w:val="222222"/>
                <w:sz w:val="19"/>
                <w:szCs w:val="19"/>
              </w:rPr>
              <w:t xml:space="preserve">District</w:t>
            </w:r>
          </w:p>
        </w:tc>
        <w:tc>
          <w:tcPr>
            <w:tcW w:type="dxa" w:w="5440"/>
            <w:tcMar>
              <w:top w:type="dxa" w:w="100"/>
              <w:left w:type="dxa" w:w="120"/>
              <w:bottom w:type="dxa" w:w="100"/>
              <w:right w:type="dxa" w:w="120"/>
            </w:tcMar>
          </w:tcPr>
          <w:p>
            <w:r>
              <w:rPr>
                <w:b w:val="false"/>
                <w:bCs w:val="false"/>
                <w:color w:val="222222"/>
                <w:sz w:val="19"/>
                <w:szCs w:val="19"/>
              </w:rPr>
              <w:t xml:space="preserve">Every Monday, reviews Branch reporting status, submits the aggregated District Report (auto-compiled, never re-typed), selects the Top 3 Branches for recognition, and follows up with non-reporting Branch Coordinators.</w:t>
            </w:r>
          </w:p>
        </w:tc>
      </w:tr>
      <w:tr>
        <w:tc>
          <w:tcPr>
            <w:tcW w:type="dxa" w:w="1750"/>
            <w:shd w:fill="F2F2F2" w:val="clear"/>
            <w:tcMar>
              <w:top w:type="dxa" w:w="100"/>
              <w:left w:type="dxa" w:w="120"/>
              <w:bottom w:type="dxa" w:w="100"/>
              <w:right w:type="dxa" w:w="120"/>
            </w:tcMar>
          </w:tcPr>
          <w:p>
            <w:r>
              <w:rPr>
                <w:b w:val="false"/>
                <w:bCs w:val="false"/>
                <w:color w:val="222222"/>
                <w:sz w:val="19"/>
                <w:szCs w:val="19"/>
              </w:rPr>
              <w:t xml:space="preserve">Branch Coordinator</w:t>
            </w:r>
          </w:p>
        </w:tc>
        <w:tc>
          <w:tcPr>
            <w:tcW w:type="dxa" w:w="900"/>
            <w:shd w:fill="F2F2F2" w:val="clear"/>
            <w:tcMar>
              <w:top w:type="dxa" w:w="100"/>
              <w:left w:type="dxa" w:w="120"/>
              <w:bottom w:type="dxa" w:w="100"/>
              <w:right w:type="dxa" w:w="120"/>
            </w:tcMar>
          </w:tcPr>
          <w:p>
            <w:r>
              <w:rPr>
                <w:b w:val="false"/>
                <w:bCs w:val="false"/>
                <w:color w:val="222222"/>
                <w:sz w:val="19"/>
                <w:szCs w:val="19"/>
              </w:rPr>
              <w:t xml:space="preserve">~7,000</w:t>
            </w:r>
          </w:p>
        </w:tc>
        <w:tc>
          <w:tcPr>
            <w:tcW w:type="dxa" w:w="1550"/>
            <w:shd w:fill="F2F2F2" w:val="clear"/>
            <w:tcMar>
              <w:top w:type="dxa" w:w="100"/>
              <w:left w:type="dxa" w:w="120"/>
              <w:bottom w:type="dxa" w:w="100"/>
              <w:right w:type="dxa" w:w="120"/>
            </w:tcMar>
          </w:tcPr>
          <w:p>
            <w:r>
              <w:rPr>
                <w:b w:val="false"/>
                <w:bCs w:val="false"/>
                <w:color w:val="222222"/>
                <w:sz w:val="19"/>
                <w:szCs w:val="19"/>
              </w:rPr>
              <w:t xml:space="preserve">Branch</w:t>
            </w:r>
          </w:p>
        </w:tc>
        <w:tc>
          <w:tcPr>
            <w:tcW w:type="dxa" w:w="5440"/>
            <w:shd w:fill="F2F2F2" w:val="clear"/>
            <w:tcMar>
              <w:top w:type="dxa" w:w="100"/>
              <w:left w:type="dxa" w:w="120"/>
              <w:bottom w:type="dxa" w:w="100"/>
              <w:right w:type="dxa" w:w="120"/>
            </w:tcMar>
          </w:tcPr>
          <w:p>
            <w:r>
              <w:rPr>
                <w:b w:val="false"/>
                <w:bCs w:val="false"/>
                <w:color w:val="222222"/>
                <w:sz w:val="19"/>
                <w:szCs w:val="19"/>
              </w:rPr>
              <w:t xml:space="preserve">The primary weekly operator. Submits the 9-section Branch Weekly Report every Sunday (GOWAS, Follow-Up, FIA, Baptism, Shepherds, Evangelism Explosion, HST, Testimonies, Challenges), registers new souls after outreach, and manages/deactivates Flight Shepherds.</w:t>
            </w:r>
          </w:p>
        </w:tc>
      </w:tr>
      <w:tr>
        <w:tc>
          <w:tcPr>
            <w:tcW w:type="dxa" w:w="1750"/>
            <w:tcMar>
              <w:top w:type="dxa" w:w="100"/>
              <w:left w:type="dxa" w:w="120"/>
              <w:bottom w:type="dxa" w:w="100"/>
              <w:right w:type="dxa" w:w="120"/>
            </w:tcMar>
          </w:tcPr>
          <w:p>
            <w:r>
              <w:rPr>
                <w:b w:val="false"/>
                <w:bCs w:val="false"/>
                <w:color w:val="222222"/>
                <w:sz w:val="19"/>
                <w:szCs w:val="19"/>
              </w:rPr>
              <w:t xml:space="preserve">Chief Trainer</w:t>
            </w:r>
          </w:p>
        </w:tc>
        <w:tc>
          <w:tcPr>
            <w:tcW w:type="dxa" w:w="900"/>
            <w:tcMar>
              <w:top w:type="dxa" w:w="100"/>
              <w:left w:type="dxa" w:w="120"/>
              <w:bottom w:type="dxa" w:w="100"/>
              <w:right w:type="dxa" w:w="120"/>
            </w:tcMar>
          </w:tcPr>
          <w:p>
            <w:r>
              <w:rPr>
                <w:b w:val="false"/>
                <w:bCs w:val="false"/>
                <w:color w:val="222222"/>
                <w:sz w:val="19"/>
                <w:szCs w:val="19"/>
              </w:rPr>
              <w:t xml:space="preserve">~7,000</w:t>
            </w:r>
          </w:p>
        </w:tc>
        <w:tc>
          <w:tcPr>
            <w:tcW w:type="dxa" w:w="1550"/>
            <w:tcMar>
              <w:top w:type="dxa" w:w="100"/>
              <w:left w:type="dxa" w:w="120"/>
              <w:bottom w:type="dxa" w:w="100"/>
              <w:right w:type="dxa" w:w="120"/>
            </w:tcMar>
          </w:tcPr>
          <w:p>
            <w:r>
              <w:rPr>
                <w:b w:val="false"/>
                <w:bCs w:val="false"/>
                <w:color w:val="222222"/>
                <w:sz w:val="19"/>
                <w:szCs w:val="19"/>
              </w:rPr>
              <w:t xml:space="preserve">Branch</w:t>
            </w:r>
          </w:p>
        </w:tc>
        <w:tc>
          <w:tcPr>
            <w:tcW w:type="dxa" w:w="5440"/>
            <w:tcMar>
              <w:top w:type="dxa" w:w="100"/>
              <w:left w:type="dxa" w:w="120"/>
              <w:bottom w:type="dxa" w:w="100"/>
              <w:right w:type="dxa" w:w="120"/>
            </w:tcMar>
          </w:tcPr>
          <w:p>
            <w:r>
              <w:rPr>
                <w:b w:val="false"/>
                <w:bCs w:val="false"/>
                <w:color w:val="222222"/>
                <w:sz w:val="19"/>
                <w:szCs w:val="19"/>
              </w:rPr>
              <w:t xml:space="preserve">Owns the SIP 101 → 102 → 103 training pipeline. Verifies Family Class and Responsibility Class prerequisites, enrolls and marks cohorts complete, and generates the SML PDF certificate (via Cloudinary) once SIP 103 and the final project are done — adding the graduate to the Zonal SML Registry.</w:t>
            </w:r>
          </w:p>
        </w:tc>
      </w:tr>
      <w:tr>
        <w:tc>
          <w:tcPr>
            <w:tcW w:type="dxa" w:w="1750"/>
            <w:shd w:fill="F2F2F2" w:val="clear"/>
            <w:tcMar>
              <w:top w:type="dxa" w:w="100"/>
              <w:left w:type="dxa" w:w="120"/>
              <w:bottom w:type="dxa" w:w="100"/>
              <w:right w:type="dxa" w:w="120"/>
            </w:tcMar>
          </w:tcPr>
          <w:p>
            <w:r>
              <w:rPr>
                <w:b w:val="false"/>
                <w:bCs w:val="false"/>
                <w:color w:val="222222"/>
                <w:sz w:val="19"/>
                <w:szCs w:val="19"/>
              </w:rPr>
              <w:t xml:space="preserve">Mission Field Coordinator</w:t>
            </w:r>
          </w:p>
        </w:tc>
        <w:tc>
          <w:tcPr>
            <w:tcW w:type="dxa" w:w="900"/>
            <w:shd w:fill="F2F2F2" w:val="clear"/>
            <w:tcMar>
              <w:top w:type="dxa" w:w="100"/>
              <w:left w:type="dxa" w:w="120"/>
              <w:bottom w:type="dxa" w:w="100"/>
              <w:right w:type="dxa" w:w="120"/>
            </w:tcMar>
          </w:tcPr>
          <w:p>
            <w:r>
              <w:rPr>
                <w:b w:val="false"/>
                <w:bCs w:val="false"/>
                <w:color w:val="222222"/>
                <w:sz w:val="19"/>
                <w:szCs w:val="19"/>
              </w:rPr>
              <w:t xml:space="preserve">~7,000</w:t>
            </w:r>
          </w:p>
        </w:tc>
        <w:tc>
          <w:tcPr>
            <w:tcW w:type="dxa" w:w="1550"/>
            <w:shd w:fill="F2F2F2" w:val="clear"/>
            <w:tcMar>
              <w:top w:type="dxa" w:w="100"/>
              <w:left w:type="dxa" w:w="120"/>
              <w:bottom w:type="dxa" w:w="100"/>
              <w:right w:type="dxa" w:w="120"/>
            </w:tcMar>
          </w:tcPr>
          <w:p>
            <w:r>
              <w:rPr>
                <w:b w:val="false"/>
                <w:bCs w:val="false"/>
                <w:color w:val="222222"/>
                <w:sz w:val="19"/>
                <w:szCs w:val="19"/>
              </w:rPr>
              <w:t xml:space="preserve">Branch</w:t>
            </w:r>
          </w:p>
        </w:tc>
        <w:tc>
          <w:tcPr>
            <w:tcW w:type="dxa" w:w="5440"/>
            <w:shd w:fill="F2F2F2" w:val="clear"/>
            <w:tcMar>
              <w:top w:type="dxa" w:w="100"/>
              <w:left w:type="dxa" w:w="120"/>
              <w:bottom w:type="dxa" w:w="100"/>
              <w:right w:type="dxa" w:w="120"/>
            </w:tcMar>
          </w:tcPr>
          <w:p>
            <w:r>
              <w:rPr>
                <w:b w:val="false"/>
                <w:bCs w:val="false"/>
                <w:color w:val="222222"/>
                <w:sz w:val="19"/>
                <w:szCs w:val="19"/>
              </w:rPr>
              <w:t xml:space="preserve">Plans GOWAS outreach: sets up mission fields, assigns outreach teams for the week, and logs results (souls reached/won, first timers) which feed directly into the Branch Coordinator's weekly report. Marks each new soul as "assigned" after intake.</w:t>
            </w:r>
          </w:p>
        </w:tc>
      </w:tr>
      <w:tr>
        <w:tc>
          <w:tcPr>
            <w:tcW w:type="dxa" w:w="1750"/>
            <w:tcMar>
              <w:top w:type="dxa" w:w="100"/>
              <w:left w:type="dxa" w:w="120"/>
              <w:bottom w:type="dxa" w:w="100"/>
              <w:right w:type="dxa" w:w="120"/>
            </w:tcMar>
          </w:tcPr>
          <w:p>
            <w:r>
              <w:rPr>
                <w:b w:val="false"/>
                <w:bCs w:val="false"/>
                <w:color w:val="222222"/>
                <w:sz w:val="19"/>
                <w:szCs w:val="19"/>
              </w:rPr>
              <w:t xml:space="preserve">Flight Shepherd</w:t>
            </w:r>
          </w:p>
        </w:tc>
        <w:tc>
          <w:tcPr>
            <w:tcW w:type="dxa" w:w="900"/>
            <w:tcMar>
              <w:top w:type="dxa" w:w="100"/>
              <w:left w:type="dxa" w:w="120"/>
              <w:bottom w:type="dxa" w:w="100"/>
              <w:right w:type="dxa" w:w="120"/>
            </w:tcMar>
          </w:tcPr>
          <w:p>
            <w:r>
              <w:rPr>
                <w:b w:val="false"/>
                <w:bCs w:val="false"/>
                <w:color w:val="222222"/>
                <w:sz w:val="19"/>
                <w:szCs w:val="19"/>
              </w:rPr>
              <w:t xml:space="preserve">~28,000</w:t>
            </w:r>
          </w:p>
        </w:tc>
        <w:tc>
          <w:tcPr>
            <w:tcW w:type="dxa" w:w="1550"/>
            <w:tcMar>
              <w:top w:type="dxa" w:w="100"/>
              <w:left w:type="dxa" w:w="120"/>
              <w:bottom w:type="dxa" w:w="100"/>
              <w:right w:type="dxa" w:w="120"/>
            </w:tcMar>
          </w:tcPr>
          <w:p>
            <w:r>
              <w:rPr>
                <w:b w:val="false"/>
                <w:bCs w:val="false"/>
                <w:color w:val="222222"/>
                <w:sz w:val="19"/>
                <w:szCs w:val="19"/>
              </w:rPr>
              <w:t xml:space="preserve">Sub-branch (tag)</w:t>
            </w:r>
          </w:p>
        </w:tc>
        <w:tc>
          <w:tcPr>
            <w:tcW w:type="dxa" w:w="5440"/>
            <w:tcMar>
              <w:top w:type="dxa" w:w="100"/>
              <w:left w:type="dxa" w:w="120"/>
              <w:bottom w:type="dxa" w:w="100"/>
              <w:right w:type="dxa" w:w="120"/>
            </w:tcMar>
          </w:tcPr>
          <w:p>
            <w:r>
              <w:rPr>
                <w:b w:val="false"/>
                <w:bCs w:val="false"/>
                <w:color w:val="222222"/>
                <w:sz w:val="19"/>
                <w:szCs w:val="19"/>
              </w:rPr>
              <w:t xml:space="preserve">Front-line convert care. Submits a weekly follow-up report by web form or WhatsApp bot for their assigned converts (active/inactive counts, class enrollment, cell/workforce connection) and updates each convert's contact status — flagged automatically if uncontacted for 14+ days.</w:t>
            </w:r>
          </w:p>
        </w:tc>
      </w:tr>
      <w:tr>
        <w:tc>
          <w:tcPr>
            <w:tcW w:type="dxa" w:w="1750"/>
            <w:shd w:fill="F2F2F2" w:val="clear"/>
            <w:tcMar>
              <w:top w:type="dxa" w:w="100"/>
              <w:left w:type="dxa" w:w="120"/>
              <w:bottom w:type="dxa" w:w="100"/>
              <w:right w:type="dxa" w:w="120"/>
            </w:tcMar>
          </w:tcPr>
          <w:p>
            <w:r>
              <w:rPr>
                <w:b w:val="false"/>
                <w:bCs w:val="false"/>
                <w:color w:val="222222"/>
                <w:sz w:val="19"/>
                <w:szCs w:val="19"/>
              </w:rPr>
              <w:t xml:space="preserve">Viewer</w:t>
            </w:r>
          </w:p>
        </w:tc>
        <w:tc>
          <w:tcPr>
            <w:tcW w:type="dxa" w:w="900"/>
            <w:shd w:fill="F2F2F2" w:val="clear"/>
            <w:tcMar>
              <w:top w:type="dxa" w:w="100"/>
              <w:left w:type="dxa" w:w="120"/>
              <w:bottom w:type="dxa" w:w="100"/>
              <w:right w:type="dxa" w:w="120"/>
            </w:tcMar>
          </w:tcPr>
          <w:p>
            <w:r>
              <w:rPr>
                <w:b w:val="false"/>
                <w:bCs w:val="false"/>
                <w:color w:val="222222"/>
                <w:sz w:val="19"/>
                <w:szCs w:val="19"/>
              </w:rPr>
              <w:t xml:space="preserve">~50</w:t>
            </w:r>
          </w:p>
        </w:tc>
        <w:tc>
          <w:tcPr>
            <w:tcW w:type="dxa" w:w="1550"/>
            <w:shd w:fill="F2F2F2" w:val="clear"/>
            <w:tcMar>
              <w:top w:type="dxa" w:w="100"/>
              <w:left w:type="dxa" w:w="120"/>
              <w:bottom w:type="dxa" w:w="100"/>
              <w:right w:type="dxa" w:w="120"/>
            </w:tcMar>
          </w:tcPr>
          <w:p>
            <w:r>
              <w:rPr>
                <w:b w:val="false"/>
                <w:bCs w:val="false"/>
                <w:color w:val="222222"/>
                <w:sz w:val="19"/>
                <w:szCs w:val="19"/>
              </w:rPr>
              <w:t xml:space="preserve">Any level (scoped)</w:t>
            </w:r>
          </w:p>
        </w:tc>
        <w:tc>
          <w:tcPr>
            <w:tcW w:type="dxa" w:w="5440"/>
            <w:shd w:fill="F2F2F2" w:val="clear"/>
            <w:tcMar>
              <w:top w:type="dxa" w:w="100"/>
              <w:left w:type="dxa" w:w="120"/>
              <w:bottom w:type="dxa" w:w="100"/>
              <w:right w:type="dxa" w:w="120"/>
            </w:tcMar>
          </w:tcPr>
          <w:p>
            <w:r>
              <w:rPr>
                <w:b w:val="false"/>
                <w:bCs w:val="false"/>
                <w:color w:val="222222"/>
                <w:sz w:val="19"/>
                <w:szCs w:val="19"/>
              </w:rPr>
              <w:t xml:space="preserve">Read-only leadership access to dashboards, charts and KPI scores at their assigned level. Cannot submit or edit any data; can export reports as PDF.</w:t>
            </w:r>
          </w:p>
        </w:tc>
      </w:tr>
    </w:tbl>
    <w:p>
      <w:pPr>
        <w:pStyle w:val="Heading1"/>
        <w:pBdr>
          <w:bottom w:val="single" w:color="B7862C" w:sz="6" w:space="4"/>
        </w:pBdr>
        <w:spacing w:after="160" w:before="360"/>
      </w:pPr>
      <w:r>
        <w:rPr>
          <w:b/>
          <w:bCs/>
          <w:color w:val="1F3864"/>
          <w:sz w:val="30"/>
          <w:szCs w:val="30"/>
        </w:rPr>
        <w:t xml:space="preserve">4. Reporting &amp; Escalation Chain</w:t>
      </w:r>
    </w:p>
    <w:p>
      <w:pPr>
        <w:spacing w:after="160" w:line="276"/>
      </w:pPr>
      <w:r>
        <w:rPr>
          <w:color w:val="222222"/>
          <w:sz w:val="21"/>
          <w:szCs w:val="21"/>
        </w:rPr>
        <w:t xml:space="preserve">Reports flow upward and aggregate automatically at each level, on a fixed weekly cadence:</w:t>
      </w:r>
    </w:p>
    <w:p>
      <w:pPr>
        <w:pStyle w:val="ListParagraph"/>
        <w:numPr>
          <w:ilvl w:val="0"/>
          <w:numId w:val="2"/>
        </w:numPr>
        <w:spacing w:after="80"/>
      </w:pPr>
      <w:r>
        <w:rPr>
          <w:color w:val="222222"/>
          <w:sz w:val="21"/>
          <w:szCs w:val="21"/>
        </w:rPr>
        <w:t xml:space="preserve">Saturday — GOWAS outreach happens; Flight Shepherds' weekly follow-up report deadline is system-enforced at 11:59pm.</w:t>
      </w:r>
    </w:p>
    <w:p>
      <w:pPr>
        <w:pStyle w:val="ListParagraph"/>
        <w:numPr>
          <w:ilvl w:val="0"/>
          <w:numId w:val="2"/>
        </w:numPr>
        <w:spacing w:after="80"/>
      </w:pPr>
      <w:r>
        <w:rPr>
          <w:color w:val="222222"/>
          <w:sz w:val="21"/>
          <w:szCs w:val="21"/>
        </w:rPr>
        <w:t xml:space="preserve">Sunday — Branch Coordinators submit the aggregated Branch Weekly Report (default 11:59pm, configurable).</w:t>
      </w:r>
    </w:p>
    <w:p>
      <w:pPr>
        <w:pStyle w:val="ListParagraph"/>
        <w:numPr>
          <w:ilvl w:val="0"/>
          <w:numId w:val="2"/>
        </w:numPr>
        <w:spacing w:after="80"/>
      </w:pPr>
      <w:r>
        <w:rPr>
          <w:color w:val="222222"/>
          <w:sz w:val="21"/>
          <w:szCs w:val="21"/>
        </w:rPr>
        <w:t xml:space="preserve">Monday — District Coordinators submit the aggregated District Report, auto-compiled from that week's branch submissions.</w:t>
      </w:r>
    </w:p>
    <w:p>
      <w:pPr>
        <w:pStyle w:val="ListParagraph"/>
        <w:numPr>
          <w:ilvl w:val="0"/>
          <w:numId w:val="2"/>
        </w:numPr>
        <w:spacing w:after="80"/>
      </w:pPr>
      <w:r>
        <w:rPr>
          <w:color w:val="222222"/>
          <w:sz w:val="21"/>
          <w:szCs w:val="21"/>
        </w:rPr>
        <w:t xml:space="preserve">Tuesday — Zonal Coordinators submit the aggregated Zonal Report, auto-compiled from district submissions.</w:t>
      </w:r>
    </w:p>
    <w:p>
      <w:pPr>
        <w:pStyle w:val="ListParagraph"/>
        <w:numPr>
          <w:ilvl w:val="0"/>
          <w:numId w:val="2"/>
        </w:numPr>
        <w:spacing w:after="80"/>
      </w:pPr>
      <w:r>
        <w:rPr>
          <w:color w:val="222222"/>
          <w:sz w:val="21"/>
          <w:szCs w:val="21"/>
        </w:rPr>
        <w:t xml:space="preserve">Ongoing — Regional and National Coordinators monitor real-time rollups and compile the Monthly National Report; the National Coordinator publishes the KPI Scorecard to all coordinators.</w:t>
      </w:r>
    </w:p>
    <w:p>
      <w:pPr>
        <w:spacing w:after="160" w:line="276"/>
      </w:pPr>
      <w:r>
        <w:rPr>
          <w:color w:val="222222"/>
          <w:sz w:val="21"/>
          <w:szCs w:val="21"/>
        </w:rPr>
        <w:t xml:space="preserve">If a report is missed, an automated reminder goes to the responsible role first, then an escalation notification goes to the coordinator directly above them.</w:t>
      </w:r>
    </w:p>
    <w:p>
      <w:pPr>
        <w:pStyle w:val="Heading1"/>
        <w:pBdr>
          <w:bottom w:val="single" w:color="B7862C" w:sz="6" w:space="4"/>
        </w:pBdr>
        <w:spacing w:after="160" w:before="360"/>
      </w:pPr>
      <w:r>
        <w:rPr>
          <w:b/>
          <w:bCs/>
          <w:color w:val="1F3864"/>
          <w:sz w:val="30"/>
          <w:szCs w:val="30"/>
        </w:rPr>
        <w:t xml:space="preserve">5. Data Visibility Rules</w:t>
      </w:r>
    </w:p>
    <w:p>
      <w:pPr>
        <w:spacing w:after="160" w:line="276"/>
      </w:pPr>
      <w:r>
        <w:rPr>
          <w:color w:val="222222"/>
          <w:sz w:val="21"/>
          <w:szCs w:val="21"/>
        </w:rPr>
        <w:t xml:space="preserve">super_admin → national_coordinator → regional_coordinator → zonal_coordinator → district_coordinator → { branch_coordinator, chief_trainer, mission_field_coordinator } → flight_shepherd. Each role sees only its own scope and everything beneath it; viewer is read-only at whatever scope it is assigned.</w:t>
      </w:r>
    </w:p>
    <w:p>
      <w:pPr>
        <w:spacing w:after="160" w:line="276"/>
      </w:pPr>
      <w:r>
        <w:rPr>
          <w:color w:val="222222"/>
          <w:sz w:val="21"/>
          <w:szCs w:val="21"/>
        </w:rPr>
        <w:t xml:space="preserve">Super Admin sees everything and configures the system. National, Regional, Zonal and District Coordinators each see their own scope and everything beneath it. Branch Coordinator, Chief Trainer and Mission Field Coordinator each see only their own branch (from different angles: overall report, SIP/FIA training, and outreach/converts respectively). Flight Shepherd sees only their own assigned converts. Viewer is read-only at whatever scope it is assigned, with no submission or edit rights.</w:t>
      </w:r>
    </w:p>
    <w:p>
      <w:pPr>
        <w:pStyle w:val="Heading1"/>
        <w:pBdr>
          <w:bottom w:val="single" w:color="B7862C" w:sz="6" w:space="4"/>
        </w:pBdr>
        <w:spacing w:after="160" w:before="360"/>
      </w:pPr>
      <w:r>
        <w:rPr>
          <w:b/>
          <w:bCs/>
          <w:color w:val="1F3864"/>
          <w:sz w:val="30"/>
          <w:szCs w:val="30"/>
        </w:rPr>
        <w:t xml:space="preserve">6. Notes</w:t>
      </w:r>
    </w:p>
    <w:p>
      <w:pPr>
        <w:pStyle w:val="ListParagraph"/>
        <w:numPr>
          <w:ilvl w:val="0"/>
          <w:numId w:val="2"/>
        </w:numPr>
        <w:spacing w:after="80"/>
      </w:pPr>
      <w:r>
        <w:rPr>
          <w:color w:val="222222"/>
          <w:sz w:val="21"/>
          <w:szCs w:val="21"/>
        </w:rPr>
        <w:t xml:space="preserve">Accounts are provisioned top-down: Super Admin → National Coordinators → Regional/Zonal Coordinators → District → Branch → Flight Shepherds.</w:t>
      </w:r>
    </w:p>
    <w:p>
      <w:pPr>
        <w:pStyle w:val="ListParagraph"/>
        <w:numPr>
          <w:ilvl w:val="0"/>
          <w:numId w:val="2"/>
        </w:numPr>
        <w:spacing w:after="80"/>
      </w:pPr>
      <w:r>
        <w:rPr>
          <w:color w:val="222222"/>
          <w:sz w:val="21"/>
          <w:szCs w:val="21"/>
        </w:rPr>
        <w:t xml:space="preserve">A separate, existing platform handles Family Class; this system only records completion status for it, entered by the Chief Trainer.</w:t>
      </w:r>
    </w:p>
    <w:p>
      <w:pPr>
        <w:pStyle w:val="ListParagraph"/>
        <w:numPr>
          <w:ilvl w:val="0"/>
          <w:numId w:val="2"/>
        </w:numPr>
        <w:spacing w:after="80"/>
      </w:pPr>
      <w:r>
        <w:rPr>
          <w:color w:val="222222"/>
          <w:sz w:val="21"/>
          <w:szCs w:val="21"/>
        </w:rPr>
        <w:t xml:space="preserve">HSOS (Harpazo School Of Supernatural) and ZIBI (ZIBI Bible School) are LFF training programs tracked directly in this platform's FIA pipeline.</w:t>
      </w:r>
    </w:p>
    <w:p>
      <w:pPr>
        <w:pStyle w:val="ListParagraph"/>
        <w:numPr>
          <w:ilvl w:val="0"/>
          <w:numId w:val="2"/>
        </w:numPr>
        <w:spacing w:after="80"/>
      </w:pPr>
      <w:r>
        <w:rPr>
          <w:color w:val="222222"/>
          <w:sz w:val="21"/>
          <w:szCs w:val="21"/>
        </w:rPr>
        <w:t xml:space="preserve">Both the web form and the WhatsApp bot write to the same underlying data — Flight Shepherds typically use WhatsApp, coordinators typically use the web 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2026-07-13T14:43:24.261Z</dcterms:created>
  <dcterms:modified xsi:type="dcterms:W3CDTF">2026-07-13T14:43:24.262Z</dcterms:modified>
</cp:coreProperties>
</file>

<file path=docProps/custom.xml><?xml version="1.0" encoding="utf-8"?>
<Properties xmlns="http://schemas.openxmlformats.org/officeDocument/2006/custom-properties" xmlns:vt="http://schemas.openxmlformats.org/officeDocument/2006/docPropsVTypes"/>
</file>