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360"/>
      </w:pPr>
      <w:r>
        <w:rPr>
          <w:rFonts w:ascii="Times New Roman" w:hAnsi="Times New Roman" w:eastAsia="宋体" w:cs="Times New Roman"/>
          <w:b w:val="0"/>
          <w:sz w:val="24"/>
        </w:rPr>
        <w:t xml:space="preserve"> </w:t>
      </w:r>
    </w:p>
    <w:p>
      <w:pPr>
        <w:spacing w:before="0" w:after="0" w:lineRule="exact" w:line="360"/>
      </w:pPr>
      <w:r>
        <w:rPr>
          <w:rFonts w:ascii="Times New Roman" w:hAnsi="Times New Roman" w:eastAsia="宋体" w:cs="Times New Roman"/>
          <w:b w:val="0"/>
          <w:sz w:val="24"/>
        </w:rPr>
        <w:t xml:space="preserve"> </w:t>
      </w:r>
    </w:p>
    <w:p>
      <w:pPr>
        <w:spacing w:before="0" w:after="0" w:lineRule="exact" w:line="360"/>
      </w:pPr>
      <w:r>
        <w:rPr>
          <w:rFonts w:ascii="Times New Roman" w:hAnsi="Times New Roman" w:eastAsia="宋体" w:cs="Times New Roman"/>
          <w:b w:val="0"/>
          <w:sz w:val="24"/>
        </w:rPr>
        <w:t xml:space="preserve"> </w:t>
      </w:r>
    </w:p>
    <w:p>
      <w:pPr>
        <w:spacing w:before="0" w:after="0" w:lineRule="exact" w:line="360"/>
      </w:pPr>
      <w:r>
        <w:rPr>
          <w:rFonts w:ascii="Times New Roman" w:hAnsi="Times New Roman" w:eastAsia="宋体" w:cs="Times New Roman"/>
          <w:b w:val="0"/>
          <w:sz w:val="24"/>
        </w:rPr>
        <w:t xml:space="preserve"> </w:t>
      </w:r>
    </w:p>
    <w:p>
      <w:pPr>
        <w:spacing w:before="0" w:after="0" w:lineRule="exact" w:line="360"/>
      </w:pPr>
      <w:r>
        <w:rPr>
          <w:rFonts w:ascii="Times New Roman" w:hAnsi="Times New Roman" w:eastAsia="宋体" w:cs="Times New Roman"/>
          <w:b w:val="0"/>
          <w:sz w:val="24"/>
        </w:rPr>
        <w:t xml:space="preserve"> </w:t>
      </w:r>
    </w:p>
    <w:p>
      <w:pPr>
        <w:spacing w:before="160" w:after="160" w:lineRule="exact" w:line="560"/>
        <w:jc w:val="center"/>
      </w:pPr>
      <w:r>
        <w:rPr>
          <w:rFonts w:ascii="Arial" w:hAnsi="Arial" w:eastAsia="黑体" w:cs="Arial"/>
          <w:b/>
          <w:sz w:val="44"/>
        </w:rPr>
        <w:t>师生交互平台软件</w:t>
      </w:r>
    </w:p>
    <w:p>
      <w:pPr>
        <w:spacing w:before="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V1.0</w:t>
      </w:r>
    </w:p>
    <w:p>
      <w:pPr>
        <w:spacing w:before="160" w:after="160" w:lineRule="exact" w:line="560"/>
        <w:jc w:val="center"/>
      </w:pPr>
      <w:r>
        <w:rPr>
          <w:rFonts w:ascii="Arial" w:hAnsi="Arial" w:eastAsia="黑体" w:cs="Arial"/>
          <w:b/>
          <w:sz w:val="44"/>
        </w:rPr>
        <w:t>软件说明书</w:t>
      </w:r>
    </w:p>
    <w:p>
      <w:pPr>
        <w:spacing w:before="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（用户操作说明）</w:t>
      </w:r>
    </w:p>
    <w:p>
      <w:pPr>
        <w:spacing w:before="0" w:after="0" w:lineRule="exact" w:line="40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文档类型：软件说明书</w:t>
      </w:r>
    </w:p>
    <w:p>
      <w:pPr>
        <w:spacing w:before="0" w:after="0" w:lineRule="exact" w:line="40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适用对象：学生用户、教师用户、系统运维人员</w:t>
      </w:r>
    </w:p>
    <w:p>
      <w:pPr>
        <w:spacing w:before="0" w:after="0" w:lineRule="exact" w:line="40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文档版本：V1.0</w:t>
      </w:r>
    </w:p>
    <w:p>
      <w:pPr>
        <w:spacing w:before="0" w:after="0" w:lineRule="exact" w:line="40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对应软件版本：V1.0</w:t>
      </w:r>
    </w:p>
    <w:p>
      <w:pPr>
        <w:spacing w:before="0" w:after="0" w:lineRule="exact" w:line="360"/>
      </w:pPr>
      <w:r>
        <w:rPr>
          <w:rFonts w:ascii="Times New Roman" w:hAnsi="Times New Roman" w:eastAsia="宋体" w:cs="Times New Roman"/>
          <w:b w:val="0"/>
          <w:sz w:val="24"/>
        </w:rPr>
        <w:t xml:space="preserve"> </w:t>
      </w:r>
    </w:p>
    <w:p>
      <w:pPr>
        <w:spacing w:before="0" w:after="0" w:lineRule="exact" w:line="360"/>
      </w:pPr>
      <w:r>
        <w:rPr>
          <w:rFonts w:ascii="Times New Roman" w:hAnsi="Times New Roman" w:eastAsia="宋体" w:cs="Times New Roman"/>
          <w:b w:val="0"/>
          <w:sz w:val="24"/>
        </w:rPr>
        <w:t xml:space="preserve"> </w:t>
      </w:r>
    </w:p>
    <w:p>
      <w:pPr>
        <w:spacing w:before="240" w:after="0" w:lineRule="exact" w:line="36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本说明书用于计算机软件著作权登记之文档鉴别材料交存，正文按连续页编排，每页不少于30行。</w:t>
      </w:r>
    </w:p>
    <w:p>
      <w:r>
        <w:br w:type="page"/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目录</w:t>
      </w:r>
    </w:p>
    <w:p>
      <w:pPr>
        <w:spacing w:before="0" w:after="0" w:lineRule="exact" w:line="360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第一章  引言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1.1  编写目的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1.2  项目背景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1.3  适用范围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1.4  术语与缩略语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1.5  参考资料</w:t>
      </w:r>
    </w:p>
    <w:p>
      <w:pPr>
        <w:spacing w:before="0" w:after="0" w:lineRule="exact" w:line="360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第二章  软件概述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2.1  软件名称与版本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2.2  软件定位与目标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2.3  主要功能概览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2.4  用户角色说明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2.5  系统结构说明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2.6  技术特点</w:t>
      </w:r>
    </w:p>
    <w:p>
      <w:pPr>
        <w:spacing w:before="0" w:after="0" w:lineRule="exact" w:line="360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第三章  运行环境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3.1  硬件环境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3.2  软件环境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3.3  网络环境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3.4  浏览器兼容性</w:t>
      </w:r>
    </w:p>
    <w:p>
      <w:pPr>
        <w:spacing w:before="0" w:after="0" w:lineRule="exact" w:line="360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第四章  安装与部署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4.1  获取软件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4.2  依赖安装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4.3  启动开发环境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4.4  生产构建与预览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4.5  与后端对接说明</w:t>
      </w:r>
    </w:p>
    <w:p>
      <w:pPr>
        <w:spacing w:before="0" w:after="0" w:lineRule="exact" w:line="360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第五章  登录与注册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5.1  进入系统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5.2  角色选择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5.3  学生登录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5.4  教师登录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5.5  学生注册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5.6  教师注册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5.7  登录状态保持与退出</w:t>
      </w:r>
    </w:p>
    <w:p>
      <w:pPr>
        <w:spacing w:before="0" w:after="0" w:lineRule="exact" w:line="360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第六章  学生端功能说明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6.1  学生端总体界面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6.2  比赛大厅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6.3  比赛详情与报名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6.4  组队中心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6.5  组队邀请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6.6  智能推荐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6.7  作品展示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6.8  个人中心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6.9  消息中心（学生）</w:t>
      </w:r>
    </w:p>
    <w:p>
      <w:pPr>
        <w:spacing w:before="0" w:after="0" w:lineRule="exact" w:line="360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第七章  教师端功能说明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7.1  教师端总体界面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7.2  比赛管理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7.3  报名管理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7.4  队伍审核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7.5  指导分配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7.6  数据看板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7.7  公告与资源</w:t>
      </w:r>
    </w:p>
    <w:p>
      <w:pPr>
        <w:spacing w:before="0" w:after="0" w:lineRule="exact" w:line="360"/>
        <w:ind w:left="283"/>
      </w:pPr>
      <w:r>
        <w:rPr>
          <w:rFonts w:ascii="Times New Roman" w:hAnsi="Times New Roman" w:eastAsia="宋体" w:cs="Times New Roman"/>
          <w:b w:val="0"/>
          <w:sz w:val="24"/>
        </w:rPr>
        <w:t>7.8  消息中心（教师）</w:t>
      </w:r>
    </w:p>
    <w:p>
      <w:pPr>
        <w:spacing w:before="0" w:after="0" w:lineRule="exact" w:line="360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第八章  公共功能说明</w:t>
      </w:r>
    </w:p>
    <w:p>
      <w:pPr>
        <w:spacing w:before="0" w:after="0" w:lineRule="exact" w:line="360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第九章  安全与权限</w:t>
      </w:r>
    </w:p>
    <w:p>
      <w:pPr>
        <w:spacing w:before="0" w:after="0" w:lineRule="exact" w:line="360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第十章  常见问题与注意事项</w:t>
      </w:r>
    </w:p>
    <w:p>
      <w:pPr>
        <w:spacing w:before="0" w:after="0" w:lineRule="exact" w:line="360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第十一章  附录</w:t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第一章  引言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1.1  编写目的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本说明书旨在全面、准确、规范地说明“师生交互平台软件 V1.0”的功能组成、操作方法、运行环境与使用约束，为软件著作权登记提供文档鉴别材料，同时便于最终用户、管理人员及维护人员正确理解和使用本软件。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通过阅读本说明书，用户应能够完成账号注册与登录、比赛浏览与报名、组队协作、作品展示、公告资源获取，以及教师侧的比赛发布、报名审核、队伍审核、指导分配和数据统计分析等操作。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1.2  项目背景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高校学科竞赛与创新创业活动日益增多的背景下，学生与教师之间围绕比赛报名、队伍组建、导师匹配、资源共享和成果展示的沟通成本较高，信息分散在通知群、表格和线下材料中，容易造成重复填报、进度不透明和协作效率低下。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师生交互平台软件面向上述场景，构建统一的 Web 交互入口，将“发现比赛—报名参赛—组建队伍—匹配导师—获取资源—展示作品—查看数据”串联为完整业务闭环，提升师生协作效率与管理规范性。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1.3  适用范围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本说明书适用于以下人员与场景：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学生用户：浏览比赛、报名、组队、查看推荐、管理个人资料、浏览与评论作品、接收消息。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教师用户：发布与管理比赛、审核报名与队伍、分配指导关系、发布公告与资源、查看数据看板。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系统部署与运维人员：安装依赖、启动服务、构建发布、配置接口对接。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软件著作权登记材料整理人员：作为文档鉴别材料正文使用。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1.4  术语与缩略语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本软件 / 本系统：指师生交互平台软件 V1.0。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学生端：面向学生角色的功能页面集合。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教师端：面向教师角色的功能页面集合。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Mock：前端本地模拟接口数据，用于在无真实后端时演示业务。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路由守卫：根据登录状态与角色限制页面访问的机制。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Pinia：本软件使用的前端状态管理库。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Vite：本软件使用的前端构建与开发工具。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1.5  参考资料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《计算机软件保护条例》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《计算机软件著作权登记办法》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本软件源代码及前端工程配置文件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Vue.js、Vue Router、Pinia、Element Plus、ECharts、Three.js 相关技术文档</w:t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第二章  软件概述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2.1  软件名称与版本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软件全称：师生交互平台软件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软件版本号：V1.0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软件简称：师生交互平台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软件形态：基于 Web 的前后端分离架构中的前端应用系统（含本地 Mock 数据层）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2.2  软件定位与目标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本软件定位为面向高校师生的竞赛协作与互动管理平台。其核心目标包括：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为学生提供一站式比赛发现、报名、组队与作品展示能力。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为教师提供比赛组织、报名审核、队伍审核、指导分配与数据洞察能力。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通过智能推荐降低“找队友、找导师”的匹配成本。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通过公告与资源模块沉淀可复用的教学与竞赛资料。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通过消息机制及时触达审核结果、邀请与系统通知。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2.3  主要功能概览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本软件主要功能可划分为公共基础、学生业务、教师业务三大类别。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2.3.1  公共基础功能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登录与注册：支持学生/教师双角色切换，支持登录与注册两种模式。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权限控制：未登录用户不可访问业务页；跨角色访问将被路由重定向。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状态持久化：登录令牌、角色与用户信息在刷新后仍可保持。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消息中心：统一展示系统通知、审核结果与互动提醒。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智能助手：提供页面内辅助问答与操作引导入口。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2.3.2  学生业务功能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比赛大厅：检索、筛选、浏览比赛列表，支持卡片/列表视图。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比赛详情：查看比赛信息、选择指导教师并提交报名。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组队中心：创建队伍、查找队伍、查看队伍成员与队内沟通入口。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组队邀请：处理或发起组队相关邀请。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智能推荐：查看导师推荐与队友推荐结果。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作品展示：浏览优秀作品、点赞与评论。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个人中心：维护个人资料、查看参赛记录与关联队伍/导师信息。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2.3.3  教师业务功能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比赛管理：发布、编辑、下架比赛并管理比赛状态。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报名管理：审核学生报名，支持批量处理。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队伍审核：审核队伍申请，支持通过/拒绝并填写理由。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指导分配：在学生与教师之间建立或调整指导关系。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数据看板：以图表形式展示报名、专业分布、性别结构、比赛热度等指标。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公告资源：发布公告、置顶公告，上传与管理资源文件。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2.4  用户角色说明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本软件采用基于角色的访问控制思路，主要角色如下。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学生（student）：使用学号类账号登录，访问学生端全部业务菜单。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教师（teacher）：使用工号类账号登录，访问教师端全部业务菜单。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未登录访客：仅可访问登录注册页面，不可进入业务模块。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2.5  系统结构说明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从逻辑结构看，本软件可分为表现层、状态与路由层、接口访问层、模拟数据层四个部分。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表现层：由 Vue 单文件组件构成，包括登录页、学生端页面、教师端页面和公共组件。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状态与路由层：使用 Pinia 管理用户与消息状态，使用 Vue Router 管理页面路由与权限。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接口访问层：通过统一 API 模块封装业务请求，页面不直接依赖具体数据来源。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模拟数据层：在开发与演示阶段通过 Mock 模块返回模拟数据，便于完整走通业务流程。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从目录结构看，主要代码位于 src 目录：api 负责接口封装，views 负责页面，components 负责复用组件，store 负责状态，router 负责路由，mock 负责本地数据模拟，styles 负责全局样式变量与主题。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2.6  技术特点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采用 Vue 3 + Vite 构建，具备较快的开发启动与热更新体验。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采用 Element Plus 组件库，保证表单、表格、弹窗等交互一致性。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采用 ECharts 实现教师端数据可视化。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登录页集成 Three.js 三维机器人展示，增强品牌识别度。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路由级角色隔离，避免学生端与教师端页面互相越权访问。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API 与 Mock 解耦，关闭 Mock 后可平滑对接真实后端服务。</w:t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第三章  运行环境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3.1  硬件环境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建议在以下硬件条件下运行本软件的开发或部署环境：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CPU：双核及以上处理器。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内存：建议 8GB 及以上。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磁盘：预留不少于 2GB 可用空间，用于依赖安装与构建产物。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显示设备：分辨率建议不低于 1366×768，推荐 1920×1080。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3.2  软件环境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操作系统：Windows 10/11、macOS 或常见 Linux 发行版。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运行时：Node.js（建议 18 及以上 LTS 版本）。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包管理工具：npm（与工程 package.json 配套）。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浏览器：Chrome、Edge、Firefox 等现代浏览器最新稳定版。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3.3  网络环境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在使用本地 Mock 模式时，软件可在局域网或本机环境独立运行，无需真实后端服务。在对接真实后端时，客户端需能够访问后端 API 地址，并保证跨域或反向代理配置正确。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3.4  浏览器兼容性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本软件面向现代浏览器设计，依赖 ES Module、CSS 变量、Canvas 与 WebGL 等能力。不建议在过旧的浏览器（如早期 IE）中使用。若三维展示异常，可检查显卡驱动与浏览器硬件加速设置。</w:t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第四章  安装与部署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4.1  获取软件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获取本软件源代码工程后，确认根目录包含 package.json、vite.config.js、index.html 以及 src 源代码目录。请勿删除 node_modules 以外的工程必要文件。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4.2  依赖安装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打开终端（命令行），进入软件工程根目录。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执行命令：npm install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等待依赖安装完成。若网络较慢，可配置可用的 npm 镜像源后重试。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安装完成后，根目录将生成或更新 package-lock.json，并存在 node_modules 目录。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4.3  启动开发环境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在工程根目录执行：npm run dev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启动成功后，按终端提示访问本地地址（默认一般为 http://localhost:3000）。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浏览器打开后将进入登录页，可使用测试账号体验完整流程。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测试账号说明（演示环境）：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学生角色：用户名 student，密码 123456。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教师角色：用户名 teacher，密码 123456。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实际部署环境应以正式账号体系为准，勿将演示口令用于生产环境。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4.4  生产构建与预览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执行生产构建：npm run build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构建完成后，将在 dist 目录生成静态资源。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如需本地预览构建结果，可执行：npm run preview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正式发布时，可将 dist 目录部署至 Nginx、Apache 或其他静态资源服务器。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4.5  与后端对接说明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本软件默认可通过 Mock 模块完成业务演示。若需对接真实后端，建议按以下步骤处理：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停止使用本地 Mock：按工程约定移除或关闭 main 入口中的 Mock 引入。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在 Vite 开发服务器中配置 proxy，将 /api 等请求代理到真实后端地址。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确认后端接口路径、请求方法、返回数据结构与前端 api 模块约定一致。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使用真实账号完成登录、报名、审核等关键链路回归测试。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对接原则：页面组件尽量不直接感知数据来源，仅通过 api 层访问数据，从而降低后端替换成本。</w:t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第五章  登录与注册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5.1  进入系统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在浏览器中访问系统地址后，默认进入登录页面。登录页左侧为品牌展示区（含三维机器人与平台特性说明），右侧为登录/注册表单区。页面背景包含动态粒子效果，用于提升视觉识别度，不影响表单操作。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5.2  角色选择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在表单上方找到角色切换区域。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点击“学生”进入学生身份流程；点击“教师”进入教师身份流程。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切换角色后，输入框提示文案会同步变化（如学号/工号）。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为避免串号，切换角色时登录表单中的账号与密码会被清空。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5.3  学生登录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选择角色为“学生”。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确认模式为“登录”。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在账号输入框填写学号。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在密码输入框填写密码（至少 6 位）。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点击“登录”按钮提交。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6. 校验通过且认证成功后，系统保存登录凭证与用户信息，并跳转至学生端首页（比赛大厅）。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若学号或密码为空、密码过短或账号不存在，系统将给出表单校验或错误提示，用户可修改后重试。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5.4  教师登录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选择角色为“教师”。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确认模式为“登录”。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输入工号与密码。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点击“登录”。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认证成功后进入教师端默认页面（比赛管理）。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5.5  学生注册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选择角色为“学生”，切换到“注册”模式。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填写学号、姓名。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选择专业与年级。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设置密码并再次确认密码，两次输入须一致。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邮箱为选填项，若填写须符合邮箱格式。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6. 点击“注册并登录”。注册成功后将自动登录并进入学生端。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5.6  教师注册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选择角色为“教师”，切换到“注册”模式。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填写工号、姓名。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选择职称与所属学院。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设置并确认密码。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按需填写邮箱。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6. 提交后，系统创建教师账号并自动进入教师端。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5.7  登录状态保持与退出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登录成功后，系统会将令牌、角色和用户信息写入持久化状态存储。用户刷新页面后，在凭证有效的前提下无需重新登录。当用户访问需要登录的地址但未登录时，将被重定向至登录页；若已登录但角色不匹配，将被重定向至对应角色首页。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退出登录后，本地登录状态应被清除，再次访问业务页需重新认证。具体退出入口位于系统头部或个人相关操作区域。</w:t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第六章  学生端功能说明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6.1  学生端总体界面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学生登录成功后进入学生端布局页。界面通常包含顶部导航或侧向菜单、主内容区和消息等公共入口。学生端主要菜单包括：比赛大厅、组队中心、智能推荐、作品展示、个人中心、消息中心，以及组队邀请等子页面。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学生在各页面之间切换时，路由会更新浏览器地址，同时保持登录态。建议通过系统菜单进入功能，避免手动输入错误路径。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6.2  比赛大厅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6.2.1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比赛大厅是学生发现竞赛信息的入口。系统以列表或卡片形式展示可报名或进行中的比赛，并提供搜索、筛选、报名进度与指导教师信息等辅助信息，帮助学生快速判断是否适合报名。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6.2.2  操作步骤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在学生端菜单点击“比赛大厅”。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浏览当前比赛列表，可在卡片视图与列表视图之间切换（若界面提供切换控件）。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在搜索框输入关键字，按比赛名称或其他关键字段过滤。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按需使用筛选条件（如状态、类型等，以页面实际提供的筛选项为准）。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查看报名进度条、指导教师头像组等信息，评估比赛热度与指导资源。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6. 点击某一比赛卡片或“查看详情”进入比赛详情页。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6.2.3  界面信息说明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比赛名称与简介：用于快速识别比赛主题。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比赛状态：如报名中、进行中、已结束等。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报名进度：反映当前报名饱和程度。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教师信息：展示可选择或已关联的指导教师概况。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6.3  比赛详情与报名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6.3.1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比赛详情页展示比赛的完整信息，包括封面或横幅、文字说明、时间安排、报名要求以及可选指导教师。学生可在该页完成指导教师选择并提交报名申请。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6.3.2  操作步骤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从比赛大厅进入目标比赛详情页。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阅读比赛说明、时间与要求，确认自身符合报名条件。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在教师选择区域浏览可选指导教师，关注名额进度等信息。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选择一名指导教师（若业务要求必须选择）。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在报名侧边栏或报名区域确认信息。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6. 提交报名申请，等待系统反馈成功或失败结果。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7. 报名后可在个人中心或消息中心关注后续审核状态。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6.3.3  注意事项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请在报名截止前完成提交。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若指导教师名额已满，需更换其他教师或等待名额变化。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重复报名、信息不全或未选择必要项时，系统可能拒绝提交并提示原因。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6.4  组队中心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6.4.1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组队中心用于支持学生围绕比赛组建团队。学生可以查看自己所在队伍、浏览可加入队伍、创建新队伍，并在队伍场景下进行成员信息查看与基础沟通。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6.4.2  查看我的队伍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进入“组队中心”。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在“我的队伍”区域查看当前队伍名称、成员列表与基本状态。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如存在队内聊天或消息入口，可进入查看沟通记录。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6.4.3  查找并申请加入队伍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在找队伍区域浏览公开队伍卡片。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根据队伍目标、已有成员、缺口角色等信息筛选合适队伍。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点击申请加入，按提示提交申请。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等待队长或教师侧相关审核确认（以实际业务流程为准）。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6.4.4  创建队伍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点击“创建队伍”按钮，打开创建弹窗或表单。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填写队伍名称、所属比赛、简介、招募需求等信息。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提交创建请求。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创建成功后，队伍将出现在“我的队伍”中，创建者通常成为队长或发起人。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6.5  组队邀请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组队邀请页用于集中处理与组队相关的邀请信息。学生可查看邀请来源、目标队伍或比赛，并执行接受或忽略等操作。建议定期查看该页面，以免错过组队窗口期。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从菜单或消息入口进入“组队邀请”。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逐条阅读邀请内容与发起人信息。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对合适的邀请选择接受；对不相关邀请选择拒绝或忽略。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操作完成后，页面状态与消息提醒应同步更新。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6.6  智能推荐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6.6.1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智能推荐模块基于平台已有的学生能力标签、历史参赛、专业背景与教师指导情况等信息，为学生提供导师推荐与队友推荐结果，降低人工检索成本。页面通常包含算法说明横幅、导师推荐卡片和队友匹配展示。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6.6.2  查看导师推荐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进入“智能推荐”页面。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阅读顶部关于推荐逻辑的简要说明。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浏览导师推荐卡片，关注评分、成功率、研究方向或可指导名额等信息。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对感兴趣的导师可进入相关比赛或资料页面继续了解，或在业务允许时发起后续动作。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6.6.3  查看队友推荐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在同一页面查看队友推荐列表或圆形进度等可视化结果。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根据匹配度、专业互补性、技能标签选择潜在队友。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结合组队中心发起组队或邀请。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说明：推荐结果为辅助决策信息，不替代学生与教师的最终选择。实际可邀请范围与权限以系统当前数据为准。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6.7  作品展示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6.7.1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作品展示模块用于呈现往届或平台内优秀成果，采用瀑布流或网格布局展示作品封面、标题、作者与互动数据。学生可浏览作品详情、进行点赞，并在评论区发表看法，形成学习与交流氛围。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6.7.2  浏览与互动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进入“作品展示”页面。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滚动浏览作品列表，点击作品查看详情。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如需表达认可，点击点赞控件。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打开评论弹窗或评论区，输入评论内容并提交。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查看已有评论线程，了解其他同学的反馈。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6.7.3  评论规范建议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评论应与作品内容相关，避免无意义刷屏。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不得发布违法违规、人身攻击或泄露他人隐私的内容。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如评论组件支持楼中楼回复，请保持讨论线索清晰。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6.8  个人中心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6.8.1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个人中心汇聚学生的基础资料、统计信息、参赛时间线、导师与队伍关系等。学生可在此维护个人资料，形成对外展示的个人画像，便于组队与导师了解。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6.8.2  查看个人信息与统计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进入“个人中心”。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查看顶部用户横幅中的姓名、学号或账号、专业年级等概要信息。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查看统计数据（如参赛次数、作品数、消息数等，以页面实际字段为准）。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在时间线区域回顾历史参赛记录。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在导师与队伍卡片中查看当前关联关系。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6.8.3  编辑个人资料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点击资料编辑入口，打开资料编辑表单。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修改允许编辑的字段，如姓名展示信息、联系方式、个人简介、技能标签等。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保存修改并确认提示成功。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返回个人中心核验信息是否已更新。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6.9  消息中心（学生）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学生消息中心用于接收报名审核结果、组队邀请、系统公告提醒以及互动通知。进入消息中心后，可按列表查看未读与已读消息，点击消息可查看详情或跳转到相关业务页。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点击菜单中的“消息中心”。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浏览消息列表，优先处理未读消息。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点击某条消息查看详细内容。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根据消息类型执行后续操作，例如前往组队中心处理邀请，或前往个人中心查看报名状态。</w:t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第七章  教师端功能说明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7.1  教师端总体界面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教师登录后进入教师端布局。主要功能菜单通常包括：比赛管理、报名管理、队伍审核、指导分配、数据看板、公告资源与消息中心。教师端强调管理效率，列表、表格、批量操作与图表展示是主要交互形式。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7.2  比赛管理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7.2.1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比赛管理模块供教师发布新比赛、编辑已有比赛信息，并对比赛进行上架、下架或状态切换。完整、准确的比赛信息是学生报名与后续审核的基础。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7.2.2  发布比赛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进入“比赛管理”页面。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点击“发布比赛”或新建按钮。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填写比赛名称、简介、时间范围、报名要求、封面信息等必要字段。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设置比赛初始状态（如报名中）。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提交保存。发布成功后，学生端比赛大厅应能检索到该比赛（视状态与可见性规则而定）。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7.2.3  编辑与下架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在比赛列表中找到目标比赛。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点击编辑，修改需要更新的字段后保存。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如比赛结束或暂停招生，可执行下架或状态切换。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状态变更后，学生端展示与报名入口应随之变化。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7.2.4  字段填写建议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名称应简洁明确，避免重名造成混淆。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时间信息应包含报名起止与比赛起止，避免学生误报。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要求说明应写清人数、年级、材料提交等约束。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封面与简介有助于提升学生理解效率。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7.3  报名管理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7.3.1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报名管理用于审核学生提交的比赛报名申请。教师可在表格中查看申请人、比赛、报名时间和当前状态，并执行通过、拒绝或批量通过等操作。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7.3.2  单条审核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进入“报名管理”。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浏览报名列表，必要时按比赛或状态筛选。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点开某条报名查看详情。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选择通过或拒绝，并确认操作。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审核结果将通过消息等方式触达学生。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7.3.3  批量审核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在表格中勾选多条待审记录。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点击批量通过（或页面提供的批量操作按钮）。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确认后系统批量更新状态。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建议批量操作前先完成筛选，避免误审。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7.4  队伍审核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7.4.1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队伍审核模块以卡片或列表形式展示待审队伍，包括队伍名称、成员构成、所属比赛与申请说明。教师可批准队伍成立或参赛资格，或拒绝并填写理由。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7.4.2  操作步骤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进入“队伍审核”页面。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查看队伍卡片中的成员列表与关键信息。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对符合要求的队伍点击“通过”。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对不符合要求的队伍点击“拒绝”，在弹窗中填写拒绝理由后提交。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审核完成后，队伍状态更新，相关学生可在消息或组队中心看到结果。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7.4.3  审核要点建议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核验队伍人数是否符合比赛规则。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核验成员是否已具备相应报名资格。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关注队伍分工是否完整，避免明显不合理组合。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拒绝时理由应清晰，便于学生修改后再次申请。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7.5  指导分配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7.5.1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指导分配用于建立学生与指导教师之间的指导关系。界面常见为三栏结构：学生池、操作中心、教师池，并展示已分配记录，支持新增分配与调整。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7.5.2  分配操作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进入“指导分配”页面。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在学生池中选择待分配学生。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在教师池中选择目标指导教师。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在操作中心确认分配关系并提交。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在已分配记录中核验结果是否正确。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6. 如需调整，按页面提供的方式解除或重新分配。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分配完成后，学生端个人中心或相关页面应能体现导师信息；教师侧也可据此开展后续指导与管理。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7.6  数据看板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7.6.1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数据看板为教师提供可视化的运营与教学管理视图，典型图表包括：报名趋势折线图、专业分布饼图、性别结构环形图、比赛热度柱状图等。通过看板，教师可快速感知活动参与情况并辅助决策。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7.6.2  使用方法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进入“数据看板”。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查看页面顶部的汇总指标（如总报名人数、比赛数量等，以实际页面为准）。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阅读折线图，了解一段时间内的报名或活跃趋势。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通过饼图或环形图分析专业与性别分布。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通过柱状图对比不同比赛的参与热度。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6. 结合审核与比赛管理模块，对异常波动进行人工核查。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7.6.3  读图建议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关注突增或突降，排查是否由集中报名、截止临近或信息发布引起。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专业分布过于集中时，可考虑扩大宣传覆盖面。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比赛热度差异显著时，可优化冷门比赛的说明与资源支持。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7.7  公告与资源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7.7.1  功能说明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公告资源模块承担信息发布与资料沉淀职责。教师可发布公告并对重要公告置顶，也可上传和管理资源文件，供学生在平台内获取通知与学习材料。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7.7.2  发布公告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进入公告资源相关页面。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点击发布公告。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填写标题、正文、是否置顶等字段。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提交后在公告列表中确认展示效果；置顶公告通常以丝带或置顶标记突出显示。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7.7.3  管理资源文件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在资源管理区域查看已有文件列表。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点击上传，选择本地文件并填写必要描述。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上传成功后确认文件名称、大小与可见性。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对过期或错误文件执行删除或替换（若页面提供相应操作）。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7.7.4  内容规范建议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公告标题应一目了然，正文结构清晰。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涉及时间节点的通知应写明时区或具体时刻。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上传资源应保证不侵犯第三方知识产权，并避免含恶意内容。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重要文件建议同时在公告中给出获取路径说明。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7.8  消息中心（教师）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教师消息中心用于接收系统通知、待办提醒与业务反馈。使用方式与学生消息中心类似：进入列表、查看未读、打开详情并跳转处理。建议教师在批量审核前后查看消息，确认操作回执与学生侧反馈。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打开教师端“消息中心”。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优先处理与审核、分配相关的提醒。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对需要跟进的事项跳转到对应业务页完成处理。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处理完成后回到消息列表确认状态变化。</w:t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第八章  公共功能说明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8.1  顶部导航与页面切换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系统通过布局组件与路由配置组织页面。用户登录后，可在角色对应的菜单中切换功能模块。浏览器前进或后退一般可在已访问页面间导航，但受权限控制的页面在登录失效后将回到登录页。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菜单高亮：当前页对应菜单项应处于激活状态。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标题同步：页面标题或标签可随路由 meta 信息变化。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安全跳转：无权限访问会被重定向，属于正常保护行为。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8.2  智能助手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智能助手以浮层或侧边入口形式提供辅助能力，帮助学生或教师快速了解模块用途、常见操作路径或平台说明。使用时点击助手入口，输入问题或选择引导项，按返回内容完成操作。助手不能替代正式业务审核结论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在页面中找到智能助手入口并打开。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输入需要咨询的问题，例如“如何报名比赛”“如何审核队伍”。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阅读助手回复，并按其指引前往相应页面。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如回复不足以解决问题，可结合本说明书对应章节操作。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8.3  消息列表组件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消息列表是学生端与教师端消息中心复用的基础能力，负责消息的拉取、展示与状态呈现。列表项通常包含标题、摘要、时间与已读状态。用户点击后可查看更多信息或触发业务跳转。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8.4  表单校验与提示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软件对登录、注册、发布、审核理由等关键表单提供前端校验。常见规则包括必填、最小长度、邮箱格式、两次密码一致以及下拉选项必选。校验失败时，对应表单项下方或顶部会显示错误信息；操作成功或失败时，系统通过消息提示反馈结果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请根据错误提示逐项修正。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网络异常导致失败时，可检查网络后重试。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批量操作前务必确认勾选范围，防止误操作。</w:t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第九章  安全与权限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软件在前端层面实施基础安全与权限控制，主要包括身份鉴别、角色隔离、登录态持久化与路由守卫。需要强调的是，前端控制不能替代服务端鉴权；在对接真实后端时，后端仍应对令牌有效性、角色权限与数据权限进行校验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9.1  身份鉴别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用户必须通过登录获取访问业务页面的资格。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注册流程会采集角色相关必要信息，保证后续业务可识别用户身份。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演示环境测试账号仅用于功能验证，生产环境应使用正式认证体系。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9.2  角色隔离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学生令牌不可访问教师端业务路由。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教师令牌不可访问学生端业务路由。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直接在地址栏输入越权 URL 时，将被重定向到登录页或角色首页。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9.3  数据与隐私建议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不要在公开作品评论中泄露他人联系方式或隐私信息。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上传资源前确认内容可公开或仅面向授权范围。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公用计算机上使用系统后应及时退出登录。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定期修改密码，避免使用过于简单的口令。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9.4  异常访问处理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当出现登录过期、权限不足或页面不存在等情况时，系统将展示提示、跳转登录页或进入未找到页面。用户可重新登录或通过菜单返回有效功能页。若问题持续，请联系维护人员并提供操作时间、账号角色与页面地址。</w:t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第十章  常见问题与注意事项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10.1  常见问题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问题1：无法登录？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确认角色选择是否正确（学生/教师）。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确认账号与密码输入无多余空格。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确认密码长度满足要求。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若为新环境，确认是否已注册或是否使用了正确的演示账号。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问题2：登录后页面空白或菜单不对？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尝试强制刷新浏览器缓存。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确认当前登录角色与期望一致。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检查控制台是否有脚本错误，并确认依赖已正确安装。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问题3：学生看不到刚发布的比赛？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确认比赛状态是否为对学生可见的状态。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确认是否被搜索或筛选条件过滤。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刷新比赛大厅后重试。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问题4：报名或审核按钮无响应？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检查必填项是否完整。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查看是否有表单校验错误提示。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检查网络请求是否失败，必要时重新登录。</w:t>
      </w:r>
    </w:p>
    <w:p>
      <w:pPr>
        <w:keepNext/>
        <w:spacing w:before="120" w:after="80" w:lineRule="exact" w:line="400"/>
        <w:jc w:val="left"/>
      </w:pPr>
      <w:r>
        <w:rPr>
          <w:rFonts w:ascii="Arial" w:hAnsi="Arial" w:eastAsia="黑体" w:cs="Arial"/>
          <w:b/>
          <w:sz w:val="24"/>
        </w:rPr>
        <w:t>问题5：三维机器人不显示？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确认浏览器支持 WebGL 且未禁用硬件加速。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确认模型资源文件存在且可访问。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更换现代浏览器重试。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10.2  使用注意事项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请在稳定网络环境下进行报名、审核、上传等关键操作。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批量审核前仔细核对选中记录。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重要公告建议置顶，并在资源区同步材料。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不要将生产环境密钥、口令写入前端仓库。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升级浏览器或依赖后，应对登录、报名、审核主流程做回归验证。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10.3  维护建议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定期备份工程与必要配置。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关注依赖安全更新，但升级前应在测试环境验证。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对 Mock 与真实接口切换建立明确环境标识，避免误连。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对用户反馈的缺陷记录复现步骤，便于定位。</w:t>
      </w:r>
    </w:p>
    <w:p>
      <w:pPr>
        <w:keepNext/>
        <w:spacing w:before="240" w:after="120" w:lineRule="exact" w:line="440"/>
        <w:jc w:val="center"/>
      </w:pPr>
      <w:r>
        <w:rPr>
          <w:rFonts w:ascii="Arial" w:hAnsi="Arial" w:eastAsia="黑体" w:cs="Arial"/>
          <w:b/>
          <w:sz w:val="32"/>
        </w:rPr>
        <w:t>第十一章  附录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附录 A  功能模块与页面对照表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登录注册 — views/login/LoginPage.vue — 角色切换、登录、注册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学生布局 — views/student/StudentLayout.vue — 学生端框架与导航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比赛大厅 — views/student/CompetitionHall.vue — 比赛浏览与检索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比赛详情 — views/student/CompetitionDetail.vue — 详情查看与报名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组队中心 — views/student/TeamCenter.vue — 队伍创建、查找与管理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组队邀请 — views/student/TeamInvite.vue — 邀请处理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智能推荐 — views/student/SmartRecommend.vue — 导师/队友推荐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作品展示 — views/student/WorksShowcase.vue — 作品浏览与互动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作品详情相关 — views/student/WorkDisplay.vue — 作品展示补充页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个人中心 — views/student/MyProfile.vue — 资料与参赛记录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学生消息 — views/student/Messages.vue — 学生消息入口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教师布局 — views/teacher/TeacherLayout.vue — 教师端框架与导航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比赛管理 — views/teacher/PublishComp.vue — 发布/编辑/下架比赛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报名管理 — views/teacher/ManageStudent.vue — 报名审核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队伍审核 — views/teacher/TeamAudit.vue — 队伍审核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指导分配 — views/teacher/GuideAssign.vue — 指导关系分配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数据看板 — views/teacher/DataBoard.vue — 统计分析图表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公告资源 — views/teacher/AnnouncementResource.vue — 公告与资源管理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教师消息 — views/teacher/Messages.vue — 教师消息入口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消息列表 — views/common/MessageList.vue — 公共消息列表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智能助手 — components/AIAssistant.vue — 辅助问答入口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三维形象 — components/Robot3D.vue — 登录页机器人展示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附录 B  推荐操作流程（学生）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注册或登录学生账号。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在比赛大厅浏览并进入目标比赛详情。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选择指导教师并提交报名。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在组队中心创建或加入队伍。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在智能推荐中寻找互补队友或合适导师信息。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6. 关注消息中心的审核与邀请通知。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7. 在作品展示中学习往届成果，并完善个人中心资料。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附录 C  推荐操作流程（教师）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1. 注册或登录教师账号。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2. 在比赛管理中发布比赛。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3. 在报名管理中审核学生报名。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4. 在队伍审核中处理组队申请。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5. 在指导分配中确认指导关系。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6. 通过公告资源发布通知与资料。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7. 通过数据看板观察参与情况并优化组织策略。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附录 D  版本信息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软件名称：师生交互平台软件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软件版本：V1.0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文档名称：软件说明书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文档版本：V1.0</w:t>
      </w:r>
    </w:p>
    <w:p>
      <w:pPr>
        <w:spacing w:before="0" w:after="0" w:lineRule="exact" w:line="360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文档用途：软件著作权登记文档鉴别材料 / 用户操作说明</w:t>
      </w:r>
    </w:p>
    <w:p>
      <w:pPr>
        <w:keepNext/>
        <w:spacing w:before="160" w:after="80" w:lineRule="exact" w:line="400"/>
        <w:jc w:val="left"/>
      </w:pPr>
      <w:r>
        <w:rPr>
          <w:rFonts w:ascii="Arial" w:hAnsi="Arial" w:eastAsia="黑体" w:cs="Arial"/>
          <w:b/>
          <w:sz w:val="28"/>
        </w:rPr>
        <w:t>附录 E  声明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本说明书内容与师生交互平台软件 V1.0 功能相对应，描述重点为用户可见功能与操作方法。因演示数据、部署配置或后续版本迭代，界面文案与字段可能存在细微差异，但不影响对本软件主要功能的理解与再现。</w:t>
      </w:r>
    </w:p>
    <w:p>
      <w:pPr>
        <w:spacing w:before="0" w:after="0" w:lineRule="exact" w:line="3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本说明书作为软件著作权登记的文档鉴别材料之一，与源程序鉴别材料一并使用。未经权利人许可，不得将本软件及本说明书用于侵害权利人合法权益的用途。</w:t>
      </w:r>
    </w:p>
    <w:p>
      <w:pPr>
        <w:spacing w:before="240" w:after="120" w:lineRule="exact" w:line="360"/>
        <w:jc w:val="center"/>
      </w:pPr>
      <w:r>
        <w:rPr>
          <w:rFonts w:ascii="Times New Roman" w:hAnsi="Times New Roman" w:eastAsia="楷体" w:cs="Times New Roman"/>
          <w:b w:val="0"/>
          <w:sz w:val="24"/>
        </w:rPr>
        <w:t>—— 说明书正文结束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587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Rule="exact" w:line="280"/>
      <w:jc w:val="center"/>
    </w:pPr>
    <w:r>
      <w:rPr>
        <w:rFonts w:ascii="宋体" w:hAnsi="宋体" w:eastAsia="宋体" w:cs="宋体"/>
        <w:b w:val="0"/>
        <w:sz w:val="18"/>
      </w:rPr>
      <w:t xml:space="preserve">第 </w:t>
    </w:r>
    <w:r>
      <w:rPr>
        <w:rFonts w:ascii="宋体" w:hAnsi="宋体" w:eastAsia="宋体" w:cs="宋体"/>
        <w:b w:val="0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 w:cs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Rule="exact" w:line="280"/>
      <w:jc w:val="center"/>
      <w:pBdr>
        <w:bottom w:val="single" w:sz="6" w:space="4" w:color="666666"/>
      </w:pBdr>
    </w:pPr>
    <w:r>
      <w:rPr>
        <w:rFonts w:ascii="宋体" w:hAnsi="宋体" w:eastAsia="宋体" w:cs="宋体"/>
        <w:b w:val="0"/>
        <w:sz w:val="21"/>
      </w:rPr>
      <w:t>师生交互平台软件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