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56447">
      <w:pPr>
        <w:rPr>
          <w:rFonts w:hint="eastAsia" w:ascii="宋体" w:hAnsi="宋体"/>
          <w:sz w:val="32"/>
          <w:szCs w:val="32"/>
        </w:rPr>
      </w:pPr>
      <w:bookmarkStart w:id="0" w:name="_Hlk106581386"/>
      <w:bookmarkEnd w:id="0"/>
    </w:p>
    <w:p w14:paraId="4724FEAA">
      <w:pPr>
        <w:rPr>
          <w:rFonts w:hint="eastAsia" w:ascii="宋体" w:hAnsi="宋体"/>
          <w:sz w:val="32"/>
          <w:szCs w:val="32"/>
        </w:rPr>
      </w:pPr>
    </w:p>
    <w:p w14:paraId="714A97CC">
      <w:pPr>
        <w:rPr>
          <w:rFonts w:hint="eastAsia" w:ascii="宋体" w:hAnsi="宋体"/>
          <w:sz w:val="32"/>
          <w:szCs w:val="32"/>
        </w:rPr>
      </w:pPr>
    </w:p>
    <w:p w14:paraId="55AE575B">
      <w:pPr>
        <w:jc w:val="center"/>
        <w:rPr>
          <w:rFonts w:hint="eastAsia" w:ascii="宋体" w:hAnsi="宋体" w:cs="DFKai-SB"/>
          <w:b/>
          <w:bCs/>
        </w:rPr>
        <w:sectPr>
          <w:footerReference r:id="rId5" w:type="even"/>
          <w:pgSz w:w="11906" w:h="16838"/>
          <w:pgMar w:top="1440" w:right="1466" w:bottom="1440" w:left="1620" w:header="851" w:footer="992" w:gutter="0"/>
          <w:pgNumType w:fmt="decimalEnclosedCircle"/>
          <w:cols w:space="425" w:num="1"/>
          <w:docGrid w:type="lines" w:linePitch="312" w:charSpace="0"/>
        </w:sectPr>
      </w:pPr>
      <w:r>
        <w:rPr>
          <w:rFonts w:hint="eastAsia" w:ascii="宋体" w:hAnsi="宋体"/>
          <w:b/>
          <w:sz w:val="52"/>
          <w:szCs w:val="52"/>
        </w:rPr>
        <w:t>“洞见”：基于深度漏洞感知与代码虚拟化的软件智能主动防御平台</w:t>
      </w:r>
    </w:p>
    <w:p w14:paraId="1C5A2DC7">
      <w:pPr>
        <w:autoSpaceDE w:val="0"/>
        <w:autoSpaceDN w:val="0"/>
        <w:adjustRightInd w:val="0"/>
        <w:jc w:val="center"/>
        <w:rPr>
          <w:rFonts w:hint="eastAsia" w:ascii="宋体" w:hAnsi="宋体" w:cs="DFKai-SB"/>
          <w:b/>
          <w:bCs/>
          <w:sz w:val="32"/>
          <w:szCs w:val="32"/>
        </w:rPr>
      </w:pPr>
      <w:r>
        <w:rPr>
          <w:rFonts w:hint="eastAsia" w:ascii="宋体" w:hAnsi="宋体" w:cs="DFKai-SB"/>
          <w:b/>
          <w:bCs/>
          <w:sz w:val="32"/>
          <w:szCs w:val="32"/>
        </w:rPr>
        <w:t>目     录</w:t>
      </w:r>
    </w:p>
    <w:p w14:paraId="40A1CF9A">
      <w:pPr>
        <w:pStyle w:val="10"/>
        <w:tabs>
          <w:tab w:val="right" w:leader="dot" w:pos="8820"/>
        </w:tabs>
      </w:pPr>
      <w:r>
        <w:rPr>
          <w:rFonts w:ascii="宋体" w:hAnsi="宋体"/>
          <w:bCs/>
          <w:sz w:val="32"/>
          <w:szCs w:val="21"/>
        </w:rPr>
        <w:fldChar w:fldCharType="begin"/>
      </w:r>
      <w:r>
        <w:rPr>
          <w:rFonts w:ascii="宋体" w:hAnsi="宋体"/>
          <w:bCs/>
          <w:sz w:val="32"/>
          <w:szCs w:val="21"/>
        </w:rPr>
        <w:instrText xml:space="preserve"> TOC \o "1-3" \h \z \u </w:instrText>
      </w:r>
      <w:r>
        <w:rPr>
          <w:rFonts w:ascii="宋体" w:hAnsi="宋体"/>
          <w:bCs/>
          <w:sz w:val="32"/>
          <w:szCs w:val="21"/>
        </w:rPr>
        <w:fldChar w:fldCharType="separate"/>
      </w:r>
      <w:r>
        <w:rPr>
          <w:rFonts w:ascii="宋体" w:hAnsi="宋体"/>
          <w:bCs/>
          <w:szCs w:val="21"/>
        </w:rPr>
        <w:fldChar w:fldCharType="begin"/>
      </w:r>
      <w:r>
        <w:rPr>
          <w:rFonts w:ascii="宋体" w:hAnsi="宋体"/>
          <w:bCs/>
          <w:szCs w:val="21"/>
        </w:rPr>
        <w:instrText xml:space="preserve"> HYPERLINK \l _Toc23115 </w:instrText>
      </w:r>
      <w:r>
        <w:rPr>
          <w:rFonts w:ascii="宋体" w:hAnsi="宋体"/>
          <w:bCs/>
          <w:szCs w:val="21"/>
        </w:rPr>
        <w:fldChar w:fldCharType="separate"/>
      </w:r>
      <w:r>
        <w:rPr>
          <w:rFonts w:hint="eastAsia" w:ascii="宋体" w:hAnsi="宋体"/>
          <w:szCs w:val="32"/>
        </w:rPr>
        <w:t>摘要</w:t>
      </w:r>
      <w:r>
        <w:tab/>
      </w:r>
      <w:r>
        <w:fldChar w:fldCharType="begin"/>
      </w:r>
      <w:r>
        <w:instrText xml:space="preserve"> PAGEREF _Toc23115 \h </w:instrText>
      </w:r>
      <w:r>
        <w:fldChar w:fldCharType="separate"/>
      </w:r>
      <w:r>
        <w:t>3</w:t>
      </w:r>
      <w:r>
        <w:fldChar w:fldCharType="end"/>
      </w:r>
      <w:r>
        <w:rPr>
          <w:rFonts w:ascii="宋体" w:hAnsi="宋体"/>
          <w:bCs/>
          <w:szCs w:val="21"/>
        </w:rPr>
        <w:fldChar w:fldCharType="end"/>
      </w:r>
    </w:p>
    <w:p w14:paraId="49825DF3">
      <w:pPr>
        <w:pStyle w:val="10"/>
        <w:tabs>
          <w:tab w:val="right" w:leader="dot" w:pos="8820"/>
        </w:tabs>
      </w:pPr>
      <w:r>
        <w:rPr>
          <w:rFonts w:ascii="宋体" w:hAnsi="宋体"/>
          <w:bCs/>
          <w:szCs w:val="21"/>
        </w:rPr>
        <w:fldChar w:fldCharType="begin"/>
      </w:r>
      <w:r>
        <w:rPr>
          <w:rFonts w:ascii="宋体" w:hAnsi="宋体"/>
          <w:bCs/>
          <w:szCs w:val="21"/>
        </w:rPr>
        <w:instrText xml:space="preserve"> HYPERLINK \l _Toc8027 </w:instrText>
      </w:r>
      <w:r>
        <w:rPr>
          <w:rFonts w:ascii="宋体" w:hAnsi="宋体"/>
          <w:bCs/>
          <w:szCs w:val="21"/>
        </w:rPr>
        <w:fldChar w:fldCharType="separate"/>
      </w:r>
      <w:r>
        <w:rPr>
          <w:rFonts w:hint="eastAsia" w:ascii="宋体" w:hAnsi="宋体"/>
          <w:szCs w:val="32"/>
        </w:rPr>
        <w:t>第一章</w:t>
      </w:r>
      <w:r>
        <w:rPr>
          <w:rFonts w:hint="eastAsia" w:ascii="宋体" w:hAnsi="宋体"/>
          <w:szCs w:val="32"/>
          <w:lang w:val="en-US"/>
        </w:rPr>
        <w:t xml:space="preserve"> </w:t>
      </w:r>
      <w:r>
        <w:rPr>
          <w:rFonts w:hint="eastAsia" w:ascii="宋体" w:hAnsi="宋体"/>
          <w:szCs w:val="32"/>
        </w:rPr>
        <w:t>作品概述</w:t>
      </w:r>
      <w:r>
        <w:tab/>
      </w:r>
      <w:r>
        <w:fldChar w:fldCharType="begin"/>
      </w:r>
      <w:r>
        <w:instrText xml:space="preserve"> PAGEREF _Toc8027 \h </w:instrText>
      </w:r>
      <w:r>
        <w:fldChar w:fldCharType="separate"/>
      </w:r>
      <w:r>
        <w:t>4</w:t>
      </w:r>
      <w:r>
        <w:fldChar w:fldCharType="end"/>
      </w:r>
      <w:r>
        <w:rPr>
          <w:rFonts w:ascii="宋体" w:hAnsi="宋体"/>
          <w:bCs/>
          <w:szCs w:val="21"/>
        </w:rPr>
        <w:fldChar w:fldCharType="end"/>
      </w:r>
    </w:p>
    <w:p w14:paraId="57772DB1">
      <w:pPr>
        <w:pStyle w:val="12"/>
        <w:tabs>
          <w:tab w:val="right" w:leader="dot" w:pos="8820"/>
        </w:tabs>
      </w:pPr>
      <w:r>
        <w:rPr>
          <w:rFonts w:ascii="宋体" w:hAnsi="宋体"/>
          <w:bCs/>
          <w:szCs w:val="21"/>
        </w:rPr>
        <w:fldChar w:fldCharType="begin"/>
      </w:r>
      <w:r>
        <w:rPr>
          <w:rFonts w:ascii="宋体" w:hAnsi="宋体"/>
          <w:bCs/>
          <w:szCs w:val="21"/>
        </w:rPr>
        <w:instrText xml:space="preserve"> HYPERLINK \l _Toc17059 </w:instrText>
      </w:r>
      <w:r>
        <w:rPr>
          <w:rFonts w:ascii="宋体" w:hAnsi="宋体"/>
          <w:bCs/>
          <w:szCs w:val="21"/>
        </w:rPr>
        <w:fldChar w:fldCharType="separate"/>
      </w:r>
      <w:r>
        <w:rPr>
          <w:rFonts w:hint="eastAsia"/>
        </w:rPr>
        <w:t>1.1研究背景</w:t>
      </w:r>
      <w:r>
        <w:tab/>
      </w:r>
      <w:r>
        <w:fldChar w:fldCharType="begin"/>
      </w:r>
      <w:r>
        <w:instrText xml:space="preserve"> PAGEREF _Toc17059 \h </w:instrText>
      </w:r>
      <w:r>
        <w:fldChar w:fldCharType="separate"/>
      </w:r>
      <w:r>
        <w:t>4</w:t>
      </w:r>
      <w:r>
        <w:fldChar w:fldCharType="end"/>
      </w:r>
      <w:r>
        <w:rPr>
          <w:rFonts w:ascii="宋体" w:hAnsi="宋体"/>
          <w:bCs/>
          <w:szCs w:val="21"/>
        </w:rPr>
        <w:fldChar w:fldCharType="end"/>
      </w:r>
    </w:p>
    <w:p w14:paraId="176B3CD3">
      <w:pPr>
        <w:pStyle w:val="12"/>
        <w:tabs>
          <w:tab w:val="right" w:leader="dot" w:pos="8820"/>
        </w:tabs>
      </w:pPr>
      <w:r>
        <w:rPr>
          <w:rFonts w:ascii="宋体" w:hAnsi="宋体"/>
          <w:bCs/>
          <w:szCs w:val="21"/>
        </w:rPr>
        <w:fldChar w:fldCharType="begin"/>
      </w:r>
      <w:r>
        <w:rPr>
          <w:rFonts w:ascii="宋体" w:hAnsi="宋体"/>
          <w:bCs/>
          <w:szCs w:val="21"/>
        </w:rPr>
        <w:instrText xml:space="preserve"> HYPERLINK \l _Toc14871 </w:instrText>
      </w:r>
      <w:r>
        <w:rPr>
          <w:rFonts w:ascii="宋体" w:hAnsi="宋体"/>
          <w:bCs/>
          <w:szCs w:val="21"/>
        </w:rPr>
        <w:fldChar w:fldCharType="separate"/>
      </w:r>
      <w:r>
        <w:rPr>
          <w:rFonts w:hint="eastAsia"/>
        </w:rPr>
        <w:t>1.2作品介绍</w:t>
      </w:r>
      <w:r>
        <w:tab/>
      </w:r>
      <w:r>
        <w:fldChar w:fldCharType="begin"/>
      </w:r>
      <w:r>
        <w:instrText xml:space="preserve"> PAGEREF _Toc14871 \h </w:instrText>
      </w:r>
      <w:r>
        <w:fldChar w:fldCharType="separate"/>
      </w:r>
      <w:r>
        <w:t>4</w:t>
      </w:r>
      <w:r>
        <w:fldChar w:fldCharType="end"/>
      </w:r>
      <w:r>
        <w:rPr>
          <w:rFonts w:ascii="宋体" w:hAnsi="宋体"/>
          <w:bCs/>
          <w:szCs w:val="21"/>
        </w:rPr>
        <w:fldChar w:fldCharType="end"/>
      </w:r>
    </w:p>
    <w:p w14:paraId="7F006F24">
      <w:pPr>
        <w:pStyle w:val="12"/>
        <w:tabs>
          <w:tab w:val="right" w:leader="dot" w:pos="8820"/>
        </w:tabs>
      </w:pPr>
      <w:r>
        <w:rPr>
          <w:rFonts w:ascii="宋体" w:hAnsi="宋体"/>
          <w:bCs/>
          <w:szCs w:val="21"/>
        </w:rPr>
        <w:fldChar w:fldCharType="begin"/>
      </w:r>
      <w:r>
        <w:rPr>
          <w:rFonts w:ascii="宋体" w:hAnsi="宋体"/>
          <w:bCs/>
          <w:szCs w:val="21"/>
        </w:rPr>
        <w:instrText xml:space="preserve"> HYPERLINK \l _Toc17860 </w:instrText>
      </w:r>
      <w:r>
        <w:rPr>
          <w:rFonts w:ascii="宋体" w:hAnsi="宋体"/>
          <w:bCs/>
          <w:szCs w:val="21"/>
        </w:rPr>
        <w:fldChar w:fldCharType="separate"/>
      </w:r>
      <w:r>
        <w:rPr>
          <w:rFonts w:hint="eastAsia"/>
        </w:rPr>
        <w:t>1.3作品特色</w:t>
      </w:r>
      <w:r>
        <w:tab/>
      </w:r>
      <w:r>
        <w:fldChar w:fldCharType="begin"/>
      </w:r>
      <w:r>
        <w:instrText xml:space="preserve"> PAGEREF _Toc17860 \h </w:instrText>
      </w:r>
      <w:r>
        <w:fldChar w:fldCharType="separate"/>
      </w:r>
      <w:r>
        <w:t>5</w:t>
      </w:r>
      <w:r>
        <w:fldChar w:fldCharType="end"/>
      </w:r>
      <w:r>
        <w:rPr>
          <w:rFonts w:ascii="宋体" w:hAnsi="宋体"/>
          <w:bCs/>
          <w:szCs w:val="21"/>
        </w:rPr>
        <w:fldChar w:fldCharType="end"/>
      </w:r>
    </w:p>
    <w:p w14:paraId="377AA013">
      <w:pPr>
        <w:pStyle w:val="10"/>
        <w:tabs>
          <w:tab w:val="right" w:leader="dot" w:pos="8820"/>
        </w:tabs>
      </w:pPr>
      <w:r>
        <w:rPr>
          <w:rFonts w:ascii="宋体" w:hAnsi="宋体"/>
          <w:bCs/>
          <w:szCs w:val="21"/>
        </w:rPr>
        <w:fldChar w:fldCharType="begin"/>
      </w:r>
      <w:r>
        <w:rPr>
          <w:rFonts w:ascii="宋体" w:hAnsi="宋体"/>
          <w:bCs/>
          <w:szCs w:val="21"/>
        </w:rPr>
        <w:instrText xml:space="preserve"> HYPERLINK \l _Toc19153 </w:instrText>
      </w:r>
      <w:r>
        <w:rPr>
          <w:rFonts w:ascii="宋体" w:hAnsi="宋体"/>
          <w:bCs/>
          <w:szCs w:val="21"/>
        </w:rPr>
        <w:fldChar w:fldCharType="separate"/>
      </w:r>
      <w:r>
        <w:rPr>
          <w:rFonts w:hint="eastAsia"/>
        </w:rPr>
        <w:t>第二章</w:t>
      </w:r>
      <w:r>
        <w:rPr>
          <w:rFonts w:hint="eastAsia"/>
          <w:lang w:val="en-US"/>
        </w:rPr>
        <w:t xml:space="preserve"> </w:t>
      </w:r>
      <w:r>
        <w:rPr>
          <w:rFonts w:hint="eastAsia"/>
        </w:rPr>
        <w:t>作品设计与实现</w:t>
      </w:r>
      <w:r>
        <w:tab/>
      </w:r>
      <w:r>
        <w:fldChar w:fldCharType="begin"/>
      </w:r>
      <w:r>
        <w:instrText xml:space="preserve"> PAGEREF _Toc19153 \h </w:instrText>
      </w:r>
      <w:r>
        <w:fldChar w:fldCharType="separate"/>
      </w:r>
      <w:r>
        <w:t>7</w:t>
      </w:r>
      <w:r>
        <w:fldChar w:fldCharType="end"/>
      </w:r>
      <w:r>
        <w:rPr>
          <w:rFonts w:ascii="宋体" w:hAnsi="宋体"/>
          <w:bCs/>
          <w:szCs w:val="21"/>
        </w:rPr>
        <w:fldChar w:fldCharType="end"/>
      </w:r>
    </w:p>
    <w:p w14:paraId="6F431D00">
      <w:pPr>
        <w:pStyle w:val="12"/>
        <w:tabs>
          <w:tab w:val="right" w:leader="dot" w:pos="8820"/>
        </w:tabs>
      </w:pPr>
      <w:r>
        <w:rPr>
          <w:rFonts w:ascii="宋体" w:hAnsi="宋体"/>
          <w:bCs/>
          <w:szCs w:val="21"/>
        </w:rPr>
        <w:fldChar w:fldCharType="begin"/>
      </w:r>
      <w:r>
        <w:rPr>
          <w:rFonts w:ascii="宋体" w:hAnsi="宋体"/>
          <w:bCs/>
          <w:szCs w:val="21"/>
        </w:rPr>
        <w:instrText xml:space="preserve"> HYPERLINK \l _Toc2272 </w:instrText>
      </w:r>
      <w:r>
        <w:rPr>
          <w:rFonts w:ascii="宋体" w:hAnsi="宋体"/>
          <w:bCs/>
          <w:szCs w:val="21"/>
        </w:rPr>
        <w:fldChar w:fldCharType="separate"/>
      </w:r>
      <w:r>
        <w:rPr>
          <w:rFonts w:hint="eastAsia"/>
        </w:rPr>
        <w:t>2.1功能一漏洞预测的实现框架</w:t>
      </w:r>
      <w:r>
        <w:tab/>
      </w:r>
      <w:r>
        <w:fldChar w:fldCharType="begin"/>
      </w:r>
      <w:r>
        <w:instrText xml:space="preserve"> PAGEREF _Toc2272 \h </w:instrText>
      </w:r>
      <w:r>
        <w:fldChar w:fldCharType="separate"/>
      </w:r>
      <w:r>
        <w:t>7</w:t>
      </w:r>
      <w:r>
        <w:fldChar w:fldCharType="end"/>
      </w:r>
      <w:r>
        <w:rPr>
          <w:rFonts w:ascii="宋体" w:hAnsi="宋体"/>
          <w:bCs/>
          <w:szCs w:val="21"/>
        </w:rPr>
        <w:fldChar w:fldCharType="end"/>
      </w:r>
    </w:p>
    <w:p w14:paraId="5B3D1355">
      <w:pPr>
        <w:pStyle w:val="7"/>
        <w:tabs>
          <w:tab w:val="right" w:leader="dot" w:pos="8820"/>
        </w:tabs>
      </w:pPr>
      <w:r>
        <w:rPr>
          <w:rFonts w:ascii="宋体" w:hAnsi="宋体"/>
          <w:bCs/>
          <w:szCs w:val="21"/>
        </w:rPr>
        <w:fldChar w:fldCharType="begin"/>
      </w:r>
      <w:r>
        <w:rPr>
          <w:rFonts w:ascii="宋体" w:hAnsi="宋体"/>
          <w:bCs/>
          <w:szCs w:val="21"/>
        </w:rPr>
        <w:instrText xml:space="preserve"> HYPERLINK \l _Toc22203 </w:instrText>
      </w:r>
      <w:r>
        <w:rPr>
          <w:rFonts w:ascii="宋体" w:hAnsi="宋体"/>
          <w:bCs/>
          <w:szCs w:val="21"/>
        </w:rPr>
        <w:fldChar w:fldCharType="separate"/>
      </w:r>
      <w:r>
        <w:rPr>
          <w:rFonts w:hint="eastAsia"/>
        </w:rPr>
        <w:t>2.1.1漏洞预测框架中基于大语言模型的特征输入</w:t>
      </w:r>
      <w:r>
        <w:tab/>
      </w:r>
      <w:r>
        <w:fldChar w:fldCharType="begin"/>
      </w:r>
      <w:r>
        <w:instrText xml:space="preserve"> PAGEREF _Toc22203 \h </w:instrText>
      </w:r>
      <w:r>
        <w:fldChar w:fldCharType="separate"/>
      </w:r>
      <w:r>
        <w:t>7</w:t>
      </w:r>
      <w:r>
        <w:fldChar w:fldCharType="end"/>
      </w:r>
      <w:r>
        <w:rPr>
          <w:rFonts w:ascii="宋体" w:hAnsi="宋体"/>
          <w:bCs/>
          <w:szCs w:val="21"/>
        </w:rPr>
        <w:fldChar w:fldCharType="end"/>
      </w:r>
    </w:p>
    <w:p w14:paraId="67F58C35">
      <w:pPr>
        <w:pStyle w:val="7"/>
        <w:tabs>
          <w:tab w:val="right" w:leader="dot" w:pos="8820"/>
        </w:tabs>
      </w:pPr>
      <w:r>
        <w:rPr>
          <w:rFonts w:ascii="宋体" w:hAnsi="宋体"/>
          <w:bCs/>
          <w:szCs w:val="21"/>
        </w:rPr>
        <w:fldChar w:fldCharType="begin"/>
      </w:r>
      <w:r>
        <w:rPr>
          <w:rFonts w:ascii="宋体" w:hAnsi="宋体"/>
          <w:bCs/>
          <w:szCs w:val="21"/>
        </w:rPr>
        <w:instrText xml:space="preserve"> HYPERLINK \l _Toc17925 </w:instrText>
      </w:r>
      <w:r>
        <w:rPr>
          <w:rFonts w:ascii="宋体" w:hAnsi="宋体"/>
          <w:bCs/>
          <w:szCs w:val="21"/>
        </w:rPr>
        <w:fldChar w:fldCharType="separate"/>
      </w:r>
      <w:r>
        <w:rPr>
          <w:rFonts w:hint="eastAsia"/>
        </w:rPr>
        <w:t>2.1.2漏洞预测实现原理</w:t>
      </w:r>
      <w:r>
        <w:tab/>
      </w:r>
      <w:r>
        <w:fldChar w:fldCharType="begin"/>
      </w:r>
      <w:r>
        <w:instrText xml:space="preserve"> PAGEREF _Toc17925 \h </w:instrText>
      </w:r>
      <w:r>
        <w:fldChar w:fldCharType="separate"/>
      </w:r>
      <w:r>
        <w:t>8</w:t>
      </w:r>
      <w:r>
        <w:fldChar w:fldCharType="end"/>
      </w:r>
      <w:r>
        <w:rPr>
          <w:rFonts w:ascii="宋体" w:hAnsi="宋体"/>
          <w:bCs/>
          <w:szCs w:val="21"/>
        </w:rPr>
        <w:fldChar w:fldCharType="end"/>
      </w:r>
    </w:p>
    <w:p w14:paraId="0AB949D7">
      <w:pPr>
        <w:pStyle w:val="7"/>
        <w:tabs>
          <w:tab w:val="right" w:leader="dot" w:pos="8820"/>
        </w:tabs>
      </w:pPr>
      <w:r>
        <w:rPr>
          <w:rFonts w:ascii="宋体" w:hAnsi="宋体"/>
          <w:bCs/>
          <w:szCs w:val="21"/>
        </w:rPr>
        <w:fldChar w:fldCharType="begin"/>
      </w:r>
      <w:r>
        <w:rPr>
          <w:rFonts w:ascii="宋体" w:hAnsi="宋体"/>
          <w:bCs/>
          <w:szCs w:val="21"/>
        </w:rPr>
        <w:instrText xml:space="preserve"> HYPERLINK \l _Toc23242 </w:instrText>
      </w:r>
      <w:r>
        <w:rPr>
          <w:rFonts w:ascii="宋体" w:hAnsi="宋体"/>
          <w:bCs/>
          <w:szCs w:val="21"/>
        </w:rPr>
        <w:fldChar w:fldCharType="separate"/>
      </w:r>
      <w:r>
        <w:rPr>
          <w:rFonts w:hint="eastAsia"/>
        </w:rPr>
        <w:t>2.1.3漏洞严重性预测算法</w:t>
      </w:r>
      <w:r>
        <w:tab/>
      </w:r>
      <w:r>
        <w:fldChar w:fldCharType="begin"/>
      </w:r>
      <w:r>
        <w:instrText xml:space="preserve"> PAGEREF _Toc23242 \h </w:instrText>
      </w:r>
      <w:r>
        <w:fldChar w:fldCharType="separate"/>
      </w:r>
      <w:r>
        <w:t>10</w:t>
      </w:r>
      <w:r>
        <w:fldChar w:fldCharType="end"/>
      </w:r>
      <w:r>
        <w:rPr>
          <w:rFonts w:ascii="宋体" w:hAnsi="宋体"/>
          <w:bCs/>
          <w:szCs w:val="21"/>
        </w:rPr>
        <w:fldChar w:fldCharType="end"/>
      </w:r>
    </w:p>
    <w:p w14:paraId="0662B116">
      <w:pPr>
        <w:pStyle w:val="12"/>
        <w:tabs>
          <w:tab w:val="right" w:leader="dot" w:pos="8820"/>
        </w:tabs>
      </w:pPr>
      <w:r>
        <w:rPr>
          <w:rFonts w:ascii="宋体" w:hAnsi="宋体"/>
          <w:bCs/>
          <w:szCs w:val="21"/>
        </w:rPr>
        <w:fldChar w:fldCharType="begin"/>
      </w:r>
      <w:r>
        <w:rPr>
          <w:rFonts w:ascii="宋体" w:hAnsi="宋体"/>
          <w:bCs/>
          <w:szCs w:val="21"/>
        </w:rPr>
        <w:instrText xml:space="preserve"> HYPERLINK \l _Toc27905 </w:instrText>
      </w:r>
      <w:r>
        <w:rPr>
          <w:rFonts w:ascii="宋体" w:hAnsi="宋体"/>
          <w:bCs/>
          <w:szCs w:val="21"/>
        </w:rPr>
        <w:fldChar w:fldCharType="separate"/>
      </w:r>
      <w:r>
        <w:rPr>
          <w:rFonts w:hint="eastAsia"/>
        </w:rPr>
        <w:t>2.2功能二代码虚拟化</w:t>
      </w:r>
      <w:r>
        <w:tab/>
      </w:r>
      <w:r>
        <w:fldChar w:fldCharType="begin"/>
      </w:r>
      <w:r>
        <w:instrText xml:space="preserve"> PAGEREF _Toc27905 \h </w:instrText>
      </w:r>
      <w:r>
        <w:fldChar w:fldCharType="separate"/>
      </w:r>
      <w:r>
        <w:t>13</w:t>
      </w:r>
      <w:r>
        <w:fldChar w:fldCharType="end"/>
      </w:r>
      <w:r>
        <w:rPr>
          <w:rFonts w:ascii="宋体" w:hAnsi="宋体"/>
          <w:bCs/>
          <w:szCs w:val="21"/>
        </w:rPr>
        <w:fldChar w:fldCharType="end"/>
      </w:r>
    </w:p>
    <w:p w14:paraId="5F5254DD">
      <w:pPr>
        <w:pStyle w:val="7"/>
        <w:tabs>
          <w:tab w:val="right" w:leader="dot" w:pos="8820"/>
        </w:tabs>
      </w:pPr>
      <w:r>
        <w:rPr>
          <w:rFonts w:ascii="宋体" w:hAnsi="宋体"/>
          <w:bCs/>
          <w:szCs w:val="21"/>
        </w:rPr>
        <w:fldChar w:fldCharType="begin"/>
      </w:r>
      <w:r>
        <w:rPr>
          <w:rFonts w:ascii="宋体" w:hAnsi="宋体"/>
          <w:bCs/>
          <w:szCs w:val="21"/>
        </w:rPr>
        <w:instrText xml:space="preserve"> HYPERLINK \l _Toc7032 </w:instrText>
      </w:r>
      <w:r>
        <w:rPr>
          <w:rFonts w:ascii="宋体" w:hAnsi="宋体"/>
          <w:bCs/>
          <w:szCs w:val="21"/>
        </w:rPr>
        <w:fldChar w:fldCharType="separate"/>
      </w:r>
      <w:r>
        <w:rPr>
          <w:rFonts w:hint="eastAsia"/>
        </w:rPr>
        <w:t>2.2.1 代码虚拟化技术</w:t>
      </w:r>
      <w:r>
        <w:tab/>
      </w:r>
      <w:r>
        <w:fldChar w:fldCharType="begin"/>
      </w:r>
      <w:r>
        <w:instrText xml:space="preserve"> PAGEREF _Toc7032 \h </w:instrText>
      </w:r>
      <w:r>
        <w:fldChar w:fldCharType="separate"/>
      </w:r>
      <w:r>
        <w:t>14</w:t>
      </w:r>
      <w:r>
        <w:fldChar w:fldCharType="end"/>
      </w:r>
      <w:r>
        <w:rPr>
          <w:rFonts w:ascii="宋体" w:hAnsi="宋体"/>
          <w:bCs/>
          <w:szCs w:val="21"/>
        </w:rPr>
        <w:fldChar w:fldCharType="end"/>
      </w:r>
    </w:p>
    <w:p w14:paraId="6178360E">
      <w:pPr>
        <w:pStyle w:val="7"/>
        <w:tabs>
          <w:tab w:val="right" w:leader="dot" w:pos="8820"/>
        </w:tabs>
      </w:pPr>
      <w:r>
        <w:rPr>
          <w:rFonts w:ascii="宋体" w:hAnsi="宋体"/>
          <w:bCs/>
          <w:szCs w:val="21"/>
        </w:rPr>
        <w:fldChar w:fldCharType="begin"/>
      </w:r>
      <w:r>
        <w:rPr>
          <w:rFonts w:ascii="宋体" w:hAnsi="宋体"/>
          <w:bCs/>
          <w:szCs w:val="21"/>
        </w:rPr>
        <w:instrText xml:space="preserve"> HYPERLINK \l _Toc7337 </w:instrText>
      </w:r>
      <w:r>
        <w:rPr>
          <w:rFonts w:ascii="宋体" w:hAnsi="宋体"/>
          <w:bCs/>
          <w:szCs w:val="21"/>
        </w:rPr>
        <w:fldChar w:fldCharType="separate"/>
      </w:r>
      <w:r>
        <w:rPr>
          <w:rFonts w:hint="eastAsia"/>
        </w:rPr>
        <w:t>2.2.2 常量保护技术</w:t>
      </w:r>
      <w:r>
        <w:tab/>
      </w:r>
      <w:r>
        <w:fldChar w:fldCharType="begin"/>
      </w:r>
      <w:r>
        <w:instrText xml:space="preserve"> PAGEREF _Toc7337 \h </w:instrText>
      </w:r>
      <w:r>
        <w:fldChar w:fldCharType="separate"/>
      </w:r>
      <w:r>
        <w:t>14</w:t>
      </w:r>
      <w:r>
        <w:fldChar w:fldCharType="end"/>
      </w:r>
      <w:r>
        <w:rPr>
          <w:rFonts w:ascii="宋体" w:hAnsi="宋体"/>
          <w:bCs/>
          <w:szCs w:val="21"/>
        </w:rPr>
        <w:fldChar w:fldCharType="end"/>
      </w:r>
    </w:p>
    <w:p w14:paraId="0528FDF4">
      <w:pPr>
        <w:pStyle w:val="7"/>
        <w:tabs>
          <w:tab w:val="right" w:leader="dot" w:pos="8820"/>
        </w:tabs>
      </w:pPr>
      <w:r>
        <w:rPr>
          <w:rFonts w:ascii="宋体" w:hAnsi="宋体"/>
          <w:bCs/>
          <w:szCs w:val="21"/>
        </w:rPr>
        <w:fldChar w:fldCharType="begin"/>
      </w:r>
      <w:r>
        <w:rPr>
          <w:rFonts w:ascii="宋体" w:hAnsi="宋体"/>
          <w:bCs/>
          <w:szCs w:val="21"/>
        </w:rPr>
        <w:instrText xml:space="preserve"> HYPERLINK \l _Toc32646 </w:instrText>
      </w:r>
      <w:r>
        <w:rPr>
          <w:rFonts w:ascii="宋体" w:hAnsi="宋体"/>
          <w:bCs/>
          <w:szCs w:val="21"/>
        </w:rPr>
        <w:fldChar w:fldCharType="separate"/>
      </w:r>
      <w:r>
        <w:rPr>
          <w:rFonts w:hint="eastAsia"/>
        </w:rPr>
        <w:t>2.2.3 反调试技术</w:t>
      </w:r>
      <w:r>
        <w:tab/>
      </w:r>
      <w:r>
        <w:fldChar w:fldCharType="begin"/>
      </w:r>
      <w:r>
        <w:instrText xml:space="preserve"> PAGEREF _Toc32646 \h </w:instrText>
      </w:r>
      <w:r>
        <w:fldChar w:fldCharType="separate"/>
      </w:r>
      <w:r>
        <w:t>15</w:t>
      </w:r>
      <w:r>
        <w:fldChar w:fldCharType="end"/>
      </w:r>
      <w:r>
        <w:rPr>
          <w:rFonts w:ascii="宋体" w:hAnsi="宋体"/>
          <w:bCs/>
          <w:szCs w:val="21"/>
        </w:rPr>
        <w:fldChar w:fldCharType="end"/>
      </w:r>
    </w:p>
    <w:p w14:paraId="486B3F3C">
      <w:pPr>
        <w:pStyle w:val="7"/>
        <w:tabs>
          <w:tab w:val="right" w:leader="dot" w:pos="8820"/>
        </w:tabs>
      </w:pPr>
      <w:r>
        <w:rPr>
          <w:rFonts w:ascii="宋体" w:hAnsi="宋体"/>
          <w:bCs/>
          <w:szCs w:val="21"/>
        </w:rPr>
        <w:fldChar w:fldCharType="begin"/>
      </w:r>
      <w:r>
        <w:rPr>
          <w:rFonts w:ascii="宋体" w:hAnsi="宋体"/>
          <w:bCs/>
          <w:szCs w:val="21"/>
        </w:rPr>
        <w:instrText xml:space="preserve"> HYPERLINK \l _Toc16144 </w:instrText>
      </w:r>
      <w:r>
        <w:rPr>
          <w:rFonts w:ascii="宋体" w:hAnsi="宋体"/>
          <w:bCs/>
          <w:szCs w:val="21"/>
        </w:rPr>
        <w:fldChar w:fldCharType="separate"/>
      </w:r>
      <w:r>
        <w:rPr>
          <w:rFonts w:hint="eastAsia"/>
        </w:rPr>
        <w:t>2.2.4 反 Dump 技术</w:t>
      </w:r>
      <w:r>
        <w:tab/>
      </w:r>
      <w:r>
        <w:fldChar w:fldCharType="begin"/>
      </w:r>
      <w:r>
        <w:instrText xml:space="preserve"> PAGEREF _Toc16144 \h </w:instrText>
      </w:r>
      <w:r>
        <w:fldChar w:fldCharType="separate"/>
      </w:r>
      <w:r>
        <w:t>15</w:t>
      </w:r>
      <w:r>
        <w:fldChar w:fldCharType="end"/>
      </w:r>
      <w:r>
        <w:rPr>
          <w:rFonts w:ascii="宋体" w:hAnsi="宋体"/>
          <w:bCs/>
          <w:szCs w:val="21"/>
        </w:rPr>
        <w:fldChar w:fldCharType="end"/>
      </w:r>
    </w:p>
    <w:p w14:paraId="544AF41D">
      <w:pPr>
        <w:pStyle w:val="7"/>
        <w:tabs>
          <w:tab w:val="right" w:leader="dot" w:pos="8820"/>
        </w:tabs>
      </w:pPr>
      <w:r>
        <w:rPr>
          <w:rFonts w:ascii="宋体" w:hAnsi="宋体"/>
          <w:bCs/>
          <w:szCs w:val="21"/>
        </w:rPr>
        <w:fldChar w:fldCharType="begin"/>
      </w:r>
      <w:r>
        <w:rPr>
          <w:rFonts w:ascii="宋体" w:hAnsi="宋体"/>
          <w:bCs/>
          <w:szCs w:val="21"/>
        </w:rPr>
        <w:instrText xml:space="preserve"> HYPERLINK \l _Toc13761 </w:instrText>
      </w:r>
      <w:r>
        <w:rPr>
          <w:rFonts w:ascii="宋体" w:hAnsi="宋体"/>
          <w:bCs/>
          <w:szCs w:val="21"/>
        </w:rPr>
        <w:fldChar w:fldCharType="separate"/>
      </w:r>
      <w:r>
        <w:rPr>
          <w:rFonts w:hint="eastAsia"/>
        </w:rPr>
        <w:t>2.2.5 控制流保护技术</w:t>
      </w:r>
      <w:r>
        <w:tab/>
      </w:r>
      <w:r>
        <w:fldChar w:fldCharType="begin"/>
      </w:r>
      <w:r>
        <w:instrText xml:space="preserve"> PAGEREF _Toc13761 \h </w:instrText>
      </w:r>
      <w:r>
        <w:fldChar w:fldCharType="separate"/>
      </w:r>
      <w:r>
        <w:t>15</w:t>
      </w:r>
      <w:r>
        <w:fldChar w:fldCharType="end"/>
      </w:r>
      <w:r>
        <w:rPr>
          <w:rFonts w:ascii="宋体" w:hAnsi="宋体"/>
          <w:bCs/>
          <w:szCs w:val="21"/>
        </w:rPr>
        <w:fldChar w:fldCharType="end"/>
      </w:r>
    </w:p>
    <w:p w14:paraId="787742A3">
      <w:pPr>
        <w:pStyle w:val="7"/>
        <w:tabs>
          <w:tab w:val="right" w:leader="dot" w:pos="8820"/>
        </w:tabs>
      </w:pPr>
      <w:r>
        <w:rPr>
          <w:rFonts w:ascii="宋体" w:hAnsi="宋体"/>
          <w:bCs/>
          <w:szCs w:val="21"/>
        </w:rPr>
        <w:fldChar w:fldCharType="begin"/>
      </w:r>
      <w:r>
        <w:rPr>
          <w:rFonts w:ascii="宋体" w:hAnsi="宋体"/>
          <w:bCs/>
          <w:szCs w:val="21"/>
        </w:rPr>
        <w:instrText xml:space="preserve"> HYPERLINK \l _Toc10412 </w:instrText>
      </w:r>
      <w:r>
        <w:rPr>
          <w:rFonts w:ascii="宋体" w:hAnsi="宋体"/>
          <w:bCs/>
          <w:szCs w:val="21"/>
        </w:rPr>
        <w:fldChar w:fldCharType="separate"/>
      </w:r>
      <w:r>
        <w:rPr>
          <w:rFonts w:hint="eastAsia"/>
        </w:rPr>
        <w:t>2.2.6 资源保护技术</w:t>
      </w:r>
      <w:r>
        <w:tab/>
      </w:r>
      <w:r>
        <w:fldChar w:fldCharType="begin"/>
      </w:r>
      <w:r>
        <w:instrText xml:space="preserve"> PAGEREF _Toc10412 \h </w:instrText>
      </w:r>
      <w:r>
        <w:fldChar w:fldCharType="separate"/>
      </w:r>
      <w:r>
        <w:t>16</w:t>
      </w:r>
      <w:r>
        <w:fldChar w:fldCharType="end"/>
      </w:r>
      <w:r>
        <w:rPr>
          <w:rFonts w:ascii="宋体" w:hAnsi="宋体"/>
          <w:bCs/>
          <w:szCs w:val="21"/>
        </w:rPr>
        <w:fldChar w:fldCharType="end"/>
      </w:r>
    </w:p>
    <w:p w14:paraId="17A16372">
      <w:pPr>
        <w:pStyle w:val="7"/>
        <w:tabs>
          <w:tab w:val="right" w:leader="dot" w:pos="8820"/>
        </w:tabs>
      </w:pPr>
      <w:r>
        <w:rPr>
          <w:rFonts w:ascii="宋体" w:hAnsi="宋体"/>
          <w:bCs/>
          <w:szCs w:val="21"/>
        </w:rPr>
        <w:fldChar w:fldCharType="begin"/>
      </w:r>
      <w:r>
        <w:rPr>
          <w:rFonts w:ascii="宋体" w:hAnsi="宋体"/>
          <w:bCs/>
          <w:szCs w:val="21"/>
        </w:rPr>
        <w:instrText xml:space="preserve"> HYPERLINK \l _Toc9764 </w:instrText>
      </w:r>
      <w:r>
        <w:rPr>
          <w:rFonts w:ascii="宋体" w:hAnsi="宋体"/>
          <w:bCs/>
          <w:szCs w:val="21"/>
        </w:rPr>
        <w:fldChar w:fldCharType="separate"/>
      </w:r>
      <w:r>
        <w:rPr>
          <w:rFonts w:hint="eastAsia"/>
        </w:rPr>
        <w:t>2.2.7 名称保护</w:t>
      </w:r>
      <w:r>
        <w:tab/>
      </w:r>
      <w:r>
        <w:fldChar w:fldCharType="begin"/>
      </w:r>
      <w:r>
        <w:instrText xml:space="preserve"> PAGEREF _Toc9764 \h </w:instrText>
      </w:r>
      <w:r>
        <w:fldChar w:fldCharType="separate"/>
      </w:r>
      <w:r>
        <w:t>17</w:t>
      </w:r>
      <w:r>
        <w:fldChar w:fldCharType="end"/>
      </w:r>
      <w:r>
        <w:rPr>
          <w:rFonts w:ascii="宋体" w:hAnsi="宋体"/>
          <w:bCs/>
          <w:szCs w:val="21"/>
        </w:rPr>
        <w:fldChar w:fldCharType="end"/>
      </w:r>
    </w:p>
    <w:p w14:paraId="57DB4B45">
      <w:pPr>
        <w:pStyle w:val="10"/>
        <w:tabs>
          <w:tab w:val="right" w:leader="dot" w:pos="8820"/>
        </w:tabs>
      </w:pPr>
      <w:r>
        <w:rPr>
          <w:rFonts w:ascii="宋体" w:hAnsi="宋体"/>
          <w:bCs/>
          <w:szCs w:val="21"/>
        </w:rPr>
        <w:fldChar w:fldCharType="begin"/>
      </w:r>
      <w:r>
        <w:rPr>
          <w:rFonts w:ascii="宋体" w:hAnsi="宋体"/>
          <w:bCs/>
          <w:szCs w:val="21"/>
        </w:rPr>
        <w:instrText xml:space="preserve"> HYPERLINK \l _Toc22915 </w:instrText>
      </w:r>
      <w:r>
        <w:rPr>
          <w:rFonts w:ascii="宋体" w:hAnsi="宋体"/>
          <w:bCs/>
          <w:szCs w:val="21"/>
        </w:rPr>
        <w:fldChar w:fldCharType="separate"/>
      </w:r>
      <w:r>
        <w:rPr>
          <w:rFonts w:hint="eastAsia"/>
        </w:rPr>
        <w:t xml:space="preserve">第三章 </w:t>
      </w:r>
      <w:r>
        <w:t>项目演示过程</w:t>
      </w:r>
      <w:r>
        <w:tab/>
      </w:r>
      <w:r>
        <w:fldChar w:fldCharType="begin"/>
      </w:r>
      <w:r>
        <w:instrText xml:space="preserve"> PAGEREF _Toc22915 \h </w:instrText>
      </w:r>
      <w:r>
        <w:fldChar w:fldCharType="separate"/>
      </w:r>
      <w:r>
        <w:t>18</w:t>
      </w:r>
      <w:r>
        <w:fldChar w:fldCharType="end"/>
      </w:r>
      <w:r>
        <w:rPr>
          <w:rFonts w:ascii="宋体" w:hAnsi="宋体"/>
          <w:bCs/>
          <w:szCs w:val="21"/>
        </w:rPr>
        <w:fldChar w:fldCharType="end"/>
      </w:r>
    </w:p>
    <w:p w14:paraId="57B3E069">
      <w:pPr>
        <w:autoSpaceDE w:val="0"/>
        <w:autoSpaceDN w:val="0"/>
        <w:adjustRightInd w:val="0"/>
        <w:rPr>
          <w:rFonts w:hint="eastAsia" w:ascii="宋体" w:hAnsi="宋体" w:cs="DFKai-SB"/>
          <w:bCs/>
        </w:rPr>
      </w:pPr>
      <w:r>
        <w:rPr>
          <w:rFonts w:ascii="宋体" w:hAnsi="宋体"/>
          <w:bCs/>
          <w:szCs w:val="21"/>
        </w:rPr>
        <w:fldChar w:fldCharType="end"/>
      </w:r>
    </w:p>
    <w:p w14:paraId="2AB5100F">
      <w:pPr>
        <w:autoSpaceDE w:val="0"/>
        <w:autoSpaceDN w:val="0"/>
        <w:adjustRightInd w:val="0"/>
        <w:rPr>
          <w:rFonts w:hint="eastAsia" w:ascii="宋体" w:hAnsi="宋体" w:cs="DFKai-SB"/>
          <w:bCs/>
        </w:rPr>
        <w:sectPr>
          <w:pgSz w:w="11906" w:h="16838"/>
          <w:pgMar w:top="1440" w:right="1466" w:bottom="1440" w:left="1620" w:header="851" w:footer="992" w:gutter="0"/>
          <w:pgNumType w:fmt="decimalEnclosedCircle"/>
          <w:cols w:space="425" w:num="1"/>
          <w:docGrid w:type="lines" w:linePitch="312" w:charSpace="0"/>
        </w:sectPr>
      </w:pPr>
    </w:p>
    <w:p w14:paraId="7F35E936">
      <w:pPr>
        <w:pStyle w:val="3"/>
        <w:spacing w:line="360" w:lineRule="auto"/>
        <w:rPr>
          <w:rFonts w:hint="eastAsia" w:ascii="宋体" w:hAnsi="宋体"/>
          <w:sz w:val="32"/>
          <w:szCs w:val="32"/>
          <w:lang w:val="en-US"/>
        </w:rPr>
      </w:pPr>
      <w:bookmarkStart w:id="1" w:name="_Toc23115"/>
      <w:r>
        <w:rPr>
          <w:rFonts w:hint="eastAsia" w:ascii="宋体" w:hAnsi="宋体"/>
          <w:sz w:val="32"/>
          <w:szCs w:val="32"/>
        </w:rPr>
        <w:t>摘要</w:t>
      </w:r>
      <w:bookmarkEnd w:id="1"/>
    </w:p>
    <w:p w14:paraId="5240ADAF">
      <w:pPr>
        <w:pStyle w:val="26"/>
        <w:ind w:firstLine="420"/>
      </w:pPr>
      <w:r>
        <w:rPr>
          <w:rFonts w:hint="eastAsia"/>
        </w:rPr>
        <w:t>随着信息技术的飞速发展与软件市场的不断壮大，各类应用已深刻融入社会发展的各个领域。然而，现代软件安全正面临着前所未有的双重威胁：一方面，网络攻击手段日益隐蔽且迅速，传统漏洞预警系统存在严重滞后性；另一方面，针对软件的逆向破解与知识产权窃取行为层出不穷，现有单一的代码混淆手段已难以抵御动态调试。面对日益复杂的安全态势，单一的防护手段已捉襟见肘。为此，本项目提出并构建了“洞见”：基于深度漏洞感知与代码虚拟化的软件智能主动防御平台，旨在打造一套兼顾外部威胁预警与底层代码保护的综合性安全解决方案。</w:t>
      </w:r>
    </w:p>
    <w:p w14:paraId="1653F02A">
      <w:pPr>
        <w:pStyle w:val="26"/>
        <w:ind w:firstLine="420"/>
      </w:pPr>
      <w:bookmarkStart w:id="20" w:name="_GoBack"/>
      <w:r>
        <w:rPr>
          <w:rFonts w:hint="eastAsia"/>
          <w:b/>
          <w:bCs/>
        </w:rPr>
        <w:t>在深度漏洞感知层面</w:t>
      </w:r>
      <w:bookmarkEnd w:id="20"/>
      <w:r>
        <w:rPr>
          <w:rFonts w:hint="eastAsia"/>
        </w:rPr>
        <w:t>，针对漏洞严重性和被利用可能性预测准确率低、响应滞后的问题，平台创新性地引入了多任务深度学习架构。系统利用蒸馏版 BERT 与双向长短期记忆网络（BiLSTM）进行特征提取，精准映射至八个通用漏洞评分系统（CVSS）指标进行严重性评分预测；同时结合文本卷积神经网络与多种分类器（如多层感知机、随机森林等），并整合 PoC（概念验证）信息，实现了高准确率的漏洞可利用性二元分类；这不仅有效克服了传统预警的滞后性，还为我们制定的漏洞严重性预测算法提供了精准的数据支撑。</w:t>
      </w:r>
    </w:p>
    <w:p w14:paraId="2D3129B7">
      <w:pPr>
        <w:pStyle w:val="26"/>
        <w:ind w:firstLine="420"/>
      </w:pPr>
      <w:r>
        <w:rPr>
          <w:rFonts w:hint="eastAsia"/>
          <w:b/>
          <w:bCs/>
        </w:rPr>
        <w:t>在代码智能防御层面</w:t>
      </w:r>
      <w:r>
        <w:rPr>
          <w:rFonts w:hint="eastAsia"/>
        </w:rPr>
        <w:t>，针对 .NET 平台下 C#、VB.NET 等主流语言易被反编译的痛点，平台研发了基于代码虚拟化的底层加固引擎。该引擎摒弃了现有的“1:1 映射”加密模式，通过对MSIL 代码的深度混淆与重构，将其转换至一套完全不同的自定义指令集上运行。利用 dnSpy 等反编译软件进行对比测试表明，虚拟化过程产生的操作码能被正常执行且保持逻辑一致性，但极大地增加了还原难度。系统深度融合了常量保护、反调试、控制流混淆以及 Hash 算法、同态加密等前沿技术，有效阻止了算法窃取与软件盗版，彻底改变了传统保护手段强度不足的现状。</w:t>
      </w:r>
    </w:p>
    <w:p w14:paraId="521A1CA2">
      <w:pPr>
        <w:pStyle w:val="26"/>
        <w:ind w:firstLine="420"/>
      </w:pPr>
      <w:r>
        <w:rPr>
          <w:rFonts w:hint="eastAsia"/>
        </w:rPr>
        <w:t>综上而言，“洞见”平台实现了“事前感知预测”与“软件本体加固”的有机统一。互联网及物联网环境下的软件生态提供了坚实的防护。平台不仅提升了组织应对潜在攻击的实时响应能力，更从底层架构上保障了开发者的合法权益与知识产权。</w:t>
      </w:r>
    </w:p>
    <w:p w14:paraId="4EC953CF">
      <w:pPr>
        <w:widowControl/>
        <w:spacing w:line="240" w:lineRule="auto"/>
        <w:jc w:val="left"/>
        <w:rPr>
          <w:sz w:val="21"/>
          <w:szCs w:val="20"/>
        </w:rPr>
      </w:pPr>
      <w:r>
        <w:br w:type="page"/>
      </w:r>
    </w:p>
    <w:p w14:paraId="1CA107B0">
      <w:pPr>
        <w:pStyle w:val="3"/>
        <w:widowControl/>
        <w:spacing w:line="360" w:lineRule="auto"/>
        <w:rPr>
          <w:rFonts w:hint="eastAsia" w:ascii="宋体" w:hAnsi="宋体"/>
          <w:sz w:val="32"/>
          <w:szCs w:val="32"/>
          <w:lang w:val="en-US"/>
        </w:rPr>
      </w:pPr>
      <w:bookmarkStart w:id="2" w:name="_Toc8027"/>
      <w:r>
        <w:rPr>
          <w:rFonts w:hint="eastAsia" w:ascii="宋体" w:hAnsi="宋体"/>
          <w:sz w:val="32"/>
          <w:szCs w:val="32"/>
        </w:rPr>
        <w:t>第一章</w:t>
      </w:r>
      <w:r>
        <w:rPr>
          <w:rFonts w:hint="eastAsia" w:ascii="宋体" w:hAnsi="宋体"/>
          <w:sz w:val="32"/>
          <w:szCs w:val="32"/>
          <w:lang w:val="en-US"/>
        </w:rPr>
        <w:t xml:space="preserve"> </w:t>
      </w:r>
      <w:r>
        <w:rPr>
          <w:rFonts w:hint="eastAsia" w:ascii="宋体" w:hAnsi="宋体"/>
          <w:sz w:val="32"/>
          <w:szCs w:val="32"/>
        </w:rPr>
        <w:t>作品概述</w:t>
      </w:r>
      <w:bookmarkEnd w:id="2"/>
    </w:p>
    <w:p w14:paraId="68B0BC75">
      <w:pPr>
        <w:pStyle w:val="48"/>
        <w:rPr>
          <w:sz w:val="32"/>
        </w:rPr>
      </w:pPr>
      <w:bookmarkStart w:id="3" w:name="_Toc17059"/>
      <w:r>
        <w:rPr>
          <w:rFonts w:hint="eastAsia"/>
        </w:rPr>
        <w:t>1.1研究背景</w:t>
      </w:r>
      <w:bookmarkEnd w:id="3"/>
    </w:p>
    <w:p w14:paraId="5F3AC652">
      <w:pPr>
        <w:pStyle w:val="26"/>
        <w:ind w:firstLine="420"/>
      </w:pPr>
      <w:r>
        <w:rPr>
          <w:rFonts w:hint="eastAsia"/>
          <w:szCs w:val="24"/>
        </w:rPr>
        <w:t>随着信息技术与人工智能、物联网等新兴技术的深度融合，现代网络与软件安全</w:t>
      </w:r>
      <w:r>
        <w:rPr>
          <w:rFonts w:hint="eastAsia"/>
        </w:rPr>
        <w:t>形势呈现出前所未有的复杂性。当前，安全威胁正呈现出“内忧外患”的双重严峻态势。</w:t>
      </w:r>
    </w:p>
    <w:p w14:paraId="6CD70E41">
      <w:pPr>
        <w:pStyle w:val="26"/>
        <w:ind w:firstLine="420"/>
      </w:pPr>
      <w:r>
        <w:rPr>
          <w:rFonts w:hint="eastAsia"/>
        </w:rPr>
        <w:t>在“外患”方面，网络攻击日益猖獗且预警严重滞后。以WannaCry、Petya等勒索软件为代表的恶意攻击频</w:t>
      </w:r>
      <w:r>
        <w:rPr>
          <w:rFonts w:hint="eastAsia"/>
          <w:szCs w:val="24"/>
        </w:rPr>
        <w:t>发，给全球带来了巨大的经济损失。在传统防御体系下，恶意攻击手段日新月异，而漏洞从披露到修复存在漫长的时间差。这种安全预警的滞后性导致组织难以迅速确定修复优先级，防御往往陷于被动，实现更加实时、准确的</w:t>
      </w:r>
      <w:r>
        <w:rPr>
          <w:rFonts w:hint="eastAsia"/>
        </w:rPr>
        <w:t>漏洞预测机制已成为网络安全的关键痛点。</w:t>
      </w:r>
    </w:p>
    <w:p w14:paraId="114AC4FC">
      <w:pPr>
        <w:pStyle w:val="26"/>
        <w:ind w:firstLine="420"/>
      </w:pPr>
      <w:r>
        <w:rPr>
          <w:rFonts w:hint="eastAsia"/>
        </w:rPr>
        <w:t>在“内忧”方面，软件产权屡遭侵犯且底层代码极易被破。 软件产品是知识产权保护的核心阵地。尽管我国相关保护正处于快速发展期，但软件盗版现象依然严峻。盗版泛滥的核心根源在于软件内部代码安全性薄弱。以应用极广的.NET开发平台为例，其编译产生的MSIL中间代码犹如“伪汇编”，极易被不法分子逆向分析并窃取核心算法，严重破坏了民族软件产业的创新动力。</w:t>
      </w:r>
    </w:p>
    <w:p w14:paraId="7C73A447">
      <w:pPr>
        <w:pStyle w:val="26"/>
        <w:ind w:firstLine="420"/>
        <w:rPr>
          <w:sz w:val="28"/>
          <w:szCs w:val="28"/>
        </w:rPr>
      </w:pPr>
      <w:r>
        <w:rPr>
          <w:rFonts w:hint="eastAsia"/>
        </w:rPr>
        <w:t>随着攻击手段的更新，现有单一防御手段已难以应对复合型威胁。 目前针对MSIL代码的保护方案多依赖常量加密或控制流混淆，面对动态调试往往形同虚设；而部分号称代码虚拟化的产品，多采用极易被还原的“1:1指令映射”模式，且存在兼容性缺陷，核心代码依然暴露在极高的风险之中。当前的安全防御在“外防漏洞攻击”与“内防代码破解”上均面临技术瓶颈。面对这一现状，亟需探索新的安全范式，构建一套兼具深度漏洞感知预警与底层非对称代码虚拟化的综合性主动防御体系。这不仅是应对复杂网络攻击的必然要求，更是保护软件知识产权、维护开发者经济利益的迫切需要。</w:t>
      </w:r>
    </w:p>
    <w:p w14:paraId="7B72227D">
      <w:pPr>
        <w:pStyle w:val="48"/>
      </w:pPr>
      <w:bookmarkStart w:id="4" w:name="_Toc14871"/>
      <w:r>
        <w:rPr>
          <w:rFonts w:hint="eastAsia"/>
        </w:rPr>
        <w:t>1.2作品介绍</w:t>
      </w:r>
      <w:bookmarkEnd w:id="4"/>
    </w:p>
    <w:p w14:paraId="64A2086C">
      <w:pPr>
        <w:pStyle w:val="26"/>
        <w:ind w:firstLine="420"/>
      </w:pPr>
      <w:r>
        <w:rPr>
          <w:rFonts w:hint="eastAsia"/>
        </w:rPr>
        <w:t>“洞见”：基于深度漏洞感知与代码虚拟化的软件智能主动防御平台，是一款立足于现代复杂网络环境，将“外围威胁预警”与“内核代码加固”深度融合的综合性安全系统。本作品创新性地结合了人工智能大模型与底层编译保护技术，旨在为软件生态提供从宏观漏洞评估到微观逻辑保护的全方位防御。</w:t>
      </w:r>
    </w:p>
    <w:p w14:paraId="372A108B">
      <w:pPr>
        <w:pStyle w:val="26"/>
        <w:ind w:firstLine="420"/>
      </w:pPr>
      <w:r>
        <w:rPr>
          <w:rFonts w:hint="eastAsia"/>
        </w:rPr>
        <w:t>在</w:t>
      </w:r>
      <w:r>
        <w:rPr>
          <w:rFonts w:hint="eastAsia"/>
          <w:b/>
          <w:bCs/>
        </w:rPr>
        <w:t>深度漏洞感知层面（外防预警）</w:t>
      </w:r>
      <w:r>
        <w:rPr>
          <w:rFonts w:hint="eastAsia"/>
        </w:rPr>
        <w:t>，平台构建了基于多任务深度学习的漏洞多维属性预测模型，精准突破了传统预警滞后的技术瓶颈。本项目创新性地引入外接大语言模型，用于生成和扩充对抗性漏洞描述文本作为检测输入。随后，系统利用 DistilBERT 对这些输入文本进行自然语言预处理，将其提取的高维句向量作为下游多任务网络的共享基础。针对漏洞严重性预测，该句向量被输入至 BiLSTM 模型，通过为八个 CVSS（通用漏洞评分系统）核心指标分别独立训练网络并结合全连接层，精准计算并输出漏洞的综合严重性分数。同时，在漏洞可利用性预测方面，系统创新性地将 DistilBERT 与 TextCNN 相结合：利用 TextCNN 对 DistilBERT 生成的词向量进行深度局部特征提取，最终将多维特征拼接，实现了对漏洞被利用可能性的高准确率二元分类，从而帮助安全团队提前锁定并处置核心威胁。</w:t>
      </w:r>
    </w:p>
    <w:p w14:paraId="63C98141">
      <w:pPr>
        <w:pStyle w:val="26"/>
        <w:ind w:firstLine="420"/>
      </w:pPr>
      <w:r>
        <w:rPr>
          <w:rFonts w:hint="eastAsia"/>
        </w:rPr>
        <w:t>在</w:t>
      </w:r>
      <w:r>
        <w:rPr>
          <w:rFonts w:hint="eastAsia"/>
          <w:b/>
          <w:bCs/>
        </w:rPr>
        <w:t>智能代码防御层面（内防破解）</w:t>
      </w:r>
      <w:r>
        <w:rPr>
          <w:rFonts w:hint="eastAsia"/>
        </w:rPr>
        <w:t>，旨在为软件提供全面且高效的安全防护，是一套完整的针对C++、.NET（C#）、Java等多种编程语言的代码保护系统。基于现有的MSIL代码保护方案的不足，本系统将研发并融合多种保护手段，包括常量保护、资源保护、代码虚拟化、反调试、控制流保护等。阻止逆向工程师轻易分析代码执行流程与运行数据，将核心代码攻破或盗用；防止软件被破解和盗版、算法被竞争对手窃取，从而有效地保护个人软件开发者或企业软件开发者的合法权益。</w:t>
      </w:r>
    </w:p>
    <w:p w14:paraId="447095DF">
      <w:pPr>
        <w:pStyle w:val="26"/>
        <w:ind w:firstLine="420"/>
      </w:pPr>
      <w:r>
        <w:rPr>
          <w:rFonts w:hint="eastAsia"/>
        </w:rPr>
        <w:t>“洞见”平台紧贴真实市场需求与用户痛点，实现了安全防护的“内外兼修”。它既能利用深度学习赋能漏洞的超前预测与优先级评估，又能通过底层虚拟化赋予软件本体强大的防破解免疫力，真正构建了一套闭环的软件智能主动防御体系。</w:t>
      </w:r>
    </w:p>
    <w:p w14:paraId="2E325E22">
      <w:pPr>
        <w:pStyle w:val="48"/>
      </w:pPr>
      <w:bookmarkStart w:id="5" w:name="_Toc17860"/>
      <w:r>
        <w:rPr>
          <w:rFonts w:hint="eastAsia"/>
        </w:rPr>
        <w:t>1.3作品特色</w:t>
      </w:r>
      <w:bookmarkEnd w:id="5"/>
    </w:p>
    <w:p w14:paraId="5D521B30">
      <w:pPr>
        <w:pStyle w:val="26"/>
        <w:ind w:firstLine="420"/>
      </w:pPr>
      <w:r>
        <w:rPr>
          <w:rFonts w:hint="eastAsia"/>
        </w:rPr>
        <w:t>本作品在信息安全领域独树一帜，创新性地提出并构建了“宏观威胁感知”与“微观代码加固”相协同的双引擎防御架构。平台突破了单一防护手段的局限，其核心特色主要体现在以下四个维度：</w:t>
      </w:r>
    </w:p>
    <w:p w14:paraId="31E9DC4D">
      <w:pPr>
        <w:pStyle w:val="26"/>
        <w:ind w:firstLine="420"/>
        <w:outlineLvl w:val="3"/>
        <w:rPr>
          <w:b/>
          <w:bCs/>
        </w:rPr>
      </w:pPr>
      <w:r>
        <w:rPr>
          <w:rFonts w:hint="eastAsia"/>
          <w:b/>
          <w:bCs/>
        </w:rPr>
        <w:t>（1）</w:t>
      </w:r>
      <w:r>
        <w:rPr>
          <w:rFonts w:hint="eastAsia"/>
          <w:b/>
          <w:bCs/>
        </w:rPr>
        <w:t>融合前沿 NLP 技术的漏洞多维精准感知</w:t>
      </w:r>
    </w:p>
    <w:p w14:paraId="73B543F8">
      <w:pPr>
        <w:pStyle w:val="26"/>
        <w:ind w:firstLine="420"/>
      </w:pPr>
      <w:r>
        <w:rPr>
          <w:rFonts w:hint="eastAsia"/>
        </w:rPr>
        <w:t>在漏洞预警层面，本作品摒弃了单一视角的评估，提出了一种创新的多任务深度学习框架，能够同时对漏洞的“严重性”和“被利用可能性”进行精准预测。模型深度整合了 Transformer 和DistilBERT 等先进的自然语言处理（NLP）技术，能够从海量、非结构化的漏洞描述文本中高效提取出更为丰富的深层语义信息，极大地提高了特征提取的深度与表达能力。同时，系统引入了BiLSTM（双向长短期记忆网络）序列模型，赋予了模型强大的上下文感知能力，使其能敏锐捕捉漏洞数据中的细微差别，显著提升了泛化能力和预测准确度。</w:t>
      </w:r>
    </w:p>
    <w:p w14:paraId="0BFD84AC">
      <w:pPr>
        <w:pStyle w:val="26"/>
        <w:ind w:firstLine="420"/>
        <w:outlineLvl w:val="3"/>
        <w:rPr>
          <w:b/>
          <w:bCs/>
        </w:rPr>
      </w:pPr>
      <w:r>
        <w:rPr>
          <w:rFonts w:hint="eastAsia"/>
          <w:b/>
          <w:bCs/>
        </w:rPr>
        <w:t>（2）标准化量化体系与智能决策的深度结合</w:t>
      </w:r>
    </w:p>
    <w:p w14:paraId="17D76C77">
      <w:pPr>
        <w:pStyle w:val="26"/>
        <w:ind w:firstLine="420"/>
      </w:pPr>
      <w:r>
        <w:rPr>
          <w:rFonts w:hint="eastAsia"/>
        </w:rPr>
        <w:t>为了让 AI 的预测结果更具实操价值，本作品特别将预测模型与 CVSS（通用漏洞评分系统）进行了深度绑定。系统不是输出模糊的风险概率，而是针对 CVSS 基本向量中的每一个细分指标进行独立预测与计算。这种标准化的定量评估方法，为漏洞对受影响系统的潜在破坏力提供了一种客观的衡量标尺。通过这种多角度的量化分析，安全团队能够清晰地界定潜在威胁的边界，从而更加科学、高效地安排响应机制与修复优先级，确保安全防御资源被合理分配到最核心的薄弱环节。</w:t>
      </w:r>
    </w:p>
    <w:p w14:paraId="3E68CAA0">
      <w:pPr>
        <w:pStyle w:val="26"/>
        <w:ind w:firstLine="420"/>
        <w:outlineLvl w:val="3"/>
        <w:rPr>
          <w:b/>
          <w:bCs/>
        </w:rPr>
      </w:pPr>
      <w:r>
        <w:rPr>
          <w:rFonts w:hint="eastAsia"/>
          <w:b/>
          <w:bCs/>
        </w:rPr>
        <w:t>（3）使用新型的代码虚拟化技术保护 .NET 程序集</w:t>
      </w:r>
    </w:p>
    <w:p w14:paraId="55323B35">
      <w:pPr>
        <w:pStyle w:val="26"/>
        <w:ind w:firstLine="420"/>
      </w:pPr>
      <w:r>
        <w:rPr>
          <w:rFonts w:hint="eastAsia"/>
        </w:rPr>
        <w:t>在底层代码保护层面，平台的创新之处在于采用了新型的代码虚拟化技术。其保护原理是利用自定义的虚拟指令来模拟目标代码中的本地指令。在编译阶段，系统将虚拟指令编码成独特的字节码，并将其与一个配套的虚拟解释器一同安全地嵌入到目标程序中。在保护后的程序执行过程中，将由这个内嵌的虚拟解释器来动态解释执行字节码，从而实现和原始目标代码完全相同的功能。经过这种深度的代码虚拟化保护之后，目标代码的功能完全依赖字节码的解释执行来实现，这彻底改变了程序的执行形态，大大增加了不法分子逆向分析目标代码功能的难度。</w:t>
      </w:r>
    </w:p>
    <w:p w14:paraId="03164D5B">
      <w:pPr>
        <w:pStyle w:val="26"/>
        <w:ind w:firstLine="420"/>
        <w:outlineLvl w:val="3"/>
        <w:rPr>
          <w:b/>
          <w:bCs/>
        </w:rPr>
      </w:pPr>
      <w:r>
        <w:rPr>
          <w:rFonts w:hint="eastAsia"/>
          <w:b/>
          <w:bCs/>
        </w:rPr>
        <w:t>（4）多语言适用以及多种技术融合保护</w:t>
      </w:r>
    </w:p>
    <w:p w14:paraId="09A23B28">
      <w:pPr>
        <w:pStyle w:val="26"/>
        <w:ind w:firstLine="420"/>
      </w:pPr>
      <w:r>
        <w:rPr>
          <w:rFonts w:hint="eastAsia"/>
        </w:rPr>
        <w:t>不同于市面上防护手段单一且受限于特定平台的传统产品，该系统实现了广度和深度的双重突破。在广度上，巧妙借助Tree-sitter词法解析与.NET架构，将多语言源码统一转换为抽象语法树（AST）和底层机器语言，完美兼容C++、Java等多种主流开发语言；在深度上，系统融合了代码虚拟化、反调试、资源和常量保护等多种加密手段，将综合防护强度大幅提升，为软件核心资产构建了全方位的安全屏障。</w:t>
      </w:r>
    </w:p>
    <w:p w14:paraId="2FC42F9F">
      <w:pPr>
        <w:widowControl/>
        <w:spacing w:line="240" w:lineRule="auto"/>
        <w:jc w:val="left"/>
        <w:rPr>
          <w:rFonts w:hint="eastAsia" w:ascii="宋体" w:hAnsi="宋体"/>
          <w:szCs w:val="21"/>
        </w:rPr>
      </w:pPr>
      <w:r>
        <w:rPr>
          <w:rFonts w:hint="eastAsia" w:ascii="宋体" w:hAnsi="宋体"/>
        </w:rPr>
        <w:br w:type="page"/>
      </w:r>
    </w:p>
    <w:p w14:paraId="1463B92D">
      <w:pPr>
        <w:pStyle w:val="3"/>
        <w:rPr>
          <w:lang w:val="en-US"/>
        </w:rPr>
      </w:pPr>
      <w:bookmarkStart w:id="6" w:name="_Toc19153"/>
      <w:r>
        <w:rPr>
          <w:rFonts w:hint="eastAsia"/>
        </w:rPr>
        <w:t>第二章</w:t>
      </w:r>
      <w:r>
        <w:rPr>
          <w:rFonts w:hint="eastAsia"/>
          <w:lang w:val="en-US"/>
        </w:rPr>
        <w:t xml:space="preserve"> </w:t>
      </w:r>
      <w:r>
        <w:rPr>
          <w:rFonts w:hint="eastAsia"/>
        </w:rPr>
        <w:t>作品设计与实现</w:t>
      </w:r>
      <w:bookmarkEnd w:id="6"/>
    </w:p>
    <w:p w14:paraId="50C3B672">
      <w:pPr>
        <w:pStyle w:val="48"/>
        <w:rPr>
          <w:sz w:val="32"/>
        </w:rPr>
      </w:pPr>
      <w:bookmarkStart w:id="7" w:name="_Toc2272"/>
      <w:r>
        <w:rPr>
          <w:rFonts w:hint="eastAsia"/>
        </w:rPr>
        <w:t>2.1功能一漏洞预测的实现框架</w:t>
      </w:r>
      <w:bookmarkEnd w:id="7"/>
    </w:p>
    <w:p w14:paraId="7F3B135B">
      <w:pPr>
        <w:pStyle w:val="26"/>
        <w:ind w:firstLine="420"/>
      </w:pPr>
      <w:r>
        <w:rPr>
          <w:rFonts w:hint="eastAsia"/>
        </w:rPr>
        <w:t>系统首先接收如 CVE 的漏洞文本描述，利用 DistilBERT 模型对其进行自然语言预处理并提取出包含深层语义的共享高维句向量；随后，该特征向量被同步分发给 8 个并行的 BiLSTM 网络，分别针对 CVSS 评分系统的 8 个核心基础指标进行时序上下文特征的独立学习；接着，各个分支通过专属的全连接层（FC层）输出对应指标的具体预测结果；最终，系统汇总这 8 项指标值，并根据 CVSS 官方标准公式自动计算出漏洞的量化基础得分，据此评定出该漏洞的最终严重性等级。具体框架如图2-1所示。</w:t>
      </w:r>
    </w:p>
    <w:p w14:paraId="18628DC9">
      <w:pPr>
        <w:pStyle w:val="41"/>
        <w:rPr>
          <w:rFonts w:hint="eastAsia" w:ascii="宋体" w:hAnsi="宋体"/>
        </w:rPr>
      </w:pPr>
      <w:r>
        <w:drawing>
          <wp:inline distT="0" distB="0" distL="0" distR="0">
            <wp:extent cx="5010785" cy="1939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1218" cy="1944081"/>
                    </a:xfrm>
                    <a:prstGeom prst="rect">
                      <a:avLst/>
                    </a:prstGeom>
                  </pic:spPr>
                </pic:pic>
              </a:graphicData>
            </a:graphic>
          </wp:inline>
        </w:drawing>
      </w:r>
    </w:p>
    <w:p w14:paraId="17E61816">
      <w:pPr>
        <w:pStyle w:val="42"/>
        <w:spacing w:after="312"/>
        <w:rPr>
          <w:rFonts w:hint="eastAsia"/>
        </w:rPr>
      </w:pPr>
      <w:r>
        <w:rPr>
          <w:rFonts w:hint="eastAsia"/>
        </w:rPr>
        <w:t>图 2-1 本文提出的多任务深度学习的漏洞严重性预测框架</w:t>
      </w:r>
    </w:p>
    <w:p w14:paraId="7136C314">
      <w:pPr>
        <w:pStyle w:val="50"/>
      </w:pPr>
      <w:bookmarkStart w:id="8" w:name="_Toc22203"/>
      <w:r>
        <w:rPr>
          <w:rFonts w:hint="eastAsia"/>
        </w:rPr>
        <w:t>2.1.1漏洞预测框架中基于大语言模型的特征输入</w:t>
      </w:r>
      <w:bookmarkEnd w:id="8"/>
    </w:p>
    <w:p w14:paraId="5CE6D438">
      <w:pPr>
        <w:pStyle w:val="26"/>
        <w:ind w:firstLine="420"/>
      </w:pPr>
      <w:r>
        <w:rPr>
          <w:rFonts w:hint="eastAsia"/>
        </w:rPr>
        <w:t>本项目创新性地引入了外接大语言模型（LLM）作为漏洞感知模块的动态测试与预警数据源，极大提升了项目落地部署的适配性与实战能力。在实际检测与防御体系升级阶段，平台利用外部LLM 强大的泛化与发散能力，动态构造出贴合最新安全态势的“零日漏洞（Zero-day）”或变种漏洞描述文本。这些文本作为输入，直接送入本地已训练成熟的多任务深度学习网络（DistilBERT 结合 BiLSTM 与 TextCNN）中进行特征提取与风险预测。</w:t>
      </w:r>
      <w:r>
        <w:rPr>
          <w:rFonts w:ascii="宋体" w:hAnsi="宋体" w:cs="宋体"/>
          <w:sz w:val="24"/>
          <w:szCs w:val="24"/>
        </w:rPr>
        <w:t>这一架构设计的核心益处</w:t>
      </w:r>
      <w:r>
        <w:rPr>
          <w:rFonts w:hint="eastAsia" w:ascii="宋体" w:hAnsi="宋体" w:cs="宋体"/>
          <w:sz w:val="24"/>
          <w:szCs w:val="24"/>
        </w:rPr>
        <w:t>在于</w:t>
      </w:r>
      <w:r>
        <w:rPr>
          <w:rFonts w:hint="eastAsia"/>
        </w:rPr>
        <w:t>打破静态数据局限，提升泛化预测力，有效克服了传统固定数据集（如常规 CVE 数据）的滞后性，使系统能够前瞻性地对未知威胁进行压力测试和评估，让预警系统具备了“实战化”的演进能力，更利于项目的商业化部署与实际落地。</w:t>
      </w:r>
    </w:p>
    <w:p w14:paraId="1E684F39">
      <w:pPr>
        <w:pStyle w:val="26"/>
        <w:ind w:firstLine="420"/>
      </w:pPr>
      <w:r>
        <w:rPr>
          <w:rFonts w:hint="eastAsia"/>
        </w:rPr>
        <w:t>如图2-2所示，该示意图展示了外接大语言模型（LLM）如何作为生成器接入现有的漏洞感知平台。它是一个循环过程，由大模型根据设定的技术场景自动生成高质量的漏洞描述文本，这些文本无需外部标签，直接作为特征输入流向后续的深度学习预测框架进行多维属性分析与评估。</w:t>
      </w:r>
    </w:p>
    <w:p w14:paraId="22B4003F">
      <w:r>
        <w:drawing>
          <wp:inline distT="0" distB="0" distL="114300" distR="114300">
            <wp:extent cx="5597525" cy="4118610"/>
            <wp:effectExtent l="0" t="0" r="3175" b="152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9"/>
                    <a:stretch>
                      <a:fillRect/>
                    </a:stretch>
                  </pic:blipFill>
                  <pic:spPr>
                    <a:xfrm>
                      <a:off x="0" y="0"/>
                      <a:ext cx="5597525" cy="4118610"/>
                    </a:xfrm>
                    <a:prstGeom prst="rect">
                      <a:avLst/>
                    </a:prstGeom>
                    <a:noFill/>
                    <a:ln>
                      <a:noFill/>
                    </a:ln>
                  </pic:spPr>
                </pic:pic>
              </a:graphicData>
            </a:graphic>
          </wp:inline>
        </w:drawing>
      </w:r>
    </w:p>
    <w:p w14:paraId="6E7A2FC0">
      <w:pPr>
        <w:pStyle w:val="42"/>
        <w:spacing w:after="312"/>
        <w:rPr>
          <w:rFonts w:hint="eastAsia"/>
        </w:rPr>
      </w:pPr>
      <w:r>
        <w:rPr>
          <w:rFonts w:hint="eastAsia"/>
        </w:rPr>
        <w:t>图 2-2 外接大语言模型增强的主动防御架构图</w:t>
      </w:r>
    </w:p>
    <w:p w14:paraId="6086C1CC">
      <w:pPr>
        <w:pStyle w:val="50"/>
      </w:pPr>
      <w:bookmarkStart w:id="9" w:name="_Toc17925"/>
      <w:r>
        <w:rPr>
          <w:rFonts w:hint="eastAsia"/>
        </w:rPr>
        <w:t>2.1.2漏洞预测实现原理</w:t>
      </w:r>
      <w:bookmarkEnd w:id="9"/>
    </w:p>
    <w:p w14:paraId="2CC5A26D">
      <w:pPr>
        <w:pStyle w:val="52"/>
        <w:rPr>
          <w:rFonts w:hint="eastAsia"/>
        </w:rPr>
      </w:pPr>
      <w:r>
        <w:rPr>
          <w:rFonts w:hint="eastAsia"/>
        </w:rPr>
        <w:t>1. Transformer</w:t>
      </w:r>
    </w:p>
    <w:p w14:paraId="34F4F7FB">
      <w:pPr>
        <w:pStyle w:val="26"/>
        <w:ind w:firstLine="420"/>
      </w:pPr>
      <w:r>
        <w:rPr>
          <w:rFonts w:hint="eastAsia"/>
        </w:rPr>
        <w:t>Transformer 模型的创新架构允许高效的并行化、可扩展性和捕获序列数据中的远程依赖性的能力。团队利用 Transformer 模型的自注意力机制，使其能够学习和捕获输入标记之间的关系，而无需循环或卷积层。Transformer 模型可用于处理文本信息，例如漏洞描述，并将其编码为连续表示。然后可以使用此表示根据模型学习的关系和模式来预测漏洞的严重性。通过将其他 CVSS 指标作为输入特征，Transformer 模型可以适应多任务学习，允许同时预测各种漏洞属性，例如攻击向量、攻击复杂性和所需权限等。</w:t>
      </w:r>
    </w:p>
    <w:p w14:paraId="34DA1D7E">
      <w:pPr>
        <w:pStyle w:val="41"/>
      </w:pPr>
      <w:r>
        <w:drawing>
          <wp:inline distT="0" distB="0" distL="0" distR="0">
            <wp:extent cx="3761740" cy="2805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761740" cy="2805718"/>
                    </a:xfrm>
                    <a:prstGeom prst="rect">
                      <a:avLst/>
                    </a:prstGeom>
                  </pic:spPr>
                </pic:pic>
              </a:graphicData>
            </a:graphic>
          </wp:inline>
        </w:drawing>
      </w:r>
    </w:p>
    <w:p w14:paraId="2EAA454A">
      <w:pPr>
        <w:pStyle w:val="42"/>
        <w:spacing w:after="312"/>
        <w:rPr>
          <w:rFonts w:hint="eastAsia"/>
        </w:rPr>
      </w:pPr>
      <w:r>
        <w:rPr>
          <w:rFonts w:hint="eastAsia"/>
        </w:rPr>
        <w:t>图 2-3 Transformer 架构图，由编码器和解码器组成</w:t>
      </w:r>
    </w:p>
    <w:p w14:paraId="5530EB8B">
      <w:pPr>
        <w:pStyle w:val="26"/>
        <w:ind w:firstLine="420"/>
      </w:pPr>
      <w:r>
        <w:t>Transformer 模型在处理文本数据中的长序列和复杂关系方面表现出了卓越的性能，使其成为漏洞严重性预测任务的理想选择。团队通过利用这些预训练模型利用迁移学习的能力，使模型能够利用从对各种文本数据进行的大规模预训练中学到的大量知识。根据漏洞数据库对这些模型进行微调，可以显著提高预测性能和对不可见漏洞的泛化能力。Transformer 中的多头注意力机制可以用下式表示：</w:t>
      </w:r>
    </w:p>
    <w:p w14:paraId="50C90E29">
      <w:pPr>
        <w:pStyle w:val="26"/>
        <w:ind w:firstLine="420"/>
      </w:pPr>
      <m:oMathPara>
        <m:oMathParaPr>
          <m:jc m:val="center"/>
        </m:oMathParaPr>
        <m:oMath>
          <m:eqArr>
            <m:eqArrPr>
              <m:maxDist m:val="1"/>
              <m:ctrlPr>
                <w:rPr>
                  <w:rFonts w:ascii="Cambria Math" w:hAnsi="Cambria Math"/>
                </w:rPr>
              </m:ctrlPr>
            </m:eqArrPr>
            <m:e>
              <m:r>
                <m:rPr/>
                <w:rPr>
                  <w:rFonts w:hint="eastAsia" w:ascii="Cambria Math" w:hAnsi="Cambria Math"/>
                </w:rPr>
                <m:t>Attention</m:t>
              </m:r>
              <m:d>
                <m:dPr>
                  <m:ctrlPr>
                    <w:rPr>
                      <w:rFonts w:ascii="Cambria Math" w:hAnsi="Cambria Math"/>
                    </w:rPr>
                  </m:ctrlPr>
                </m:dPr>
                <m:e>
                  <m:r>
                    <m:rPr/>
                    <w:rPr>
                      <w:rFonts w:ascii="Cambria Math" w:hAnsi="Cambria Math"/>
                    </w:rPr>
                    <m:t>Q</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V</m:t>
                  </m:r>
                  <m:ctrlPr>
                    <w:rPr>
                      <w:rFonts w:ascii="Cambria Math" w:hAnsi="Cambria Math"/>
                    </w:rPr>
                  </m:ctrlPr>
                </m:e>
              </m:d>
              <m:r>
                <m:rPr>
                  <m:sty m:val="p"/>
                </m:rPr>
                <w:rPr>
                  <w:rFonts w:ascii="Cambria Math" w:hAnsi="Cambria Math"/>
                </w:rPr>
                <m:t>=</m:t>
              </m:r>
              <m:r>
                <m:rPr/>
                <w:rPr>
                  <w:rFonts w:ascii="Cambria Math" w:hAnsi="Cambria Math"/>
                </w:rPr>
                <m:t>softmax</m:t>
              </m:r>
              <m:d>
                <m:dPr>
                  <m:ctrlPr>
                    <w:rPr>
                      <w:rFonts w:ascii="Cambria Math" w:hAnsi="Cambria Math"/>
                    </w:rPr>
                  </m:ctrlPr>
                </m:dPr>
                <m:e>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2−1</m:t>
                  </m:r>
                  <m:ctrlPr>
                    <w:rPr>
                      <w:rFonts w:ascii="Cambria Math" w:hAnsi="Cambria Math"/>
                    </w:rPr>
                  </m:ctrlPr>
                </m:e>
              </m:d>
              <m:ctrlPr>
                <w:rPr>
                  <w:rFonts w:ascii="Cambria Math" w:hAnsi="Cambria Math"/>
                </w:rPr>
              </m:ctrlPr>
            </m:e>
          </m:eqArr>
        </m:oMath>
      </m:oMathPara>
    </w:p>
    <w:p w14:paraId="4C310C7E">
      <w:pPr>
        <w:pStyle w:val="52"/>
        <w:rPr>
          <w:rFonts w:hint="eastAsia"/>
        </w:rPr>
      </w:pPr>
      <w:r>
        <w:rPr>
          <w:rFonts w:hint="eastAsia"/>
        </w:rPr>
        <w:t xml:space="preserve">2. DistilBERT </w:t>
      </w:r>
    </w:p>
    <w:p w14:paraId="10B91033">
      <w:pPr>
        <w:pStyle w:val="26"/>
        <w:ind w:firstLine="420"/>
      </w:pPr>
      <w:r>
        <w:rPr>
          <w:rFonts w:hint="eastAsia"/>
        </w:rPr>
        <w:t>DistilBERT 是 BERT 的更小、更快的版本，BERT 是一种用于自然语言处理任务的预训练语言模型。在漏洞严重性预测中，DistilBERT 用于根据漏洞的描述对漏洞的严重性进行分类。Transformer 编码器负责处理输入数据并提取相关特征。它通过堆叠多层自注意力和前馈神经网络来实现这一点。Self-attention 是一种机制，允许模型在计算每个词的表示时权衡输入序列中每个词的重要性。这允许模型捕获单词与其上下文之间的复杂关系。前馈神经网络用于将自注意力层的输出转换为可供下一层使用的更高级别的表示。Transformer 编码器可以通过在其之上添加特定于任务的层来针对特定任务进行微调。分类层负责根据转换器编码器的输出预测漏洞的严重性。在漏洞严重性预测中，分类层通常是一个简单的前馈神经网络，它将变换器编码器的输出作为输入，并输出可能的严重性的概率分布，然后选择概率最高的标签作为预测的严重程度。</w:t>
      </w:r>
    </w:p>
    <w:p w14:paraId="26AF2083">
      <w:pPr>
        <w:pStyle w:val="26"/>
        <w:ind w:firstLine="420"/>
      </w:pPr>
      <w:r>
        <w:rPr>
          <w:rFonts w:hint="eastAsia"/>
        </w:rPr>
        <w:t>使用 DistilBERT 进行漏洞严重性预测的一个优势是它是一个预训练模型，这意味着它已经从大量文本中学习了很多关于自然语言的知识。这使得它可以很好地泛化到训练数据有限的新任务。另一个优势是它是一个深度神经网络，这意味着它可以捕获单词与其上下文之间的复杂关系。这对于漏洞严重性预测很重要，因为漏洞的严重性可能取决于其描述中的细微差别。</w:t>
      </w:r>
    </w:p>
    <w:p w14:paraId="277F0CF8">
      <w:pPr>
        <w:pStyle w:val="26"/>
        <w:ind w:firstLine="420"/>
      </w:pPr>
      <w:r>
        <w:rPr>
          <w:rFonts w:hint="eastAsia"/>
        </w:rPr>
        <w:t>DistilBERT 在减小模型大小和计算需求的同时，保留了 BERT 的大部分性能，DistilBERT 可用于从漏洞描述中提取有意义的信息，并学习漏洞特征与 CVSS 指标之间的关系。DistilBERT 的较小尺寸和较低计算需求使其成为实际应用中资源有限环境的理想选择。知识蒸馏可以用以下公式表示：</w:t>
      </w:r>
    </w:p>
    <w:p w14:paraId="50215598">
      <w:pPr>
        <w:pStyle w:val="26"/>
        <w:ind w:firstLine="420"/>
      </w:pPr>
      <m:oMathPara>
        <m:oMath>
          <m:eqArr>
            <m:eqArrPr>
              <m:maxDist m:val="1"/>
              <m:ctrlPr>
                <w:rPr>
                  <w:rFonts w:ascii="Cambria Math" w:hAnsi="Cambria Math"/>
                  <w:i/>
                </w:rPr>
              </m:ctrlPr>
            </m:eqArrPr>
            <m:e>
              <m:r>
                <m:rPr/>
                <w:rPr>
                  <w:rFonts w:ascii="Cambria Math" w:hAnsi="Cambria Math"/>
                </w:rPr>
                <m:t xml:space="preserve">L= α× </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CE</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1−α</m:t>
                  </m:r>
                  <m:ctrlPr>
                    <w:rPr>
                      <w:rFonts w:ascii="Cambria Math" w:hAnsi="Cambria Math"/>
                      <w:i/>
                    </w:rPr>
                  </m:ctrlPr>
                </m:e>
              </m:d>
              <m:r>
                <m:rPr/>
                <w:rPr>
                  <w:rFonts w:ascii="Cambria Math" w:hAnsi="Cambria Math"/>
                </w:rPr>
                <m:t>×</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 xml:space="preserve"> × </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KD</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2−2</m:t>
                  </m:r>
                  <m:ctrlPr>
                    <w:rPr>
                      <w:rFonts w:ascii="Cambria Math" w:hAnsi="Cambria Math"/>
                      <w:i/>
                    </w:rPr>
                  </m:ctrlPr>
                </m:e>
              </m:d>
              <m:ctrlPr>
                <w:rPr>
                  <w:rFonts w:ascii="Cambria Math" w:hAnsi="Cambria Math"/>
                  <w:i/>
                </w:rPr>
              </m:ctrlPr>
            </m:e>
          </m:eqArr>
        </m:oMath>
      </m:oMathPara>
    </w:p>
    <w:p w14:paraId="29DD7758">
      <w:pPr>
        <w:pStyle w:val="26"/>
        <w:ind w:firstLine="420"/>
      </w:pPr>
      <w:r>
        <w:rPr>
          <w:rFonts w:hint="eastAsia"/>
        </w:rPr>
        <w:t xml:space="preserve">其中 </w:t>
      </w:r>
      <m:oMath>
        <m:r>
          <m:rPr/>
          <w:rPr>
            <w:rFonts w:ascii="Cambria Math" w:hAnsi="Cambria Math"/>
          </w:rPr>
          <m:t>L</m:t>
        </m:r>
      </m:oMath>
      <w:r>
        <w:rPr>
          <w:rFonts w:hint="eastAsia"/>
        </w:rPr>
        <w:t xml:space="preserve"> 是总损失，</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CE</m:t>
            </m:r>
            <m:ctrlPr>
              <w:rPr>
                <w:rFonts w:ascii="Cambria Math" w:hAnsi="Cambria Math"/>
                <w:i/>
              </w:rPr>
            </m:ctrlPr>
          </m:sub>
        </m:sSub>
      </m:oMath>
      <w:r>
        <w:rPr>
          <w:rFonts w:hint="eastAsia"/>
        </w:rPr>
        <w:t xml:space="preserve"> 是 Student 模型预测与真实标签之间的交叉熵损失，</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KD</m:t>
            </m:r>
            <m:ctrlPr>
              <w:rPr>
                <w:rFonts w:ascii="Cambria Math" w:hAnsi="Cambria Math"/>
                <w:i/>
              </w:rPr>
            </m:ctrlPr>
          </m:sub>
        </m:sSub>
      </m:oMath>
      <w:r>
        <w:rPr>
          <w:rFonts w:hint="eastAsia"/>
        </w:rPr>
        <w:t xml:space="preserve"> 是 Student模型预测与 Teacher 模型预测之间的知识蒸馏损失，是控制两个损失之间权衡的超参数， </w:t>
      </w:r>
      <m:oMath>
        <m:r>
          <m:rPr/>
          <w:rPr>
            <w:rFonts w:hint="eastAsia" w:ascii="Cambria Math" w:hAnsi="Cambria Math"/>
          </w:rPr>
          <m:t>T</m:t>
        </m:r>
      </m:oMath>
      <w:r>
        <w:rPr>
          <w:rFonts w:hint="eastAsia"/>
        </w:rPr>
        <w:t xml:space="preserve"> 是控制应用于 Teacher 模型预测的平滑程度的温度超参数。</w:t>
      </w:r>
    </w:p>
    <w:p w14:paraId="30383D9E">
      <w:pPr>
        <w:pStyle w:val="26"/>
        <w:ind w:firstLine="420"/>
      </w:pPr>
      <w:r>
        <w:rPr>
          <w:rFonts w:hint="eastAsia"/>
        </w:rPr>
        <w:t>在漏洞严重等级预测中 DistilBERT 可以在包含漏洞描述及其相应 CVSS 指标的数据集上进行微调。微调过程包括调整模型参数以最小化特定任务的预测误差。一旦模型经过微调，就可以用来预测新的、未见过的漏洞描述的 CVSS 分数和其他相关指标。通过利用 DistilBERT 的高效架构和知识蒸馏过程，可以为漏洞风险等级预测创建一个轻量级且准确的预测模型。</w:t>
      </w:r>
    </w:p>
    <w:p w14:paraId="78A09749">
      <w:pPr>
        <w:pStyle w:val="52"/>
        <w:rPr>
          <w:rFonts w:hint="eastAsia"/>
        </w:rPr>
      </w:pPr>
      <w:r>
        <w:rPr>
          <w:rFonts w:hint="eastAsia"/>
        </w:rPr>
        <w:t>3. BiLSTM</w:t>
      </w:r>
    </w:p>
    <w:p w14:paraId="43D8B0E6">
      <w:pPr>
        <w:pStyle w:val="26"/>
        <w:ind w:firstLine="420"/>
      </w:pPr>
      <w:r>
        <w:rPr>
          <w:rFonts w:hint="eastAsia"/>
        </w:rPr>
        <w:t>BiLSTM 模型的主要架构由两个独立的 LSTM 组成，每个 LSTM 以相反的方向（向前和向后）处理输入序列。然后以某种方式连接或组合前向和后向 LSTM 的输出，以形成序列中每个标记的最终输出表示。在漏洞严重性预测中，BiLSTM 模型可以在漏洞数据库上进行训练，以学习漏洞描述与其相应严重性级别之间的模式和关系。BiLSTM 模型可以与其他深度学习技术相结合，例如自注意力机制或预训练嵌入，以进一步增强其表示学习能力。</w:t>
      </w:r>
    </w:p>
    <w:p w14:paraId="6B073840">
      <w:pPr>
        <w:pStyle w:val="41"/>
      </w:pPr>
      <w:r>
        <w:drawing>
          <wp:inline distT="0" distB="0" distL="0" distR="0">
            <wp:extent cx="3568700" cy="1316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568700" cy="1316971"/>
                    </a:xfrm>
                    <a:prstGeom prst="rect">
                      <a:avLst/>
                    </a:prstGeom>
                  </pic:spPr>
                </pic:pic>
              </a:graphicData>
            </a:graphic>
          </wp:inline>
        </w:drawing>
      </w:r>
    </w:p>
    <w:p w14:paraId="0F05E125">
      <w:pPr>
        <w:pStyle w:val="42"/>
        <w:spacing w:after="312"/>
        <w:rPr>
          <w:rFonts w:hint="eastAsia"/>
        </w:rPr>
      </w:pPr>
      <w:r>
        <w:rPr>
          <w:rFonts w:hint="eastAsia"/>
        </w:rPr>
        <w:t xml:space="preserve">图 2-4 BiLSTM 模型，由两个反向到 LSTM 模型组合而成 </w:t>
      </w:r>
    </w:p>
    <w:p w14:paraId="6F9AFF83">
      <w:pPr>
        <w:pStyle w:val="42"/>
        <w:spacing w:after="312"/>
        <w:rPr>
          <w:rFonts w:hint="eastAsia"/>
        </w:rPr>
      </w:pPr>
    </w:p>
    <w:p w14:paraId="284931D6">
      <w:pPr>
        <w:pStyle w:val="50"/>
      </w:pPr>
      <w:bookmarkStart w:id="10" w:name="_Toc23242"/>
      <w:r>
        <w:rPr>
          <w:rFonts w:hint="eastAsia"/>
        </w:rPr>
        <w:t>2.1.3漏洞严重性预测算法</w:t>
      </w:r>
      <w:bookmarkEnd w:id="10"/>
    </w:p>
    <w:p w14:paraId="1B09B24A">
      <w:pPr>
        <w:pStyle w:val="26"/>
        <w:ind w:firstLine="420"/>
      </w:pPr>
      <w:r>
        <w:t>团队提出的多任务深度学习的漏洞严重性预测方法，核心思想是利用DistilBERT 和 BiLSTM 模型的优势，分别为八个 CVSS 指标训练模型，然后使用全连接层和激活函数实现对每个指标值的预测，最后分别将八个预测结果通过 CVSS 评分系统计算漏洞严重性评分。具体来说，首先采用高级语言模型 DistilBERT 对漏洞描述进行预训练，并从非结构化文本中有效地提取语义特征。所使用的 DistilBERT 模型包含 6 个 Transformer 编码器层，每一层都包含一个自注意力机制和一个位置前馈神经网络。自注意力机制帮助模型理解句子中单词之间的上下文关系。给定一个标记化的句子，每个标记的输入表示是其词嵌入和位置编码的组合。图 3-11 所示该模型处理输入句子并输出一系列向量， 每个向量对应于输入中的一个标记。DistilBERT 模型的输出可以表示为</w:t>
      </w:r>
      <w:r>
        <w:rPr>
          <w:rFonts w:hint="eastAsia"/>
        </w:rPr>
        <w:t>：</w:t>
      </w:r>
    </w:p>
    <w:p w14:paraId="5E0988AA">
      <w:pPr>
        <w:pStyle w:val="26"/>
        <w:ind w:firstLine="420"/>
        <w:rPr>
          <w:rFonts w:hint="eastAsia" w:ascii="Time New Roman" w:hAnsi="Time New Roman"/>
          <w:color w:val="000000"/>
        </w:rPr>
      </w:pPr>
      <m:oMathPara>
        <m:oMath>
          <m:eqArr>
            <m:eqArrPr>
              <m:maxDist m:val="1"/>
              <m:ctrlPr>
                <w:rPr>
                  <w:rFonts w:ascii="Cambria Math" w:hAnsi="Cambria Math" w:cs="DFKai-SB"/>
                  <w:i/>
                  <w:color w:val="000000"/>
                </w:rPr>
              </m:ctrlPr>
            </m:eqArrPr>
            <m:e>
              <m:r>
                <m:rPr/>
                <w:rPr>
                  <w:rFonts w:ascii="Cambria Math" w:hAnsi="Cambria Math" w:eastAsia="TimesNewRomanPS"/>
                  <w:color w:val="000000"/>
                </w:rPr>
                <m:t xml:space="preserve">O </m:t>
              </m:r>
              <m:r>
                <m:rPr/>
                <w:rPr>
                  <w:rFonts w:ascii="Cambria Math" w:hAnsi="Cambria Math" w:eastAsia="SymbolMT"/>
                  <w:color w:val="000000"/>
                </w:rPr>
                <m:t>=</m:t>
              </m:r>
              <m:r>
                <m:rPr/>
                <w:rPr>
                  <w:rFonts w:ascii="Cambria Math" w:hAnsi="Cambria Math" w:eastAsia="TimesNewRomanPSMT"/>
                  <w:color w:val="000000"/>
                </w:rPr>
                <m:t xml:space="preserve"> DistilBERT</m:t>
              </m:r>
              <m:d>
                <m:dPr>
                  <m:ctrlPr>
                    <w:rPr>
                      <w:rFonts w:ascii="Cambria Math" w:hAnsi="Cambria Math" w:eastAsia="SymbolMT"/>
                      <w:i/>
                      <w:color w:val="000000"/>
                    </w:rPr>
                  </m:ctrlPr>
                </m:dPr>
                <m:e>
                  <m:r>
                    <m:rPr/>
                    <w:rPr>
                      <w:rFonts w:ascii="Cambria Math" w:hAnsi="Cambria Math" w:eastAsia="TimesNewRomanPS"/>
                      <w:color w:val="000000"/>
                    </w:rPr>
                    <m:t>T</m:t>
                  </m:r>
                  <m:ctrlPr>
                    <w:rPr>
                      <w:rFonts w:ascii="Cambria Math" w:hAnsi="Cambria Math" w:eastAsia="SymbolMT"/>
                      <w:i/>
                      <w:color w:val="000000"/>
                    </w:rPr>
                  </m:ctrlPr>
                </m:e>
              </m:d>
              <m:r>
                <m:rPr/>
                <w:rPr>
                  <w:rFonts w:ascii="Cambria Math" w:hAnsi="Cambria Math" w:eastAsia="TimesNewRomanPS"/>
                  <w:color w:val="000000"/>
                </w:rPr>
                <m:t>#</m:t>
              </m:r>
              <m:d>
                <m:dPr>
                  <m:ctrlPr>
                    <w:rPr>
                      <w:rFonts w:ascii="Cambria Math" w:hAnsi="Cambria Math" w:cs="DFKai-SB"/>
                      <w:i/>
                      <w:color w:val="000000"/>
                    </w:rPr>
                  </m:ctrlPr>
                </m:dPr>
                <m:e>
                  <m:r>
                    <m:rPr/>
                    <w:rPr>
                      <w:rFonts w:ascii="Cambria Math" w:hAnsi="Cambria Math" w:cs="DFKai-SB"/>
                      <w:color w:val="000000"/>
                    </w:rPr>
                    <m:t>2−3</m:t>
                  </m:r>
                  <m:ctrlPr>
                    <w:rPr>
                      <w:rFonts w:ascii="Cambria Math" w:hAnsi="Cambria Math" w:cs="DFKai-SB"/>
                      <w:i/>
                      <w:color w:val="000000"/>
                    </w:rPr>
                  </m:ctrlPr>
                </m:e>
              </m:d>
              <m:ctrlPr>
                <w:rPr>
                  <w:rFonts w:ascii="Cambria Math" w:hAnsi="Cambria Math" w:eastAsia="TimesNewRomanPS"/>
                  <w:i/>
                  <w:color w:val="000000"/>
                </w:rPr>
              </m:ctrlPr>
            </m:e>
          </m:eqArr>
        </m:oMath>
      </m:oMathPara>
    </w:p>
    <w:p w14:paraId="2ECCBC0C">
      <w:pPr>
        <w:pStyle w:val="26"/>
        <w:ind w:firstLine="420"/>
        <w:rPr>
          <w:bCs/>
        </w:rPr>
      </w:pPr>
      <w:r>
        <w:t>其中</w:t>
      </w:r>
      <m:oMath>
        <m:r>
          <m:rPr/>
          <w:rPr>
            <w:rFonts w:ascii="Cambria Math" w:hAnsi="Cambria Math"/>
          </w:rPr>
          <m:t>O</m:t>
        </m:r>
      </m:oMath>
      <w:r>
        <w:t xml:space="preserve"> 是向量的输出序列，</w:t>
      </w:r>
      <m:oMath>
        <m:r>
          <m:rPr/>
          <w:rPr>
            <w:rFonts w:ascii="Cambria Math" w:hAnsi="Cambria Math"/>
          </w:rPr>
          <m:t>T</m:t>
        </m:r>
      </m:oMath>
      <w:r>
        <w:t xml:space="preserve"> 是标记化的输入句子。对于漏洞严重性预测任务，只保留输出序列中第一个向量，对应于</w:t>
      </w:r>
      <m:oMath>
        <m:r>
          <m:rPr/>
          <w:rPr>
            <w:rFonts w:ascii="Cambria Math" w:hAnsi="Cambria Math"/>
          </w:rPr>
          <m:t>[CLS]</m:t>
        </m:r>
      </m:oMath>
      <w:r>
        <w:t>标记，以供进一步处理：</w:t>
      </w:r>
    </w:p>
    <w:p w14:paraId="7F56ED79">
      <w:pPr>
        <w:pStyle w:val="26"/>
        <w:ind w:firstLine="420"/>
        <w:rPr>
          <w:rFonts w:hint="eastAsia" w:ascii="Time New Roman" w:hAnsi="Time New Roman"/>
          <w:bCs/>
        </w:rPr>
      </w:pPr>
      <m:oMathPara>
        <m:oMath>
          <m:eqArr>
            <m:eqArrPr>
              <m:maxDist m:val="1"/>
              <m:ctrlPr>
                <w:rPr>
                  <w:rFonts w:ascii="Cambria Math" w:hAnsi="Cambria Math" w:cs="DFKai-SB"/>
                  <w:bCs/>
                  <w:i/>
                </w:rPr>
              </m:ctrlPr>
            </m:eqArrPr>
            <m:e>
              <m:sSub>
                <m:sSubPr>
                  <m:ctrlPr>
                    <w:rPr>
                      <w:rFonts w:ascii="Cambria Math" w:hAnsi="Cambria Math" w:cs="DFKai-SB"/>
                      <w:bCs/>
                      <w:i/>
                    </w:rPr>
                  </m:ctrlPr>
                </m:sSubPr>
                <m:e>
                  <m:r>
                    <m:rPr/>
                    <w:rPr>
                      <w:rFonts w:ascii="Cambria Math" w:hAnsi="Cambria Math" w:cs="DFKai-SB"/>
                    </w:rPr>
                    <m:t>O</m:t>
                  </m:r>
                  <m:ctrlPr>
                    <w:rPr>
                      <w:rFonts w:ascii="Cambria Math" w:hAnsi="Cambria Math" w:cs="DFKai-SB"/>
                      <w:bCs/>
                      <w:i/>
                    </w:rPr>
                  </m:ctrlPr>
                </m:e>
                <m:sub>
                  <m:r>
                    <m:rPr/>
                    <w:rPr>
                      <w:rFonts w:ascii="Cambria Math" w:hAnsi="Cambria Math" w:cs="DFKai-SB"/>
                    </w:rPr>
                    <m:t>cls</m:t>
                  </m:r>
                  <m:ctrlPr>
                    <w:rPr>
                      <w:rFonts w:ascii="Cambria Math" w:hAnsi="Cambria Math" w:cs="DFKai-SB"/>
                      <w:bCs/>
                      <w:i/>
                    </w:rPr>
                  </m:ctrlPr>
                </m:sub>
              </m:sSub>
              <m:r>
                <m:rPr/>
                <w:rPr>
                  <w:rFonts w:ascii="Cambria Math" w:hAnsi="Cambria Math" w:cs="DFKai-SB"/>
                </w:rPr>
                <m:t>=O</m:t>
              </m:r>
              <m:d>
                <m:dPr>
                  <m:begChr m:val="["/>
                  <m:endChr m:val="]"/>
                  <m:ctrlPr>
                    <w:rPr>
                      <w:rFonts w:ascii="Cambria Math" w:hAnsi="Cambria Math" w:cs="DFKai-SB"/>
                      <w:bCs/>
                      <w:i/>
                    </w:rPr>
                  </m:ctrlPr>
                </m:dPr>
                <m:e>
                  <m:r>
                    <m:rPr/>
                    <w:rPr>
                      <w:rFonts w:ascii="Cambria Math" w:hAnsi="Cambria Math" w:cs="DFKai-SB"/>
                    </w:rPr>
                    <m:t>0</m:t>
                  </m:r>
                  <m:ctrlPr>
                    <w:rPr>
                      <w:rFonts w:ascii="Cambria Math" w:hAnsi="Cambria Math" w:cs="DFKai-SB"/>
                      <w:bCs/>
                      <w:i/>
                    </w:rPr>
                  </m:ctrlPr>
                </m:e>
              </m:d>
              <m:r>
                <m:rPr/>
                <w:rPr>
                  <w:rFonts w:ascii="Cambria Math" w:hAnsi="Cambria Math" w:cs="DFKai-SB"/>
                </w:rPr>
                <m:t>#</m:t>
              </m:r>
              <m:d>
                <m:dPr>
                  <m:ctrlPr>
                    <w:rPr>
                      <w:rFonts w:ascii="Cambria Math" w:hAnsi="Cambria Math" w:cs="DFKai-SB"/>
                      <w:bCs/>
                      <w:i/>
                    </w:rPr>
                  </m:ctrlPr>
                </m:dPr>
                <m:e>
                  <m:r>
                    <m:rPr/>
                    <w:rPr>
                      <w:rFonts w:ascii="Cambria Math" w:hAnsi="Cambria Math" w:cs="DFKai-SB"/>
                    </w:rPr>
                    <m:t>2−4</m:t>
                  </m:r>
                  <m:ctrlPr>
                    <w:rPr>
                      <w:rFonts w:ascii="Cambria Math" w:hAnsi="Cambria Math" w:cs="DFKai-SB"/>
                      <w:bCs/>
                      <w:i/>
                    </w:rPr>
                  </m:ctrlPr>
                </m:e>
              </m:d>
              <m:ctrlPr>
                <w:rPr>
                  <w:rFonts w:ascii="Cambria Math" w:hAnsi="Cambria Math" w:cs="DFKai-SB"/>
                  <w:bCs/>
                  <w:i/>
                </w:rPr>
              </m:ctrlPr>
            </m:e>
          </m:eqArr>
        </m:oMath>
      </m:oMathPara>
    </w:p>
    <w:p w14:paraId="44E14859">
      <w:pPr>
        <w:pStyle w:val="26"/>
        <w:ind w:firstLine="420"/>
        <w:rPr>
          <w:bCs/>
        </w:rPr>
      </w:pPr>
      <w:r>
        <w:t>其中</w:t>
      </w:r>
      <m:oMath>
        <m:r>
          <m:rPr/>
          <w:rPr>
            <w:rFonts w:ascii="Cambria Math" w:hAnsi="Cambria Math"/>
          </w:rPr>
          <m:t>[CLS]</m:t>
        </m:r>
      </m:oMath>
      <w:r>
        <w:t>标记向量</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cls</m:t>
            </m:r>
            <m:ctrlPr>
              <w:rPr>
                <w:rFonts w:ascii="Cambria Math" w:hAnsi="Cambria Math"/>
                <w:i/>
              </w:rPr>
            </m:ctrlPr>
          </m:sub>
        </m:sSub>
      </m:oMath>
      <w:r>
        <w:t>捕获输入句子的整体语义信息，并作为整个句子的摘要表示。剩余的标记向量被丢弃，因为多任务深度学习框架中的后续步骤不需要它们。</w:t>
      </w:r>
    </w:p>
    <w:p w14:paraId="11A14EE2">
      <w:pPr>
        <w:pStyle w:val="41"/>
        <w:rPr>
          <w:rFonts w:hint="eastAsia" w:ascii="宋体" w:hAnsi="宋体" w:cs="DFKai-SB"/>
          <w:bCs/>
        </w:rPr>
      </w:pPr>
      <w:r>
        <w:drawing>
          <wp:inline distT="0" distB="0" distL="0" distR="0">
            <wp:extent cx="3413760" cy="2319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413760" cy="2320193"/>
                    </a:xfrm>
                    <a:prstGeom prst="rect">
                      <a:avLst/>
                    </a:prstGeom>
                  </pic:spPr>
                </pic:pic>
              </a:graphicData>
            </a:graphic>
          </wp:inline>
        </w:drawing>
      </w:r>
    </w:p>
    <w:p w14:paraId="745BF1B1">
      <w:pPr>
        <w:pStyle w:val="42"/>
        <w:spacing w:after="312"/>
        <w:rPr>
          <w:rFonts w:hint="eastAsia"/>
        </w:rPr>
      </w:pPr>
      <w:r>
        <w:rPr>
          <w:rFonts w:hint="eastAsia"/>
        </w:rPr>
        <w:t>图 2-5 本文提出的多任务深度学习的漏洞严重性预测算法中的 DistilBERT 预训练模型</w:t>
      </w:r>
    </w:p>
    <w:p w14:paraId="0653F8FB">
      <w:pPr>
        <w:pStyle w:val="26"/>
        <w:ind w:firstLine="420"/>
      </w:pPr>
      <w:r>
        <w:t>该模型包含 6 个 Transformer 编码器层，每个 Transformer 编码器层的输入和输出向量的维度为 d_model=768，而多头自注意力模块由 h=12 个独立的注意力机制组成，前馈神经网络包括一个中间大小为 d_ff=3072 的隐藏层。</w:t>
      </w:r>
    </w:p>
    <w:p w14:paraId="5E837B64">
      <w:pPr>
        <w:pStyle w:val="26"/>
        <w:ind w:firstLine="420"/>
      </w:pPr>
      <w:r>
        <w:t>多任务深度学习架构将预训练的 DistilBERT 模型与 BiLSTM 模型相结合。对于每个CVSS 基本指标，构建一个单独的 BiLSTM 模型。而 BiLSTM 则是有两个反方向的LSTM 组合而成，其中 LSTM 模型如图 2-5 所示，由以下等式定义：</w:t>
      </w:r>
    </w:p>
    <w:p w14:paraId="75218CBB">
      <w:pPr>
        <w:pStyle w:val="26"/>
        <w:ind w:firstLine="420"/>
      </w:pPr>
      <w:r>
        <w:rPr>
          <w:rFonts w:hint="eastAsia"/>
        </w:rPr>
        <w:t>Input gate:</w:t>
      </w:r>
    </w:p>
    <w:p w14:paraId="2320E73C">
      <w:pPr>
        <w:pStyle w:val="26"/>
        <w:ind w:firstLine="420"/>
        <w:rPr>
          <w:rFonts w:hint="eastAsia" w:ascii="宋体" w:hAnsi="宋体" w:cs="DFKai-SB"/>
          <w:bCs/>
        </w:rPr>
      </w:pPr>
      <m:oMathPara>
        <m:oMath>
          <m:eqArr>
            <m:eqArrPr>
              <m:maxDist m:val="1"/>
              <m:ctrlPr>
                <w:rPr>
                  <w:rFonts w:ascii="Cambria Math" w:hAnsi="Cambria Math" w:cs="DFKai-SB"/>
                  <w:bCs/>
                  <w:i/>
                </w:rPr>
              </m:ctrlPr>
            </m:eqArrPr>
            <m:e>
              <m:sSub>
                <m:sSubPr>
                  <m:ctrlPr>
                    <w:rPr>
                      <w:rFonts w:ascii="Cambria Math" w:hAnsi="Cambria Math" w:cs="DFKai-SB"/>
                      <w:bCs/>
                      <w:i/>
                    </w:rPr>
                  </m:ctrlPr>
                </m:sSubPr>
                <m:e>
                  <m:r>
                    <m:rPr/>
                    <w:rPr>
                      <w:rFonts w:ascii="Cambria Math" w:hAnsi="Cambria Math" w:cs="DFKai-SB"/>
                    </w:rPr>
                    <m:t>i</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σ</m:t>
              </m:r>
              <m:d>
                <m:dPr>
                  <m:ctrlPr>
                    <w:rPr>
                      <w:rFonts w:ascii="Cambria Math" w:hAnsi="Cambria Math" w:cs="DFKai-SB"/>
                      <w:bCs/>
                      <w:i/>
                    </w:rPr>
                  </m:ctrlPr>
                </m:dPr>
                <m:e>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ii</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x</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ii</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hi</m:t>
                      </m:r>
                      <m:ctrlPr>
                        <w:rPr>
                          <w:rFonts w:ascii="Cambria Math" w:hAnsi="Cambria Math" w:cs="DFKai-SB"/>
                          <w:bCs/>
                          <w:i/>
                        </w:rPr>
                      </m:ctrlPr>
                    </m:sub>
                  </m:sSub>
                  <m:r>
                    <m:rPr/>
                    <w:rPr>
                      <w:rFonts w:ascii="Cambria Math" w:hAnsi="Cambria Math" w:cs="DFKai-SB"/>
                    </w:rPr>
                    <m:t>×</m:t>
                  </m:r>
                  <m:sSub>
                    <m:sSubPr>
                      <m:ctrlPr>
                        <w:rPr>
                          <w:rFonts w:ascii="Cambria Math" w:hAnsi="Cambria Math" w:cs="DFKai-SB"/>
                          <w:bCs/>
                          <w:i/>
                        </w:rPr>
                      </m:ctrlPr>
                    </m:sSubPr>
                    <m:e>
                      <m:r>
                        <m:rPr/>
                        <w:rPr>
                          <w:rFonts w:ascii="Cambria Math" w:hAnsi="Cambria Math" w:cs="DFKai-SB"/>
                        </w:rPr>
                        <m:t>h</m:t>
                      </m:r>
                      <m:ctrlPr>
                        <w:rPr>
                          <w:rFonts w:ascii="Cambria Math" w:hAnsi="Cambria Math" w:cs="DFKai-SB"/>
                          <w:bCs/>
                          <w:i/>
                        </w:rPr>
                      </m:ctrlPr>
                    </m:e>
                    <m:sub>
                      <m:d>
                        <m:dPr>
                          <m:ctrlPr>
                            <w:rPr>
                              <w:rFonts w:ascii="Cambria Math" w:hAnsi="Cambria Math" w:cs="DFKai-SB"/>
                              <w:bCs/>
                              <w:i/>
                            </w:rPr>
                          </m:ctrlPr>
                        </m:dPr>
                        <m:e>
                          <m:r>
                            <m:rPr/>
                            <w:rPr>
                              <w:rFonts w:ascii="Cambria Math" w:hAnsi="Cambria Math" w:cs="DFKai-SB"/>
                            </w:rPr>
                            <m:t>t−1</m:t>
                          </m:r>
                          <m:ctrlPr>
                            <w:rPr>
                              <w:rFonts w:ascii="Cambria Math" w:hAnsi="Cambria Math" w:cs="DFKai-SB"/>
                              <w:bCs/>
                              <w:i/>
                            </w:rPr>
                          </m:ctrlPr>
                        </m:e>
                      </m:d>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hi</m:t>
                      </m:r>
                      <m:ctrlPr>
                        <w:rPr>
                          <w:rFonts w:ascii="Cambria Math" w:hAnsi="Cambria Math" w:cs="DFKai-SB"/>
                          <w:bCs/>
                          <w:i/>
                        </w:rPr>
                      </m:ctrlPr>
                    </m:sub>
                  </m:sSub>
                  <m:ctrlPr>
                    <w:rPr>
                      <w:rFonts w:ascii="Cambria Math" w:hAnsi="Cambria Math" w:cs="DFKai-SB"/>
                      <w:bCs/>
                      <w:i/>
                    </w:rPr>
                  </m:ctrlPr>
                </m:e>
              </m:d>
              <m:r>
                <m:rPr/>
                <w:rPr>
                  <w:rFonts w:ascii="Cambria Math" w:hAnsi="Cambria Math" w:cs="DFKai-SB"/>
                </w:rPr>
                <m:t>#</m:t>
              </m:r>
              <m:d>
                <m:dPr>
                  <m:ctrlPr>
                    <w:rPr>
                      <w:rFonts w:ascii="Cambria Math" w:hAnsi="Cambria Math" w:cs="DFKai-SB"/>
                      <w:bCs/>
                      <w:i/>
                    </w:rPr>
                  </m:ctrlPr>
                </m:dPr>
                <m:e>
                  <m:r>
                    <m:rPr/>
                    <w:rPr>
                      <w:rFonts w:ascii="Cambria Math" w:hAnsi="Cambria Math" w:cs="DFKai-SB"/>
                    </w:rPr>
                    <m:t>2−5</m:t>
                  </m:r>
                  <m:ctrlPr>
                    <w:rPr>
                      <w:rFonts w:ascii="Cambria Math" w:hAnsi="Cambria Math" w:cs="DFKai-SB"/>
                      <w:bCs/>
                      <w:i/>
                    </w:rPr>
                  </m:ctrlPr>
                </m:e>
              </m:d>
              <m:ctrlPr>
                <w:rPr>
                  <w:rFonts w:ascii="Cambria Math" w:hAnsi="Cambria Math" w:cs="DFKai-SB"/>
                  <w:bCs/>
                  <w:i/>
                </w:rPr>
              </m:ctrlPr>
            </m:e>
          </m:eqArr>
        </m:oMath>
      </m:oMathPara>
    </w:p>
    <w:p w14:paraId="4053A1AB">
      <w:pPr>
        <w:pStyle w:val="26"/>
        <w:ind w:firstLine="420"/>
      </w:pPr>
      <w:r>
        <w:rPr>
          <w:rFonts w:hint="eastAsia"/>
        </w:rPr>
        <w:t>Forget gate:</w:t>
      </w:r>
    </w:p>
    <w:p w14:paraId="636DF1CA">
      <w:pPr>
        <w:pStyle w:val="26"/>
        <w:ind w:firstLine="420"/>
        <w:rPr>
          <w:rFonts w:hint="eastAsia" w:ascii="宋体" w:hAnsi="宋体" w:cs="DFKai-SB"/>
          <w:bCs/>
        </w:rPr>
      </w:pPr>
      <m:oMathPara>
        <m:oMath>
          <m:eqArr>
            <m:eqArrPr>
              <m:maxDist m:val="1"/>
              <m:ctrlPr>
                <w:rPr>
                  <w:rFonts w:ascii="Cambria Math" w:hAnsi="Cambria Math" w:cs="DFKai-SB"/>
                  <w:bCs/>
                  <w:i/>
                </w:rPr>
              </m:ctrlPr>
            </m:eqArrPr>
            <m:e>
              <m:sSub>
                <m:sSubPr>
                  <m:ctrlPr>
                    <w:rPr>
                      <w:rFonts w:ascii="Cambria Math" w:hAnsi="Cambria Math" w:cs="DFKai-SB"/>
                      <w:bCs/>
                      <w:i/>
                    </w:rPr>
                  </m:ctrlPr>
                </m:sSubPr>
                <m:e>
                  <m:r>
                    <m:rPr/>
                    <w:rPr>
                      <w:rFonts w:ascii="Cambria Math" w:hAnsi="Cambria Math" w:cs="DFKai-SB"/>
                    </w:rPr>
                    <m:t>f</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σ</m:t>
              </m:r>
              <m:d>
                <m:dPr>
                  <m:ctrlPr>
                    <w:rPr>
                      <w:rFonts w:ascii="Cambria Math" w:hAnsi="Cambria Math" w:cs="DFKai-SB"/>
                      <w:bCs/>
                      <w:i/>
                    </w:rPr>
                  </m:ctrlPr>
                </m:dPr>
                <m:e>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if</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x</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if</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hf</m:t>
                      </m:r>
                      <m:ctrlPr>
                        <w:rPr>
                          <w:rFonts w:ascii="Cambria Math" w:hAnsi="Cambria Math" w:cs="DFKai-SB"/>
                          <w:bCs/>
                          <w:i/>
                        </w:rPr>
                      </m:ctrlPr>
                    </m:sub>
                  </m:sSub>
                  <m:r>
                    <m:rPr/>
                    <w:rPr>
                      <w:rFonts w:ascii="Cambria Math" w:hAnsi="Cambria Math" w:cs="DFKai-SB"/>
                    </w:rPr>
                    <m:t>×</m:t>
                  </m:r>
                  <m:sSub>
                    <m:sSubPr>
                      <m:ctrlPr>
                        <w:rPr>
                          <w:rFonts w:ascii="Cambria Math" w:hAnsi="Cambria Math" w:cs="DFKai-SB"/>
                          <w:bCs/>
                          <w:i/>
                        </w:rPr>
                      </m:ctrlPr>
                    </m:sSubPr>
                    <m:e>
                      <m:r>
                        <m:rPr/>
                        <w:rPr>
                          <w:rFonts w:ascii="Cambria Math" w:hAnsi="Cambria Math" w:cs="DFKai-SB"/>
                        </w:rPr>
                        <m:t>h</m:t>
                      </m:r>
                      <m:ctrlPr>
                        <w:rPr>
                          <w:rFonts w:ascii="Cambria Math" w:hAnsi="Cambria Math" w:cs="DFKai-SB"/>
                          <w:bCs/>
                          <w:i/>
                        </w:rPr>
                      </m:ctrlPr>
                    </m:e>
                    <m:sub>
                      <m:d>
                        <m:dPr>
                          <m:ctrlPr>
                            <w:rPr>
                              <w:rFonts w:ascii="Cambria Math" w:hAnsi="Cambria Math" w:cs="DFKai-SB"/>
                              <w:bCs/>
                              <w:i/>
                            </w:rPr>
                          </m:ctrlPr>
                        </m:dPr>
                        <m:e>
                          <m:r>
                            <m:rPr/>
                            <w:rPr>
                              <w:rFonts w:ascii="Cambria Math" w:hAnsi="Cambria Math" w:cs="DFKai-SB"/>
                            </w:rPr>
                            <m:t>t−1</m:t>
                          </m:r>
                          <m:ctrlPr>
                            <w:rPr>
                              <w:rFonts w:ascii="Cambria Math" w:hAnsi="Cambria Math" w:cs="DFKai-SB"/>
                              <w:bCs/>
                              <w:i/>
                            </w:rPr>
                          </m:ctrlPr>
                        </m:e>
                      </m:d>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hf</m:t>
                      </m:r>
                      <m:ctrlPr>
                        <w:rPr>
                          <w:rFonts w:ascii="Cambria Math" w:hAnsi="Cambria Math" w:cs="DFKai-SB"/>
                          <w:bCs/>
                          <w:i/>
                        </w:rPr>
                      </m:ctrlPr>
                    </m:sub>
                  </m:sSub>
                  <m:ctrlPr>
                    <w:rPr>
                      <w:rFonts w:ascii="Cambria Math" w:hAnsi="Cambria Math" w:cs="DFKai-SB"/>
                      <w:bCs/>
                      <w:i/>
                    </w:rPr>
                  </m:ctrlPr>
                </m:e>
              </m:d>
              <m:r>
                <m:rPr/>
                <w:rPr>
                  <w:rFonts w:ascii="Cambria Math" w:hAnsi="Cambria Math" w:cs="DFKai-SB"/>
                </w:rPr>
                <m:t>#</m:t>
              </m:r>
              <m:d>
                <m:dPr>
                  <m:ctrlPr>
                    <w:rPr>
                      <w:rFonts w:ascii="Cambria Math" w:hAnsi="Cambria Math" w:cs="DFKai-SB"/>
                      <w:bCs/>
                      <w:i/>
                    </w:rPr>
                  </m:ctrlPr>
                </m:dPr>
                <m:e>
                  <m:r>
                    <m:rPr/>
                    <w:rPr>
                      <w:rFonts w:ascii="Cambria Math" w:hAnsi="Cambria Math" w:cs="DFKai-SB"/>
                    </w:rPr>
                    <m:t>2−6</m:t>
                  </m:r>
                  <m:ctrlPr>
                    <w:rPr>
                      <w:rFonts w:ascii="Cambria Math" w:hAnsi="Cambria Math" w:cs="DFKai-SB"/>
                      <w:bCs/>
                      <w:i/>
                    </w:rPr>
                  </m:ctrlPr>
                </m:e>
              </m:d>
              <m:ctrlPr>
                <w:rPr>
                  <w:rFonts w:ascii="Cambria Math" w:hAnsi="Cambria Math" w:cs="DFKai-SB"/>
                  <w:bCs/>
                  <w:i/>
                </w:rPr>
              </m:ctrlPr>
            </m:e>
          </m:eqArr>
        </m:oMath>
      </m:oMathPara>
    </w:p>
    <w:p w14:paraId="0BE1B5F7">
      <w:pPr>
        <w:pStyle w:val="26"/>
        <w:ind w:firstLine="420"/>
      </w:pPr>
      <w:r>
        <w:rPr>
          <w:rFonts w:hint="eastAsia"/>
        </w:rPr>
        <w:t>Output gate:</w:t>
      </w:r>
    </w:p>
    <w:p w14:paraId="6D0E8790">
      <w:pPr>
        <w:pStyle w:val="26"/>
        <w:ind w:firstLine="420"/>
        <w:rPr>
          <w:rFonts w:hint="eastAsia" w:ascii="宋体" w:hAnsi="宋体" w:cs="DFKai-SB"/>
          <w:bCs/>
        </w:rPr>
      </w:pPr>
      <m:oMathPara>
        <m:oMath>
          <m:eqArr>
            <m:eqArrPr>
              <m:maxDist m:val="1"/>
              <m:ctrlPr>
                <w:rPr>
                  <w:rFonts w:ascii="Cambria Math" w:hAnsi="Cambria Math" w:cs="DFKai-SB"/>
                  <w:bCs/>
                  <w:i/>
                </w:rPr>
              </m:ctrlPr>
            </m:eqArrPr>
            <m:e>
              <m:sSub>
                <m:sSubPr>
                  <m:ctrlPr>
                    <w:rPr>
                      <w:rFonts w:ascii="Cambria Math" w:hAnsi="Cambria Math" w:cs="DFKai-SB"/>
                      <w:bCs/>
                      <w:i/>
                    </w:rPr>
                  </m:ctrlPr>
                </m:sSubPr>
                <m:e>
                  <m:r>
                    <m:rPr/>
                    <w:rPr>
                      <w:rFonts w:ascii="Cambria Math" w:hAnsi="Cambria Math" w:cs="DFKai-SB"/>
                    </w:rPr>
                    <m:t>o</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σ</m:t>
              </m:r>
              <m:d>
                <m:dPr>
                  <m:ctrlPr>
                    <w:rPr>
                      <w:rFonts w:ascii="Cambria Math" w:hAnsi="Cambria Math" w:cs="DFKai-SB"/>
                      <w:bCs/>
                      <w:i/>
                    </w:rPr>
                  </m:ctrlPr>
                </m:dPr>
                <m:e>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io</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x</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io</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ho</m:t>
                      </m:r>
                      <m:ctrlPr>
                        <w:rPr>
                          <w:rFonts w:ascii="Cambria Math" w:hAnsi="Cambria Math" w:cs="DFKai-SB"/>
                          <w:bCs/>
                          <w:i/>
                        </w:rPr>
                      </m:ctrlPr>
                    </m:sub>
                  </m:sSub>
                  <m:r>
                    <m:rPr/>
                    <w:rPr>
                      <w:rFonts w:ascii="Cambria Math" w:hAnsi="Cambria Math" w:cs="DFKai-SB"/>
                    </w:rPr>
                    <m:t>×</m:t>
                  </m:r>
                  <m:sSub>
                    <m:sSubPr>
                      <m:ctrlPr>
                        <w:rPr>
                          <w:rFonts w:ascii="Cambria Math" w:hAnsi="Cambria Math" w:cs="DFKai-SB"/>
                          <w:bCs/>
                          <w:i/>
                        </w:rPr>
                      </m:ctrlPr>
                    </m:sSubPr>
                    <m:e>
                      <m:r>
                        <m:rPr/>
                        <w:rPr>
                          <w:rFonts w:ascii="Cambria Math" w:hAnsi="Cambria Math" w:cs="DFKai-SB"/>
                        </w:rPr>
                        <m:t>h</m:t>
                      </m:r>
                      <m:ctrlPr>
                        <w:rPr>
                          <w:rFonts w:ascii="Cambria Math" w:hAnsi="Cambria Math" w:cs="DFKai-SB"/>
                          <w:bCs/>
                          <w:i/>
                        </w:rPr>
                      </m:ctrlPr>
                    </m:e>
                    <m:sub>
                      <m:d>
                        <m:dPr>
                          <m:ctrlPr>
                            <w:rPr>
                              <w:rFonts w:ascii="Cambria Math" w:hAnsi="Cambria Math" w:cs="DFKai-SB"/>
                              <w:bCs/>
                              <w:i/>
                            </w:rPr>
                          </m:ctrlPr>
                        </m:dPr>
                        <m:e>
                          <m:r>
                            <m:rPr/>
                            <w:rPr>
                              <w:rFonts w:ascii="Cambria Math" w:hAnsi="Cambria Math" w:cs="DFKai-SB"/>
                            </w:rPr>
                            <m:t>t−1</m:t>
                          </m:r>
                          <m:ctrlPr>
                            <w:rPr>
                              <w:rFonts w:ascii="Cambria Math" w:hAnsi="Cambria Math" w:cs="DFKai-SB"/>
                              <w:bCs/>
                              <w:i/>
                            </w:rPr>
                          </m:ctrlPr>
                        </m:e>
                      </m:d>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ho</m:t>
                      </m:r>
                      <m:ctrlPr>
                        <w:rPr>
                          <w:rFonts w:ascii="Cambria Math" w:hAnsi="Cambria Math" w:cs="DFKai-SB"/>
                          <w:bCs/>
                          <w:i/>
                        </w:rPr>
                      </m:ctrlPr>
                    </m:sub>
                  </m:sSub>
                  <m:ctrlPr>
                    <w:rPr>
                      <w:rFonts w:ascii="Cambria Math" w:hAnsi="Cambria Math" w:cs="DFKai-SB"/>
                      <w:bCs/>
                      <w:i/>
                    </w:rPr>
                  </m:ctrlPr>
                </m:e>
              </m:d>
              <m:r>
                <m:rPr/>
                <w:rPr>
                  <w:rFonts w:ascii="Cambria Math" w:hAnsi="Cambria Math" w:cs="DFKai-SB"/>
                </w:rPr>
                <m:t>#</m:t>
              </m:r>
              <m:d>
                <m:dPr>
                  <m:ctrlPr>
                    <w:rPr>
                      <w:rFonts w:ascii="Cambria Math" w:hAnsi="Cambria Math" w:cs="DFKai-SB"/>
                      <w:bCs/>
                      <w:i/>
                    </w:rPr>
                  </m:ctrlPr>
                </m:dPr>
                <m:e>
                  <m:r>
                    <m:rPr/>
                    <w:rPr>
                      <w:rFonts w:ascii="Cambria Math" w:hAnsi="Cambria Math" w:cs="DFKai-SB"/>
                    </w:rPr>
                    <m:t>2−7</m:t>
                  </m:r>
                  <m:ctrlPr>
                    <w:rPr>
                      <w:rFonts w:ascii="Cambria Math" w:hAnsi="Cambria Math" w:cs="DFKai-SB"/>
                      <w:bCs/>
                      <w:i/>
                    </w:rPr>
                  </m:ctrlPr>
                </m:e>
              </m:d>
              <m:ctrlPr>
                <w:rPr>
                  <w:rFonts w:ascii="Cambria Math" w:hAnsi="Cambria Math" w:cs="DFKai-SB"/>
                  <w:bCs/>
                  <w:i/>
                </w:rPr>
              </m:ctrlPr>
            </m:e>
          </m:eqArr>
        </m:oMath>
      </m:oMathPara>
    </w:p>
    <w:p w14:paraId="6173A06A">
      <w:pPr>
        <w:pStyle w:val="26"/>
        <w:ind w:firstLine="420"/>
      </w:pPr>
      <w:r>
        <w:rPr>
          <w:rFonts w:hint="eastAsia"/>
        </w:rPr>
        <w:t>Cell state:</w:t>
      </w:r>
    </w:p>
    <w:p w14:paraId="2BDDDB26">
      <w:pPr>
        <w:pStyle w:val="26"/>
        <w:ind w:firstLine="420"/>
      </w:pPr>
      <m:oMathPara>
        <m:oMath>
          <m:eqArr>
            <m:eqArrPr>
              <m:maxDist m:val="1"/>
              <m:ctrlPr>
                <w:rPr>
                  <w:rFonts w:ascii="Cambria Math" w:hAnsi="Cambria Math" w:cs="DFKai-SB"/>
                  <w:bCs/>
                  <w:i/>
                </w:rPr>
              </m:ctrlPr>
            </m:eqArrPr>
            <m:e>
              <m:sSub>
                <m:sSubPr>
                  <m:ctrlPr>
                    <w:rPr>
                      <w:rFonts w:ascii="Cambria Math" w:hAnsi="Cambria Math" w:cs="DFKai-SB"/>
                      <w:bCs/>
                      <w:i/>
                    </w:rPr>
                  </m:ctrlPr>
                </m:sSubPr>
                <m:e>
                  <m:r>
                    <m:rPr/>
                    <w:rPr>
                      <w:rFonts w:ascii="Cambria Math" w:hAnsi="Cambria Math" w:cs="DFKai-SB"/>
                    </w:rPr>
                    <m:t>c</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m:t>
              </m:r>
              <m:sSub>
                <m:sSubPr>
                  <m:ctrlPr>
                    <w:rPr>
                      <w:rFonts w:ascii="Cambria Math" w:hAnsi="Cambria Math" w:cs="DFKai-SB"/>
                      <w:bCs/>
                      <w:i/>
                    </w:rPr>
                  </m:ctrlPr>
                </m:sSubPr>
                <m:e>
                  <m:r>
                    <m:rPr/>
                    <w:rPr>
                      <w:rFonts w:ascii="Cambria Math" w:hAnsi="Cambria Math" w:cs="DFKai-SB"/>
                    </w:rPr>
                    <m:t>f</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c</m:t>
                  </m:r>
                  <m:ctrlPr>
                    <w:rPr>
                      <w:rFonts w:ascii="Cambria Math" w:hAnsi="Cambria Math" w:cs="DFKai-SB"/>
                      <w:bCs/>
                      <w:i/>
                    </w:rPr>
                  </m:ctrlPr>
                </m:e>
                <m:sub>
                  <m:r>
                    <m:rPr/>
                    <w:rPr>
                      <w:rFonts w:ascii="Cambria Math" w:hAnsi="Cambria Math" w:cs="DFKai-SB"/>
                    </w:rPr>
                    <m:t>(t−1)</m:t>
                  </m:r>
                  <m:ctrlPr>
                    <w:rPr>
                      <w:rFonts w:ascii="Cambria Math" w:hAnsi="Cambria Math" w:cs="DFKai-SB"/>
                      <w:bCs/>
                      <w:i/>
                    </w:rPr>
                  </m:ctrlPr>
                </m:sub>
              </m:sSub>
              <m:r>
                <m:rPr/>
                <w:rPr>
                  <w:rFonts w:ascii="Cambria Math" w:hAnsi="Cambria Math" w:cs="DFKai-SB"/>
                </w:rPr>
                <m:t>+</m:t>
              </m:r>
              <m:sSub>
                <m:sSubPr>
                  <m:ctrlPr>
                    <w:rPr>
                      <w:rFonts w:ascii="Cambria Math" w:hAnsi="Cambria Math" w:cs="DFKai-SB"/>
                      <w:bCs/>
                      <w:i/>
                    </w:rPr>
                  </m:ctrlPr>
                </m:sSubPr>
                <m:e>
                  <m:r>
                    <m:rPr/>
                    <w:rPr>
                      <w:rFonts w:ascii="Cambria Math" w:hAnsi="Cambria Math" w:cs="DFKai-SB"/>
                    </w:rPr>
                    <m:t>i</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xml:space="preserve"> × tanh</m:t>
              </m:r>
              <m:d>
                <m:dPr>
                  <m:ctrlPr>
                    <w:rPr>
                      <w:rFonts w:ascii="Cambria Math" w:hAnsi="Cambria Math" w:cs="DFKai-SB"/>
                      <w:bCs/>
                      <w:i/>
                    </w:rPr>
                  </m:ctrlPr>
                </m:dPr>
                <m:e>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ic</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x</m:t>
                      </m:r>
                      <m:ctrlPr>
                        <w:rPr>
                          <w:rFonts w:ascii="Cambria Math" w:hAnsi="Cambria Math" w:cs="DFKai-SB"/>
                          <w:bCs/>
                          <w:i/>
                        </w:rPr>
                      </m:ctrlPr>
                    </m:e>
                    <m:sub>
                      <m:r>
                        <m:rPr/>
                        <w:rPr>
                          <w:rFonts w:ascii="Cambria Math" w:hAnsi="Cambria Math" w:cs="DFKai-SB"/>
                        </w:rPr>
                        <m:t>t</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ic</m:t>
                      </m:r>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W</m:t>
                      </m:r>
                      <m:ctrlPr>
                        <w:rPr>
                          <w:rFonts w:ascii="Cambria Math" w:hAnsi="Cambria Math" w:cs="DFKai-SB"/>
                          <w:bCs/>
                          <w:i/>
                        </w:rPr>
                      </m:ctrlPr>
                    </m:e>
                    <m:sub>
                      <m:r>
                        <m:rPr/>
                        <w:rPr>
                          <w:rFonts w:ascii="Cambria Math" w:hAnsi="Cambria Math" w:cs="DFKai-SB"/>
                        </w:rPr>
                        <m:t>hc</m:t>
                      </m:r>
                      <m:ctrlPr>
                        <w:rPr>
                          <w:rFonts w:ascii="Cambria Math" w:hAnsi="Cambria Math" w:cs="DFKai-SB"/>
                          <w:bCs/>
                          <w:i/>
                        </w:rPr>
                      </m:ctrlPr>
                    </m:sub>
                  </m:sSub>
                  <m:r>
                    <m:rPr/>
                    <w:rPr>
                      <w:rFonts w:ascii="Cambria Math" w:hAnsi="Cambria Math" w:cs="DFKai-SB"/>
                    </w:rPr>
                    <m:t>×</m:t>
                  </m:r>
                  <m:sSub>
                    <m:sSubPr>
                      <m:ctrlPr>
                        <w:rPr>
                          <w:rFonts w:ascii="Cambria Math" w:hAnsi="Cambria Math" w:cs="DFKai-SB"/>
                          <w:bCs/>
                          <w:i/>
                        </w:rPr>
                      </m:ctrlPr>
                    </m:sSubPr>
                    <m:e>
                      <m:r>
                        <m:rPr/>
                        <w:rPr>
                          <w:rFonts w:ascii="Cambria Math" w:hAnsi="Cambria Math" w:cs="DFKai-SB"/>
                        </w:rPr>
                        <m:t>h</m:t>
                      </m:r>
                      <m:ctrlPr>
                        <w:rPr>
                          <w:rFonts w:ascii="Cambria Math" w:hAnsi="Cambria Math" w:cs="DFKai-SB"/>
                          <w:bCs/>
                          <w:i/>
                        </w:rPr>
                      </m:ctrlPr>
                    </m:e>
                    <m:sub>
                      <m:d>
                        <m:dPr>
                          <m:ctrlPr>
                            <w:rPr>
                              <w:rFonts w:ascii="Cambria Math" w:hAnsi="Cambria Math" w:cs="DFKai-SB"/>
                              <w:bCs/>
                              <w:i/>
                            </w:rPr>
                          </m:ctrlPr>
                        </m:dPr>
                        <m:e>
                          <m:r>
                            <m:rPr/>
                            <w:rPr>
                              <w:rFonts w:ascii="Cambria Math" w:hAnsi="Cambria Math" w:cs="DFKai-SB"/>
                            </w:rPr>
                            <m:t>t−1</m:t>
                          </m:r>
                          <m:ctrlPr>
                            <w:rPr>
                              <w:rFonts w:ascii="Cambria Math" w:hAnsi="Cambria Math" w:cs="DFKai-SB"/>
                              <w:bCs/>
                              <w:i/>
                            </w:rPr>
                          </m:ctrlPr>
                        </m:e>
                      </m:d>
                      <m:ctrlPr>
                        <w:rPr>
                          <w:rFonts w:ascii="Cambria Math" w:hAnsi="Cambria Math" w:cs="DFKai-SB"/>
                          <w:bCs/>
                          <w:i/>
                        </w:rPr>
                      </m:ctrlPr>
                    </m:sub>
                  </m:sSub>
                  <m:r>
                    <m:rPr/>
                    <w:rPr>
                      <w:rFonts w:ascii="Cambria Math" w:hAnsi="Cambria Math" w:cs="DFKai-SB"/>
                    </w:rPr>
                    <m:t xml:space="preserve">+ </m:t>
                  </m:r>
                  <m:sSub>
                    <m:sSubPr>
                      <m:ctrlPr>
                        <w:rPr>
                          <w:rFonts w:ascii="Cambria Math" w:hAnsi="Cambria Math" w:cs="DFKai-SB"/>
                          <w:bCs/>
                          <w:i/>
                        </w:rPr>
                      </m:ctrlPr>
                    </m:sSubPr>
                    <m:e>
                      <m:r>
                        <m:rPr/>
                        <w:rPr>
                          <w:rFonts w:ascii="Cambria Math" w:hAnsi="Cambria Math" w:cs="DFKai-SB"/>
                        </w:rPr>
                        <m:t>b</m:t>
                      </m:r>
                      <m:ctrlPr>
                        <w:rPr>
                          <w:rFonts w:ascii="Cambria Math" w:hAnsi="Cambria Math" w:cs="DFKai-SB"/>
                          <w:bCs/>
                          <w:i/>
                        </w:rPr>
                      </m:ctrlPr>
                    </m:e>
                    <m:sub>
                      <m:r>
                        <m:rPr/>
                        <w:rPr>
                          <w:rFonts w:ascii="Cambria Math" w:hAnsi="Cambria Math" w:cs="DFKai-SB"/>
                        </w:rPr>
                        <m:t>hc</m:t>
                      </m:r>
                      <m:ctrlPr>
                        <w:rPr>
                          <w:rFonts w:ascii="Cambria Math" w:hAnsi="Cambria Math" w:cs="DFKai-SB"/>
                          <w:bCs/>
                          <w:i/>
                        </w:rPr>
                      </m:ctrlPr>
                    </m:sub>
                  </m:sSub>
                  <m:ctrlPr>
                    <w:rPr>
                      <w:rFonts w:ascii="Cambria Math" w:hAnsi="Cambria Math" w:cs="DFKai-SB"/>
                      <w:bCs/>
                      <w:i/>
                    </w:rPr>
                  </m:ctrlPr>
                </m:e>
              </m:d>
              <m:r>
                <m:rPr/>
                <w:rPr>
                  <w:rFonts w:ascii="Cambria Math" w:hAnsi="Cambria Math" w:cs="DFKai-SB"/>
                </w:rPr>
                <m:t>#</m:t>
              </m:r>
              <m:d>
                <m:dPr>
                  <m:ctrlPr>
                    <w:rPr>
                      <w:rFonts w:ascii="Cambria Math" w:hAnsi="Cambria Math" w:cs="DFKai-SB"/>
                      <w:bCs/>
                      <w:i/>
                    </w:rPr>
                  </m:ctrlPr>
                </m:dPr>
                <m:e>
                  <m:r>
                    <m:rPr/>
                    <w:rPr>
                      <w:rFonts w:ascii="Cambria Math" w:hAnsi="Cambria Math" w:cs="DFKai-SB"/>
                    </w:rPr>
                    <m:t>2−8</m:t>
                  </m:r>
                  <m:ctrlPr>
                    <w:rPr>
                      <w:rFonts w:ascii="Cambria Math" w:hAnsi="Cambria Math" w:cs="DFKai-SB"/>
                      <w:bCs/>
                      <w:i/>
                    </w:rPr>
                  </m:ctrlPr>
                </m:e>
              </m:d>
              <m:ctrlPr>
                <w:rPr>
                  <w:rFonts w:ascii="Cambria Math" w:hAnsi="Cambria Math" w:cs="DFKai-SB"/>
                  <w:bCs/>
                  <w:i/>
                </w:rPr>
              </m:ctrlPr>
            </m:e>
          </m:eqArr>
        </m:oMath>
      </m:oMathPara>
    </w:p>
    <w:p w14:paraId="792D1612">
      <w:pPr>
        <w:pStyle w:val="26"/>
        <w:ind w:firstLine="420"/>
      </w:pPr>
      <w:r>
        <w:rPr>
          <w:rFonts w:hint="eastAsia"/>
        </w:rPr>
        <w:t>Hidden state:</w:t>
      </w:r>
    </w:p>
    <w:p w14:paraId="51B4A580">
      <w:pPr>
        <w:pStyle w:val="26"/>
        <w:ind w:firstLine="42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m:t>
              </m:r>
              <m:d>
                <m:dPr>
                  <m:ctrlPr>
                    <w:rPr>
                      <w:rFonts w:ascii="Cambria Math" w:hAnsi="Cambria Math"/>
                      <w:i/>
                    </w:rPr>
                  </m:ctrlPr>
                </m:dPr>
                <m:e>
                  <m:r>
                    <m:rPr/>
                    <w:rPr>
                      <w:rFonts w:ascii="Cambria Math" w:hAnsi="Cambria Math"/>
                    </w:rPr>
                    <m:t>2−9</m:t>
                  </m:r>
                  <m:ctrlPr>
                    <w:rPr>
                      <w:rFonts w:ascii="Cambria Math" w:hAnsi="Cambria Math"/>
                      <w:i/>
                    </w:rPr>
                  </m:ctrlPr>
                </m:e>
              </m:d>
              <m:ctrlPr>
                <w:rPr>
                  <w:rFonts w:ascii="Cambria Math" w:hAnsi="Cambria Math"/>
                  <w:i/>
                </w:rPr>
              </m:ctrlPr>
            </m:e>
          </m:eqArr>
        </m:oMath>
      </m:oMathPara>
    </w:p>
    <w:p w14:paraId="1A3E0E2C">
      <w:pPr>
        <w:pStyle w:val="26"/>
        <w:ind w:firstLine="420"/>
      </w:pPr>
      <w:r>
        <w:t xml:space="preserve">其中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 xml:space="preserve"> </w:t>
      </w:r>
      <w:r>
        <w:t>表示时间步的输入，</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 xml:space="preserve"> 表示隐藏状态，</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是单元状态，</w:t>
      </w:r>
      <m:oMath>
        <m:r>
          <m:rPr/>
          <w:rPr>
            <w:rFonts w:ascii="Cambria Math" w:hAnsi="Cambria Math"/>
          </w:rPr>
          <m:t>W</m:t>
        </m:r>
      </m:oMath>
      <w:r>
        <w:t xml:space="preserve"> 和 </w:t>
      </w:r>
      <m:oMath>
        <m:r>
          <m:rPr/>
          <w:rPr>
            <w:rFonts w:ascii="Cambria Math" w:hAnsi="Cambria Math"/>
          </w:rPr>
          <m:t>b</m:t>
        </m:r>
      </m:oMath>
      <w:r>
        <w:t xml:space="preserve"> 分别是权重矩阵和偏置项。</w:t>
      </w:r>
      <m:oMath>
        <m:r>
          <m:rPr/>
          <w:rPr>
            <w:rFonts w:ascii="Cambria Math" w:hAnsi="Cambria Math"/>
          </w:rPr>
          <m:t>σ</m:t>
        </m:r>
      </m:oMath>
      <w:r>
        <w:rPr>
          <w:rFonts w:hint="eastAsia"/>
        </w:rPr>
        <w:t xml:space="preserve"> </w:t>
      </w:r>
      <w:r>
        <w:t>是 sigmoid 激活函数， tanh 是双曲正切激活函数。</w:t>
      </w:r>
    </w:p>
    <w:p w14:paraId="59B26C53">
      <w:pPr>
        <w:pStyle w:val="41"/>
      </w:pPr>
      <w:r>
        <w:drawing>
          <wp:inline distT="0" distB="0" distL="0" distR="0">
            <wp:extent cx="3716020" cy="2426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3716020" cy="2426343"/>
                    </a:xfrm>
                    <a:prstGeom prst="rect">
                      <a:avLst/>
                    </a:prstGeom>
                  </pic:spPr>
                </pic:pic>
              </a:graphicData>
            </a:graphic>
          </wp:inline>
        </w:drawing>
      </w:r>
    </w:p>
    <w:p w14:paraId="2CF28ACA">
      <w:pPr>
        <w:pStyle w:val="42"/>
        <w:spacing w:after="312"/>
        <w:rPr>
          <w:rFonts w:hint="eastAsia"/>
        </w:rPr>
      </w:pPr>
      <w:r>
        <w:rPr>
          <w:rFonts w:hint="eastAsia"/>
        </w:rPr>
        <w:t>图 2-6 长短期记忆单元结构及数据处理流程</w:t>
      </w:r>
    </w:p>
    <w:p w14:paraId="6FC32AAA">
      <w:pPr>
        <w:pStyle w:val="26"/>
        <w:ind w:firstLine="420"/>
      </w:pPr>
      <w:r>
        <w:t>如图 2-</w:t>
      </w:r>
      <w:r>
        <w:rPr>
          <w:rFonts w:hint="eastAsia"/>
        </w:rPr>
        <w:t>7</w:t>
      </w:r>
      <w:r>
        <w:t xml:space="preserve"> 所示 BiLSTM 是标准 LSTM 模型的一种变体，可以向前和向后两个方向处理序列。该框架由共享层和独立的任务特定层组成，有助于学习各种漏洞类型的一般表示，同时捕获特定类型的特征。每个 BiLSTM 模型都使用 DistilBERT</w:t>
      </w:r>
      <w:r>
        <w:rPr>
          <w:rFonts w:hint="eastAsia"/>
        </w:rPr>
        <w:t xml:space="preserve"> </w:t>
      </w:r>
      <w:r>
        <w:t>输出的</w:t>
      </w:r>
      <m:oMath>
        <m:r>
          <m:rPr/>
          <w:rPr>
            <w:rFonts w:ascii="Cambria Math" w:hAnsi="Cambria Math"/>
          </w:rPr>
          <m:t>[CLS]</m:t>
        </m:r>
      </m:oMath>
      <w:r>
        <w:t>句向量作为其输入。通过使用共享参数，该框架能够利用不同 CVSS 指标和漏洞类型之间的相互关系，从而提高整体预测性能。</w:t>
      </w:r>
    </w:p>
    <w:p w14:paraId="2D48C04F">
      <w:pPr>
        <w:pStyle w:val="41"/>
      </w:pPr>
      <w:r>
        <w:drawing>
          <wp:inline distT="0" distB="0" distL="0" distR="0">
            <wp:extent cx="4507230" cy="1924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507230" cy="1924853"/>
                    </a:xfrm>
                    <a:prstGeom prst="rect">
                      <a:avLst/>
                    </a:prstGeom>
                  </pic:spPr>
                </pic:pic>
              </a:graphicData>
            </a:graphic>
          </wp:inline>
        </w:drawing>
      </w:r>
    </w:p>
    <w:p w14:paraId="5B06569D">
      <w:pPr>
        <w:pStyle w:val="42"/>
        <w:spacing w:after="312"/>
        <w:rPr>
          <w:rFonts w:hint="eastAsia"/>
        </w:rPr>
      </w:pPr>
      <w:r>
        <w:rPr>
          <w:rFonts w:hint="eastAsia"/>
        </w:rPr>
        <w:t>图 2-7 双向长短期记忆架构及数据流向</w:t>
      </w:r>
    </w:p>
    <w:p w14:paraId="1D359C8E">
      <w:pPr>
        <w:pStyle w:val="26"/>
        <w:ind w:firstLine="420"/>
      </w:pPr>
      <w:r>
        <w:t>在每个 BiLSTM 模型之后的架构中集成了一个全连接层来预测各自的 CVSS 指</w:t>
      </w:r>
    </w:p>
    <w:p w14:paraId="2CC3AD0F">
      <w:pPr>
        <w:pStyle w:val="26"/>
        <w:ind w:firstLine="420"/>
      </w:pPr>
      <w:r>
        <w:t>标。全连接层，也称为密集层，用作线性变换，将 BiLSTM 模型的输出映射到每个 CVSS 指标的目标类。转换由以下公式表示：</w:t>
      </w:r>
      <w:r>
        <w:rPr>
          <w:rFonts w:hint="eastAsia"/>
        </w:rPr>
        <w:t>W</w:t>
      </w:r>
    </w:p>
    <w:p w14:paraId="69D2D823">
      <w:pPr>
        <w:pStyle w:val="26"/>
        <w:ind w:firstLine="420"/>
      </w:pPr>
      <m:oMathPara>
        <m:oMath>
          <m:eqArr>
            <m:eqArrPr>
              <m:maxDist m:val="1"/>
              <m:ctrlPr>
                <w:rPr>
                  <w:rFonts w:ascii="Cambria Math" w:hAnsi="Cambria Math"/>
                </w:rPr>
              </m:ctrlPr>
            </m:eqArrPr>
            <m:e>
              <m:r>
                <m:rPr/>
                <w:rPr>
                  <w:rFonts w:ascii="Cambria Math" w:hAnsi="Cambria Math"/>
                </w:rPr>
                <m:t>y</m:t>
              </m:r>
              <m:r>
                <m:rPr>
                  <m:sty m:val="p"/>
                </m:rPr>
                <w:rPr>
                  <w:rFonts w:ascii="Cambria Math" w:hAnsi="Cambria Math"/>
                </w:rPr>
                <m:t xml:space="preserve">= </m:t>
              </m:r>
              <m:sSub>
                <m:sSubPr>
                  <m:ctrlPr>
                    <w:rPr>
                      <w:rFonts w:ascii="Cambria Math" w:hAnsi="Cambria Math"/>
                    </w:rPr>
                  </m:ctrlPr>
                </m:sSubPr>
                <m:e>
                  <m:r>
                    <m:rPr>
                      <m:sty m:val="p"/>
                    </m:rPr>
                    <w:rPr>
                      <w:rFonts w:hint="eastAsia" w:ascii="Cambria Math" w:hAnsi="Cambria Math"/>
                    </w:rPr>
                    <m:t>W</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hint="eastAsia" w:ascii="Cambria Math" w:hAnsi="Cambria Math"/>
                    </w:rPr>
                    <m:t>2</m:t>
                  </m:r>
                  <m:r>
                    <m:rPr>
                      <m:sty m:val="p"/>
                    </m:rPr>
                    <w:rPr>
                      <w:rFonts w:ascii="Cambria Math" w:hAnsi="Cambria Math"/>
                    </w:rPr>
                    <m:t>−</m:t>
                  </m:r>
                  <m:r>
                    <m:rPr>
                      <m:sty m:val="p"/>
                    </m:rPr>
                    <w:rPr>
                      <w:rFonts w:hint="eastAsia" w:ascii="Cambria Math" w:hAnsi="Cambria Math"/>
                    </w:rPr>
                    <m:t>10</m:t>
                  </m:r>
                  <m:ctrlPr>
                    <w:rPr>
                      <w:rFonts w:ascii="Cambria Math" w:hAnsi="Cambria Math"/>
                    </w:rPr>
                  </m:ctrlPr>
                </m:e>
              </m:d>
              <m:ctrlPr>
                <w:rPr>
                  <w:rFonts w:ascii="Cambria Math" w:hAnsi="Cambria Math"/>
                </w:rPr>
              </m:ctrlPr>
            </m:e>
          </m:eqArr>
        </m:oMath>
      </m:oMathPara>
    </w:p>
    <w:p w14:paraId="58BA9FB0">
      <w:pPr>
        <w:pStyle w:val="26"/>
        <w:ind w:firstLine="420"/>
      </w:pPr>
      <w:r>
        <w:t xml:space="preserve">其中 </w:t>
      </w:r>
      <m:oMath>
        <m:r>
          <m:rPr/>
          <w:rPr>
            <w:rFonts w:ascii="Cambria Math" w:hAnsi="Cambria Math"/>
          </w:rPr>
          <m:t>y</m:t>
        </m:r>
      </m:oMath>
      <w:r>
        <w:t xml:space="preserve"> 是输出向量， </w:t>
      </w:r>
      <m:oMath>
        <m:r>
          <m:rPr/>
          <w:rPr>
            <w:rFonts w:ascii="Cambria Math" w:hAnsi="Cambria Math"/>
          </w:rPr>
          <m:t>x</m:t>
        </m:r>
      </m:oMath>
      <w:r>
        <w:t xml:space="preserve"> 是 BiLSTM 模型的输入向量， </w:t>
      </w:r>
      <m:oMath>
        <m:r>
          <m:rPr/>
          <w:rPr>
            <w:rFonts w:ascii="Cambria Math" w:hAnsi="Cambria Math"/>
          </w:rPr>
          <m:t>W</m:t>
        </m:r>
      </m:oMath>
      <w:r>
        <w:t xml:space="preserve"> 是权重矩阵，</w:t>
      </w:r>
      <m:oMath>
        <m:r>
          <m:rPr/>
          <w:rPr>
            <w:rFonts w:ascii="Cambria Math" w:hAnsi="Cambria Math"/>
          </w:rPr>
          <m:t>b</m:t>
        </m:r>
      </m:oMath>
      <w:r>
        <w:t xml:space="preserve"> 是偏差向量。每个全连接层的输出节点数根据对应的 CVSS 指标的类别计数进行调整。通过这样做，模型可以输出指标内每个类别的概率分数，可以使用 softmax 激活函数进一步处理：</w:t>
      </w:r>
    </w:p>
    <w:p w14:paraId="0A8D0F23">
      <w:pPr>
        <w:pStyle w:val="26"/>
        <w:ind w:firstLine="420"/>
      </w:pPr>
      <m:oMathPara>
        <m:oMath>
          <m:eqArr>
            <m:eqArrPr>
              <m:maxDist m:val="1"/>
              <m:ctrlPr>
                <w:rPr>
                  <w:rFonts w:ascii="Cambria Math" w:hAnsi="Cambria Math"/>
                </w:rPr>
              </m:ctrlPr>
            </m:eqArrPr>
            <m:e>
              <m:r>
                <m:rPr/>
                <w:rPr>
                  <w:rFonts w:ascii="Cambria Math" w:hAnsi="Cambria Math"/>
                </w:rPr>
                <m:t>softmax</m:t>
              </m:r>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w:rPr>
                          <w:rFonts w:ascii="Cambria Math" w:hAnsi="Cambria Math"/>
                        </w:rPr>
                        <m:t>e</m:t>
                      </m:r>
                      <m:ctrlPr>
                        <w:rPr>
                          <w:rFonts w:ascii="Cambria Math" w:hAnsi="Cambria Math"/>
                        </w:rPr>
                      </m:ctrlPr>
                    </m:e>
                    <m:sup>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p>
                  <m:ctrlPr>
                    <w:rPr>
                      <w:rFonts w:ascii="Cambria Math" w:hAnsi="Cambria Math"/>
                    </w:rPr>
                  </m:ctrlPr>
                </m:num>
                <m:den>
                  <m:nary>
                    <m:naryPr>
                      <m:chr m:val="∑"/>
                      <m:limLoc m:val="subSup"/>
                      <m:ctrlPr>
                        <w:rPr>
                          <w:rFonts w:ascii="Cambria Math" w:hAnsi="Cambria Math"/>
                        </w:rPr>
                      </m:ctrlPr>
                    </m:naryPr>
                    <m:sub>
                      <m:r>
                        <m:rPr/>
                        <w:rPr>
                          <w:rFonts w:ascii="Cambria Math" w:hAnsi="Cambria Math"/>
                        </w:rPr>
                        <m:t>j</m:t>
                      </m:r>
                      <m:r>
                        <m:rPr>
                          <m:sty m:val="p"/>
                        </m:rPr>
                        <w:rPr>
                          <w:rFonts w:hint="eastAsia"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r>
                            <m:rPr/>
                            <w:rPr>
                              <w:rFonts w:ascii="Cambria Math" w:hAnsi="Cambria Math"/>
                            </w:rPr>
                            <m:t>e</m:t>
                          </m:r>
                          <m:ctrlPr>
                            <w:rPr>
                              <w:rFonts w:ascii="Cambria Math" w:hAnsi="Cambria Math"/>
                            </w:rPr>
                          </m:ctrlPr>
                        </m:e>
                        <m:sup>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p>
                      <m:ctrlPr>
                        <w:rPr>
                          <w:rFonts w:ascii="Cambria Math" w:hAnsi="Cambria Math"/>
                        </w:rPr>
                      </m:ctrlPr>
                    </m:e>
                  </m:nary>
                  <m:ctrlPr>
                    <w:rPr>
                      <w:rFonts w:ascii="Cambria Math" w:hAnsi="Cambria Math"/>
                    </w:rPr>
                  </m:ctrlPr>
                </m:den>
              </m:f>
              <m:r>
                <m:rPr>
                  <m:sty m:val="p"/>
                </m:rPr>
                <w:rPr>
                  <w:rFonts w:ascii="Cambria Math" w:hAnsi="Cambria Math"/>
                </w:rPr>
                <m:t>#</m:t>
              </m:r>
              <m:d>
                <m:dPr>
                  <m:ctrlPr>
                    <w:rPr>
                      <w:rFonts w:ascii="Cambria Math" w:hAnsi="Cambria Math"/>
                    </w:rPr>
                  </m:ctrlPr>
                </m:dPr>
                <m:e>
                  <m:r>
                    <m:rPr>
                      <m:sty m:val="p"/>
                    </m:rPr>
                    <w:rPr>
                      <w:rFonts w:hint="eastAsia" w:ascii="Cambria Math" w:hAnsi="Cambria Math"/>
                    </w:rPr>
                    <m:t>2</m:t>
                  </m:r>
                  <m:r>
                    <m:rPr>
                      <m:sty m:val="p"/>
                    </m:rPr>
                    <w:rPr>
                      <w:rFonts w:ascii="Cambria Math" w:hAnsi="Cambria Math"/>
                    </w:rPr>
                    <m:t>−</m:t>
                  </m:r>
                  <m:r>
                    <m:rPr>
                      <m:sty m:val="p"/>
                    </m:rPr>
                    <w:rPr>
                      <w:rFonts w:hint="eastAsia" w:ascii="Cambria Math" w:hAnsi="Cambria Math"/>
                    </w:rPr>
                    <m:t>11</m:t>
                  </m:r>
                  <m:ctrlPr>
                    <w:rPr>
                      <w:rFonts w:ascii="Cambria Math" w:hAnsi="Cambria Math"/>
                    </w:rPr>
                  </m:ctrlPr>
                </m:e>
              </m:d>
              <m:ctrlPr>
                <w:rPr>
                  <w:rFonts w:ascii="Cambria Math" w:hAnsi="Cambria Math"/>
                </w:rPr>
              </m:ctrlPr>
            </m:e>
          </m:eqArr>
        </m:oMath>
      </m:oMathPara>
    </w:p>
    <w:p w14:paraId="608A7047">
      <w:pPr>
        <w:pStyle w:val="26"/>
        <w:ind w:firstLine="420"/>
      </w:pPr>
      <w:r>
        <w:t xml:space="preserve">其中 </w:t>
      </w:r>
      <m:oMath>
        <m:r>
          <m:rPr/>
          <w:rPr>
            <w:rFonts w:ascii="Cambria Math" w:hAnsi="Cambria Math"/>
          </w:rPr>
          <m:t>y</m:t>
        </m:r>
      </m:oMath>
      <w:r>
        <w:t xml:space="preserve"> 是输出向量 </w:t>
      </w:r>
      <m:oMath>
        <m:r>
          <m:rPr/>
          <w:rPr>
            <w:rFonts w:ascii="Cambria Math" w:hAnsi="Cambria Math"/>
          </w:rPr>
          <m:t>y</m:t>
        </m:r>
      </m:oMath>
      <w:r>
        <w:t xml:space="preserve"> 的第</w:t>
      </w:r>
      <w:r>
        <w:rPr>
          <w:rFonts w:hint="eastAsia"/>
        </w:rPr>
        <w:t xml:space="preserve"> </w:t>
      </w:r>
      <m:oMath>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th</m:t>
            </m:r>
            <m:ctrlPr>
              <w:rPr>
                <w:rFonts w:ascii="Cambria Math" w:hAnsi="Cambria Math"/>
              </w:rPr>
            </m:ctrlPr>
          </m:sup>
        </m:sSup>
      </m:oMath>
      <w:r>
        <w:rPr>
          <w:rFonts w:hint="eastAsia"/>
        </w:rPr>
        <w:t xml:space="preserve"> 元</w:t>
      </w:r>
      <w:r>
        <w:t xml:space="preserve">素， </w:t>
      </w:r>
      <m:oMath>
        <m:r>
          <m:rPr/>
          <w:rPr>
            <w:rFonts w:ascii="Cambria Math" w:hAnsi="Cambria Math"/>
          </w:rPr>
          <m:t>n</m:t>
        </m:r>
      </m:oMath>
      <w:r>
        <w:t xml:space="preserve"> 是 CVSS 指标的类别总数。应用 softmax 激活函数可确保输出概率分数总和为 1，从而可以对模型的预测进行概率解释。此配置有助于准确预测 CVSS 指标，有助于多任务深度学习漏洞严重性预测方法的整体性能。</w:t>
      </w:r>
    </w:p>
    <w:p w14:paraId="3A024755">
      <w:pPr>
        <w:pStyle w:val="26"/>
        <w:ind w:firstLine="420"/>
      </w:pPr>
      <w:r>
        <w:t xml:space="preserve">对于每个漏洞，该模型为每个 CVSS 子指标生成最可能的类别，为每个漏洞描述生成一个预测向量 </w:t>
      </w:r>
      <m:oMath>
        <m:acc>
          <m:accPr>
            <m:ctrlPr>
              <w:rPr>
                <w:rFonts w:ascii="Cambria Math" w:hAnsi="Cambria Math"/>
              </w:rPr>
            </m:ctrlPr>
          </m:accPr>
          <m:e>
            <m:r>
              <m:rPr/>
              <w:rPr>
                <w:rFonts w:hint="eastAsia" w:ascii="Cambria Math" w:hAnsi="Cambria Math"/>
              </w:rPr>
              <m:t>P</m:t>
            </m:r>
            <m:ctrlPr>
              <w:rPr>
                <w:rFonts w:ascii="Cambria Math" w:hAnsi="Cambria Math"/>
              </w:rPr>
            </m:ctrlPr>
          </m:e>
        </m:acc>
      </m:oMath>
      <w:r>
        <w:t>：</w:t>
      </w:r>
    </w:p>
    <w:p w14:paraId="0477652B">
      <w:pPr>
        <w:pStyle w:val="26"/>
        <w:ind w:firstLine="420"/>
      </w:pPr>
      <m:oMathPara>
        <m:oMath>
          <m:eqArr>
            <m:eqArrPr>
              <m:maxDist m:val="1"/>
              <m:ctrlPr>
                <w:rPr>
                  <w:rFonts w:ascii="Cambria Math" w:hAnsi="Cambria Math"/>
                </w:rPr>
              </m:ctrlPr>
            </m:eqArrPr>
            <m:e>
              <m:acc>
                <m:accPr>
                  <m:ctrlPr>
                    <w:rPr>
                      <w:rFonts w:ascii="Cambria Math" w:hAnsi="Cambria Math"/>
                    </w:rPr>
                  </m:ctrlPr>
                </m:accPr>
                <m:e>
                  <m:r>
                    <m:rPr/>
                    <w:rPr>
                      <w:rFonts w:hint="eastAsia" w:ascii="Cambria Math" w:hAnsi="Cambria Math"/>
                    </w:rPr>
                    <m:t>P</m:t>
                  </m:r>
                  <m:ctrlPr>
                    <w:rPr>
                      <w:rFonts w:ascii="Cambria Math" w:hAnsi="Cambria Math"/>
                    </w:rPr>
                  </m:ctrlPr>
                </m:e>
              </m:ac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hint="eastAsia" w:ascii="Cambria Math" w:hAnsi="Cambria Math"/>
                        </w:rPr>
                        <m:t>AV</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hint="eastAsia" w:ascii="Cambria Math" w:hAnsi="Cambria Math"/>
                        </w:rPr>
                        <m:t>A</m:t>
                      </m:r>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PR</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hint="eastAsia" w:ascii="Cambria Math" w:hAnsi="Cambria Math"/>
                        </w:rPr>
                        <m:t>A</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2−12</m:t>
                  </m:r>
                  <m:ctrlPr>
                    <w:rPr>
                      <w:rFonts w:ascii="Cambria Math" w:hAnsi="Cambria Math"/>
                    </w:rPr>
                  </m:ctrlPr>
                </m:e>
              </m:d>
              <m:ctrlPr>
                <w:rPr>
                  <w:rFonts w:ascii="Cambria Math" w:hAnsi="Cambria Math"/>
                </w:rPr>
              </m:ctrlPr>
            </m:e>
          </m:eqArr>
        </m:oMath>
      </m:oMathPara>
    </w:p>
    <w:p w14:paraId="7370DB90">
      <w:pPr>
        <w:pStyle w:val="26"/>
        <w:ind w:firstLine="420"/>
      </w:pPr>
      <m:oMath>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hint="eastAsia" w:ascii="Cambria Math" w:hAnsi="Cambria Math"/>
              </w:rPr>
              <m:t>AV</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hint="eastAsia" w:ascii="Cambria Math" w:hAnsi="Cambria Math"/>
              </w:rPr>
              <m:t>A</m:t>
            </m:r>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PR</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UI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sub>
            <m:r>
              <m:rPr/>
              <w:rPr>
                <w:rFonts w:hint="eastAsia" w:ascii="Cambria Math" w:hAnsi="Cambria Math"/>
              </w:rPr>
              <m:t>A</m:t>
            </m:r>
            <m:ctrlPr>
              <w:rPr>
                <w:rFonts w:ascii="Cambria Math" w:hAnsi="Cambria Math"/>
              </w:rPr>
            </m:ctrlPr>
          </m:sub>
        </m:sSub>
      </m:oMath>
      <w:r>
        <w:rPr>
          <w:rFonts w:hint="eastAsia"/>
        </w:rPr>
        <w:t>分别代表CVSS指标中的</w:t>
      </w:r>
      <w:r>
        <w:t>AV、AC、PR、UI、S、C、I、A 的最可能类别。根据基本的 CVSS 指标预测，使用 CVSS 评分公式计算每个漏洞的严重性评分</w:t>
      </w:r>
      <w:r>
        <w:rPr>
          <w:rFonts w:hint="eastAsia"/>
        </w:rPr>
        <w:t>：</w:t>
      </w:r>
    </w:p>
    <w:p w14:paraId="4BA42550">
      <w:pPr>
        <w:pStyle w:val="26"/>
        <w:ind w:firstLine="420"/>
      </w:pPr>
      <m:oMathPara>
        <m:oMath>
          <m:eqArr>
            <m:eqArrPr>
              <m:maxDist m:val="1"/>
              <m:ctrlPr>
                <w:rPr>
                  <w:rFonts w:ascii="Cambria Math" w:hAnsi="Cambria Math"/>
                </w:rPr>
              </m:ctrlPr>
            </m:eqArrPr>
            <m:e>
              <m:r>
                <m:rPr/>
                <w:rPr>
                  <w:rFonts w:hint="eastAsia" w:ascii="Cambria Math" w:hAnsi="Cambria Math"/>
                </w:rPr>
                <m:t>CVSSScore</m:t>
              </m:r>
              <m:r>
                <m:rPr>
                  <m:sty m:val="p"/>
                </m:rPr>
                <w:rPr>
                  <w:rFonts w:ascii="Cambria Math" w:hAnsi="Cambria Math"/>
                </w:rPr>
                <m:t xml:space="preserve">= </m:t>
              </m:r>
              <m:r>
                <m:rPr/>
                <w:rPr>
                  <w:rFonts w:hint="eastAsia" w:ascii="Cambria Math" w:hAnsi="Cambria Math"/>
                </w:rPr>
                <m:t>f</m:t>
              </m:r>
              <m:d>
                <m:dPr>
                  <m:ctrlPr>
                    <w:rPr>
                      <w:rFonts w:ascii="Cambria Math" w:hAnsi="Cambria Math"/>
                    </w:rPr>
                  </m:ctrlPr>
                </m:d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2−13</m:t>
                  </m:r>
                  <m:ctrlPr>
                    <w:rPr>
                      <w:rFonts w:ascii="Cambria Math" w:hAnsi="Cambria Math"/>
                    </w:rPr>
                  </m:ctrlPr>
                </m:e>
              </m:d>
              <m:ctrlPr>
                <w:rPr>
                  <w:rFonts w:ascii="Cambria Math" w:hAnsi="Cambria Math"/>
                </w:rPr>
              </m:ctrlPr>
            </m:e>
          </m:eqArr>
        </m:oMath>
      </m:oMathPara>
    </w:p>
    <w:p w14:paraId="73384D98">
      <w:pPr>
        <w:pStyle w:val="26"/>
        <w:ind w:firstLine="420"/>
      </w:pPr>
      <w:r>
        <w:t>其中</w:t>
      </w:r>
      <w:r>
        <w:rPr>
          <w:rFonts w:hint="eastAsia"/>
        </w:rPr>
        <w:t xml:space="preserve"> </w:t>
      </w:r>
      <m:oMath>
        <m:r>
          <m:rPr/>
          <w:rPr>
            <w:rFonts w:hint="eastAsia" w:ascii="Cambria Math" w:hAnsi="Cambria Math"/>
          </w:rPr>
          <m:t>f</m:t>
        </m:r>
        <m:d>
          <m:dPr>
            <m:ctrlPr>
              <w:rPr>
                <w:rFonts w:ascii="Cambria Math" w:hAnsi="Cambria Math"/>
              </w:rPr>
            </m:ctrlPr>
          </m:dPr>
          <m:e>
            <m:acc>
              <m:accPr>
                <m:ctrlPr>
                  <w:rPr>
                    <w:rFonts w:ascii="Cambria Math" w:hAnsi="Cambria Math"/>
                  </w:rPr>
                </m:ctrlPr>
              </m:accPr>
              <m:e>
                <m:r>
                  <m:rPr/>
                  <w:rPr>
                    <w:rFonts w:hint="eastAsia" w:ascii="Cambria Math" w:hAnsi="Cambria Math"/>
                  </w:rPr>
                  <m:t>P</m:t>
                </m:r>
                <m:ctrlPr>
                  <w:rPr>
                    <w:rFonts w:ascii="Cambria Math" w:hAnsi="Cambria Math"/>
                  </w:rPr>
                </m:ctrlPr>
              </m:e>
            </m:acc>
            <m:ctrlPr>
              <w:rPr>
                <w:rFonts w:ascii="Cambria Math" w:hAnsi="Cambria Math"/>
              </w:rPr>
            </m:ctrlPr>
          </m:e>
        </m:d>
      </m:oMath>
      <w:r>
        <w:rPr>
          <w:rFonts w:hint="eastAsia"/>
        </w:rPr>
        <w:t xml:space="preserve"> </w:t>
      </w:r>
      <w:r>
        <w:t>是 CVSS 评分函数，它将预测的 CVSS 指标映射到严重性分数。严重性分数表示整体漏洞严重性，通常介于 0 到 10 之间。该评估基于模型从漏洞描述中提取相关特征并利用 CVSS 指标之间的相互关系的能力，从而有助于漏洞严重性预测方法的准确性和通用性。</w:t>
      </w:r>
    </w:p>
    <w:p w14:paraId="5205B0C3">
      <w:pPr>
        <w:pStyle w:val="48"/>
      </w:pPr>
      <w:bookmarkStart w:id="11" w:name="_Toc27905"/>
      <w:r>
        <w:rPr>
          <w:rFonts w:hint="eastAsia"/>
        </w:rPr>
        <w:t>2.2功能二代码虚拟化</w:t>
      </w:r>
      <w:bookmarkEnd w:id="11"/>
    </w:p>
    <w:p w14:paraId="3F5AFC16">
      <w:pPr>
        <w:pStyle w:val="26"/>
        <w:ind w:firstLine="420"/>
      </w:pPr>
      <w:r>
        <w:rPr>
          <w:rFonts w:hint="eastAsia"/>
        </w:rPr>
        <w:t>在编译加壳的“保护阶段”，系统提取出目标原始指令，将其翻译并编码为一套专属的虚拟“字节码”，随后将这些字节码连同负责解析的“虚拟解释器”一并植入目标程序，并修改原入口为跳转指令；在程序实际运行的“执行阶段”，当控制流到达受保护区域时，将触发内嵌的虚拟解释器接管程序，由其内部的主循环（VMLoop）不断地读取、解析字节码，并分发给对应的处理模块（Handlers）进行动态模拟执行，待核心逻辑执行完毕后再退出虚拟机并交还真实的 CPU 控制权，从而通过这种“黑盒内二次解释”的机制彻底掩盖真实的底层运行逻辑，大幅提升逆向破解的难度。具体如图2-8所示。</w:t>
      </w:r>
    </w:p>
    <w:p w14:paraId="2085AA44">
      <w:pPr>
        <w:pStyle w:val="41"/>
      </w:pPr>
      <w:r>
        <w:drawing>
          <wp:inline distT="0" distB="0" distL="114300" distR="114300">
            <wp:extent cx="4522470" cy="2524125"/>
            <wp:effectExtent l="0" t="0" r="0" b="952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15"/>
                    <a:stretch>
                      <a:fillRect/>
                    </a:stretch>
                  </pic:blipFill>
                  <pic:spPr>
                    <a:xfrm>
                      <a:off x="0" y="0"/>
                      <a:ext cx="4533611" cy="2530531"/>
                    </a:xfrm>
                    <a:prstGeom prst="rect">
                      <a:avLst/>
                    </a:prstGeom>
                  </pic:spPr>
                </pic:pic>
              </a:graphicData>
            </a:graphic>
          </wp:inline>
        </w:drawing>
      </w:r>
    </w:p>
    <w:p w14:paraId="42E1B71D">
      <w:pPr>
        <w:pStyle w:val="42"/>
        <w:spacing w:after="312"/>
        <w:rPr>
          <w:rFonts w:hint="eastAsia"/>
        </w:rPr>
      </w:pPr>
      <w:r>
        <w:rPr>
          <w:rFonts w:hint="eastAsia"/>
        </w:rPr>
        <w:t>图2-8 代码虚拟化功能示意图</w:t>
      </w:r>
    </w:p>
    <w:p w14:paraId="683AA727">
      <w:pPr>
        <w:pStyle w:val="50"/>
      </w:pPr>
      <w:bookmarkStart w:id="12" w:name="_Toc7032"/>
      <w:r>
        <w:rPr>
          <w:rFonts w:hint="eastAsia"/>
        </w:rPr>
        <w:t>2.2.1 代码虚拟化技术</w:t>
      </w:r>
      <w:bookmarkEnd w:id="12"/>
    </w:p>
    <w:p w14:paraId="2D2B7848">
      <w:pPr>
        <w:pStyle w:val="26"/>
        <w:ind w:firstLine="420"/>
      </w:pPr>
      <w:r>
        <w:rPr>
          <w:rFonts w:hint="eastAsia"/>
        </w:rPr>
        <w:t>代码虚拟化是一种代码安全保护技术，其核心原理是“抽离与重构”，技术路线图如2-9所示。它在软件编译阶段，将原本容易被常规逆向工具解析的标准明文指令（如 .NET 的 MSIL 指令），翻译并转换为一套完全脱离公共规范、且只有开发者自定义的“虚拟字节码”；随后，系统会将这些非标准的字节码连同一个专门配套的“虚拟解释器”一并封装进最终的程序中。当程序实际运行时，受保护的核心逻辑不再由操作系统的真实 CPU 或标准的底层环境直接执行，而是交由内嵌的虚拟解释器接管，通过其内部的主循环动态地读取、解析并模拟执行这些乱码般的字节码，如图--所示。这种“黑盒内二次解释”的机制彻底掩盖了软件原本的执行意图，使得攻击者面对的只是一堆毫无规律的私有数据，从而极大地拔高了逆向分析和防破解的技术门槛。</w:t>
      </w:r>
    </w:p>
    <w:p w14:paraId="77B23852">
      <w:pPr>
        <w:pStyle w:val="41"/>
      </w:pPr>
      <w:r>
        <w:rPr>
          <w:rFonts w:hint="eastAsia"/>
        </w:rPr>
        <w:drawing>
          <wp:inline distT="0" distB="0" distL="114300" distR="114300">
            <wp:extent cx="4481195" cy="1814195"/>
            <wp:effectExtent l="0" t="0" r="14605" b="14605"/>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6"/>
                    <a:stretch>
                      <a:fillRect/>
                    </a:stretch>
                  </pic:blipFill>
                  <pic:spPr>
                    <a:xfrm>
                      <a:off x="0" y="0"/>
                      <a:ext cx="4485103" cy="1816066"/>
                    </a:xfrm>
                    <a:prstGeom prst="rect">
                      <a:avLst/>
                    </a:prstGeom>
                  </pic:spPr>
                </pic:pic>
              </a:graphicData>
            </a:graphic>
          </wp:inline>
        </w:drawing>
      </w:r>
    </w:p>
    <w:p w14:paraId="0B279DA6">
      <w:pPr>
        <w:pStyle w:val="42"/>
        <w:spacing w:after="312"/>
        <w:rPr>
          <w:rFonts w:hint="eastAsia"/>
        </w:rPr>
      </w:pPr>
      <w:r>
        <w:rPr>
          <w:rFonts w:hint="eastAsia"/>
        </w:rPr>
        <w:t>图 2-9 基于代码虚拟化技术线路</w:t>
      </w:r>
    </w:p>
    <w:p w14:paraId="09D7A686">
      <w:pPr>
        <w:pStyle w:val="50"/>
      </w:pPr>
      <w:bookmarkStart w:id="13" w:name="_Toc7337"/>
      <w:r>
        <w:rPr>
          <w:rFonts w:hint="eastAsia"/>
        </w:rPr>
        <w:t>2.2.2 常量保护技术</w:t>
      </w:r>
      <w:bookmarkEnd w:id="13"/>
    </w:p>
    <w:p w14:paraId="311C2584">
      <w:pPr>
        <w:pStyle w:val="26"/>
        <w:ind w:firstLine="420"/>
      </w:pPr>
      <w:r>
        <w:rPr>
          <w:rFonts w:hint="eastAsia"/>
        </w:rPr>
        <w:t>该技术主要对程序代码中暴露的明文常量（如字符串、整型、浮点数等）进行深度扫描与提取，并将其转换为高强度的加密状态。只有当程序执行且实际调用到该常量时，系统才会触发动态解密机制。这种“即用即解”的策略，有效防止了攻击者通过静态分析直接获取敏感数据，实现了对程序内关键常量的精准保护，具体流程如图2-10所示。</w:t>
      </w:r>
    </w:p>
    <w:p w14:paraId="1FD813B2">
      <w:pPr>
        <w:pStyle w:val="41"/>
      </w:pPr>
      <w:r>
        <w:rPr>
          <w:rFonts w:hint="eastAsia"/>
        </w:rPr>
        <w:drawing>
          <wp:inline distT="0" distB="0" distL="114300" distR="114300">
            <wp:extent cx="2397125" cy="2547620"/>
            <wp:effectExtent l="0" t="0" r="3175" b="5080"/>
            <wp:docPr id="8" name="图片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
                    <pic:cNvPicPr>
                      <a:picLocks noChangeAspect="1"/>
                    </pic:cNvPicPr>
                  </pic:nvPicPr>
                  <pic:blipFill>
                    <a:blip r:embed="rId17"/>
                    <a:stretch>
                      <a:fillRect/>
                    </a:stretch>
                  </pic:blipFill>
                  <pic:spPr>
                    <a:xfrm>
                      <a:off x="0" y="0"/>
                      <a:ext cx="2397125" cy="2547620"/>
                    </a:xfrm>
                    <a:prstGeom prst="rect">
                      <a:avLst/>
                    </a:prstGeom>
                  </pic:spPr>
                </pic:pic>
              </a:graphicData>
            </a:graphic>
          </wp:inline>
        </w:drawing>
      </w:r>
    </w:p>
    <w:p w14:paraId="3F7845DE">
      <w:pPr>
        <w:pStyle w:val="42"/>
        <w:spacing w:after="312"/>
        <w:rPr>
          <w:rFonts w:hint="eastAsia"/>
        </w:rPr>
      </w:pPr>
      <w:r>
        <w:rPr>
          <w:rFonts w:hint="eastAsia"/>
        </w:rPr>
        <w:t>图2-10 混淆过程示意图</w:t>
      </w:r>
    </w:p>
    <w:p w14:paraId="041D23F4">
      <w:pPr>
        <w:pStyle w:val="50"/>
      </w:pPr>
      <w:bookmarkStart w:id="14" w:name="_Toc32646"/>
      <w:r>
        <w:rPr>
          <w:rFonts w:hint="eastAsia"/>
        </w:rPr>
        <w:t>2.2.3 反调试技术</w:t>
      </w:r>
      <w:bookmarkEnd w:id="14"/>
    </w:p>
    <w:p w14:paraId="6CF8F3FF">
      <w:pPr>
        <w:pStyle w:val="26"/>
        <w:ind w:firstLine="420"/>
      </w:pPr>
      <w:r>
        <w:rPr>
          <w:rFonts w:hint="eastAsia"/>
        </w:rPr>
        <w:t>反调试技术是抵御动态逆向工程的重要防线，旨在阻碍攻击者对目标进程进行动态调试跟踪。通常，程序在调试器环境下的执行速度会显著低于正常运行，且调试器会优先拦截异常事件。针对攻击者常用的下断点、单步跟踪等分析手段，本系统综合运用了时钟检测、异常处理接管、软硬件断点检测等多种策略。这些机制在程序运行期间不断监测调试行为，一旦发现异常，便立即启动相应的反制策略，干扰并切断调试器的跟踪流程，从而有效隐藏并保护程序的核心代码与数据，具体流程如图2-11所示。</w:t>
      </w:r>
    </w:p>
    <w:p w14:paraId="25B56BDC">
      <w:pPr>
        <w:pStyle w:val="41"/>
      </w:pPr>
      <w:r>
        <w:rPr>
          <w:rFonts w:hint="eastAsia"/>
        </w:rPr>
        <w:drawing>
          <wp:inline distT="0" distB="0" distL="114300" distR="114300">
            <wp:extent cx="4199890" cy="3975100"/>
            <wp:effectExtent l="0" t="0" r="0" b="6350"/>
            <wp:docPr id="11" name="图片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
                    <pic:cNvPicPr>
                      <a:picLocks noChangeAspect="1"/>
                    </pic:cNvPicPr>
                  </pic:nvPicPr>
                  <pic:blipFill>
                    <a:blip r:embed="rId18"/>
                    <a:stretch>
                      <a:fillRect/>
                    </a:stretch>
                  </pic:blipFill>
                  <pic:spPr>
                    <a:xfrm>
                      <a:off x="0" y="0"/>
                      <a:ext cx="4204126" cy="3979188"/>
                    </a:xfrm>
                    <a:prstGeom prst="rect">
                      <a:avLst/>
                    </a:prstGeom>
                  </pic:spPr>
                </pic:pic>
              </a:graphicData>
            </a:graphic>
          </wp:inline>
        </w:drawing>
      </w:r>
    </w:p>
    <w:p w14:paraId="3BF791E4">
      <w:pPr>
        <w:pStyle w:val="42"/>
        <w:spacing w:after="312"/>
        <w:rPr>
          <w:rFonts w:hint="eastAsia"/>
        </w:rPr>
      </w:pPr>
      <w:r>
        <w:rPr>
          <w:rFonts w:hint="eastAsia"/>
        </w:rPr>
        <w:t>图2-11 反调试检测流程图</w:t>
      </w:r>
    </w:p>
    <w:p w14:paraId="23A4AFCC">
      <w:pPr>
        <w:pStyle w:val="50"/>
      </w:pPr>
      <w:bookmarkStart w:id="15" w:name="_Toc16144"/>
      <w:r>
        <w:rPr>
          <w:rFonts w:hint="eastAsia"/>
        </w:rPr>
        <w:t>2.2.4 反 Dump 技术</w:t>
      </w:r>
      <w:bookmarkEnd w:id="15"/>
    </w:p>
    <w:p w14:paraId="7FF8E206">
      <w:pPr>
        <w:pStyle w:val="26"/>
        <w:ind w:firstLine="420"/>
      </w:pPr>
      <w:r>
        <w:rPr>
          <w:rFonts w:hint="eastAsia"/>
        </w:rPr>
        <w:t>对于设置了注册机制或经过特殊加密的软件，其代码必须在内存中解密后方能正常执行。攻击者常利用内存转储（Dump）技术，在程序解密运行后直接抓取完整的内存状态，进而导出未加密的原始执行文件。为应对这一威胁，本系统采用了主动防御的反 Dump 技术：在程序载入内存并动态运行时，系统会自动抹除 PE 头等关键的非执行特征信息。这一机制使得运行时的内存结构变得残缺不全，导致调试器无法将完整的程序执行状态保存到 Dump 文件中，彻底阻断了通过内存转储窃取核心逻辑的途径。</w:t>
      </w:r>
    </w:p>
    <w:p w14:paraId="0A03F3DF">
      <w:pPr>
        <w:pStyle w:val="50"/>
      </w:pPr>
      <w:bookmarkStart w:id="16" w:name="_Toc13761"/>
      <w:r>
        <w:rPr>
          <w:rFonts w:hint="eastAsia"/>
        </w:rPr>
        <w:t>2.2.5 控制流保护技术</w:t>
      </w:r>
      <w:bookmarkEnd w:id="16"/>
    </w:p>
    <w:p w14:paraId="54AF76DF">
      <w:pPr>
        <w:pStyle w:val="26"/>
        <w:ind w:firstLine="420"/>
      </w:pPr>
      <w:r>
        <w:rPr>
          <w:rFonts w:hint="eastAsia"/>
        </w:rPr>
        <w:t>该技术旨在有效防御控制流劫持攻击。系统通过深度分析程序的源代码或中间代码生成精确的控制流图（CFG），确保每一条间接控制流转移指令（如间接 call、jmp、ret 等）都严格对应一个合法有效的目标集合，从而在运行时动态校验跳转的合法性。为进一步提升防护强度，本系统在此基础上将原有的连续指令代码分割成多个微小的基本块，并刻意打乱这些基本块在方法体中的物理排列顺序。同时，在其中注入大量的 switch 和 loop 伪造逻辑，极大增加了程序的控制流复杂度，使静态分析工具彻底迷失，无法还原真实的指令流程，具体流程如图2-12所示。</w:t>
      </w:r>
    </w:p>
    <w:p w14:paraId="6A702013">
      <w:pPr>
        <w:pStyle w:val="41"/>
      </w:pPr>
      <w:r>
        <w:rPr>
          <w:rFonts w:hint="eastAsia"/>
        </w:rPr>
        <w:drawing>
          <wp:inline distT="0" distB="0" distL="114300" distR="114300">
            <wp:extent cx="2566670" cy="3018155"/>
            <wp:effectExtent l="0" t="0" r="5080" b="0"/>
            <wp:docPr id="12" name="图片 1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
                    <pic:cNvPicPr>
                      <a:picLocks noChangeAspect="1"/>
                    </pic:cNvPicPr>
                  </pic:nvPicPr>
                  <pic:blipFill>
                    <a:blip r:embed="rId19"/>
                    <a:stretch>
                      <a:fillRect/>
                    </a:stretch>
                  </pic:blipFill>
                  <pic:spPr>
                    <a:xfrm>
                      <a:off x="0" y="0"/>
                      <a:ext cx="2585121" cy="3039867"/>
                    </a:xfrm>
                    <a:prstGeom prst="rect">
                      <a:avLst/>
                    </a:prstGeom>
                  </pic:spPr>
                </pic:pic>
              </a:graphicData>
            </a:graphic>
          </wp:inline>
        </w:drawing>
      </w:r>
    </w:p>
    <w:p w14:paraId="6A8B7BA6">
      <w:pPr>
        <w:pStyle w:val="42"/>
        <w:spacing w:after="312"/>
        <w:rPr>
          <w:rFonts w:hint="eastAsia"/>
        </w:rPr>
      </w:pPr>
      <w:r>
        <w:rPr>
          <w:rFonts w:hint="eastAsia"/>
        </w:rPr>
        <w:t>图2-12 控制混淆过程示意图</w:t>
      </w:r>
    </w:p>
    <w:p w14:paraId="04138E16">
      <w:pPr>
        <w:pStyle w:val="50"/>
      </w:pPr>
      <w:bookmarkStart w:id="17" w:name="_Toc10412"/>
      <w:r>
        <w:rPr>
          <w:rFonts w:hint="eastAsia"/>
        </w:rPr>
        <w:t>2.2.6 资源保护技术</w:t>
      </w:r>
      <w:bookmarkEnd w:id="17"/>
    </w:p>
    <w:p w14:paraId="7D3EA25A">
      <w:pPr>
        <w:pStyle w:val="26"/>
        <w:ind w:firstLine="420"/>
      </w:pPr>
      <w:r>
        <w:rPr>
          <w:rFonts w:hint="eastAsia"/>
        </w:rPr>
        <w:t>该技术专门针对 .NET 程序集中的托管资源进行加固。它利用深度代码混淆与加密算法，将原本具有高可读性的明文代码转换为机器无法轻易识别的乱码形态。通过这种底层的加密处理，系统能够将核心的方法体完全隐藏，使得常规的反编译软件无法解析并获取真实的业务逻辑。这一举措直接切断了逆向工程师轻易分析执行流程和提取运行数据的可能，从根源上防止了软件被非法破解和盗版，有效捍卫了核心算法的知识产权，具体流程如图2-13所示。</w:t>
      </w:r>
    </w:p>
    <w:p w14:paraId="66E75805">
      <w:pPr>
        <w:pStyle w:val="41"/>
      </w:pPr>
      <w:r>
        <w:rPr>
          <w:rFonts w:hint="eastAsia"/>
        </w:rPr>
        <w:drawing>
          <wp:inline distT="0" distB="0" distL="114300" distR="114300">
            <wp:extent cx="4363085" cy="1216025"/>
            <wp:effectExtent l="0" t="0" r="0" b="3175"/>
            <wp:docPr id="13" name="图片 1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
                    <pic:cNvPicPr>
                      <a:picLocks noChangeAspect="1"/>
                    </pic:cNvPicPr>
                  </pic:nvPicPr>
                  <pic:blipFill>
                    <a:blip r:embed="rId20"/>
                    <a:stretch>
                      <a:fillRect/>
                    </a:stretch>
                  </pic:blipFill>
                  <pic:spPr>
                    <a:xfrm>
                      <a:off x="0" y="0"/>
                      <a:ext cx="4388011" cy="1222889"/>
                    </a:xfrm>
                    <a:prstGeom prst="rect">
                      <a:avLst/>
                    </a:prstGeom>
                  </pic:spPr>
                </pic:pic>
              </a:graphicData>
            </a:graphic>
          </wp:inline>
        </w:drawing>
      </w:r>
    </w:p>
    <w:p w14:paraId="5428A570">
      <w:pPr>
        <w:pStyle w:val="42"/>
        <w:spacing w:after="312"/>
        <w:rPr>
          <w:rFonts w:hint="eastAsia"/>
        </w:rPr>
      </w:pPr>
      <w:r>
        <w:rPr>
          <w:rFonts w:hint="eastAsia"/>
        </w:rPr>
        <w:t>图2-13 资源保护技术过程</w:t>
      </w:r>
    </w:p>
    <w:p w14:paraId="365F8990">
      <w:pPr>
        <w:pStyle w:val="50"/>
        <w:keepNext/>
        <w:keepLines/>
        <w:widowControl/>
      </w:pPr>
      <w:bookmarkStart w:id="18" w:name="_Toc9764"/>
      <w:r>
        <w:rPr>
          <w:rFonts w:hint="eastAsia"/>
        </w:rPr>
        <w:t>2.2.7 名称保护</w:t>
      </w:r>
      <w:bookmarkEnd w:id="18"/>
    </w:p>
    <w:p w14:paraId="0A2D24EB">
      <w:pPr>
        <w:pStyle w:val="26"/>
        <w:ind w:firstLine="420"/>
      </w:pPr>
      <w:r>
        <w:rPr>
          <w:rFonts w:hint="eastAsia"/>
        </w:rPr>
        <w:t>本系统借鉴了下一代网络架构的典型代表——命名数据网络（NDN，以内容为中心、支持分布式缓存）的核心安全思想。在 NDN 中，通信的核心从物理位置转移到了数据本身。为了防止敏感信息通过标识符泄露，本技术运用了类似名称后缀加密、真假名称混淆映射以及兴趣包加密等高阶手段来保护程序的名称标识。正如 NDN 网络强制要求所有内容块必须经过发布者签名一样，本系统也通过严格的校验机制，确保了程序内部核心命名和流转数据的完整性与源认证，大幅提升了系统的防篡改与隐私保护能力。</w:t>
      </w:r>
    </w:p>
    <w:p w14:paraId="00EE096A">
      <w:pPr>
        <w:pStyle w:val="41"/>
        <w:rPr>
          <w:rFonts w:hint="eastAsia" w:ascii="宋体" w:hAnsi="宋体"/>
          <w:sz w:val="21"/>
        </w:rPr>
      </w:pPr>
      <w:r>
        <w:drawing>
          <wp:inline distT="0" distB="0" distL="0" distR="0">
            <wp:extent cx="4271645" cy="1920875"/>
            <wp:effectExtent l="0" t="0" r="0" b="3175"/>
            <wp:docPr id="216939307" name="图片 21693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39307" name="图片 21693930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271645" cy="1920875"/>
                    </a:xfrm>
                    <a:prstGeom prst="rect">
                      <a:avLst/>
                    </a:prstGeom>
                  </pic:spPr>
                </pic:pic>
              </a:graphicData>
            </a:graphic>
          </wp:inline>
        </w:drawing>
      </w:r>
    </w:p>
    <w:p w14:paraId="46EBEA45">
      <w:pPr>
        <w:pStyle w:val="42"/>
        <w:spacing w:after="312"/>
        <w:rPr>
          <w:rFonts w:hint="eastAsia"/>
        </w:rPr>
      </w:pPr>
      <w:r>
        <w:rPr>
          <w:rFonts w:hint="eastAsia"/>
        </w:rPr>
        <w:t>图2-14 IP 网络与 NDN 网络的沙漏架构</w:t>
      </w:r>
    </w:p>
    <w:p w14:paraId="63872CD6">
      <w:pPr>
        <w:widowControl/>
        <w:spacing w:line="240" w:lineRule="auto"/>
        <w:jc w:val="left"/>
        <w:rPr>
          <w:rFonts w:hint="eastAsia" w:ascii="宋体" w:hAnsi="宋体"/>
          <w:color w:val="000000"/>
          <w:sz w:val="21"/>
          <w:szCs w:val="21"/>
        </w:rPr>
      </w:pPr>
      <w:r>
        <w:rPr>
          <w:rFonts w:hint="eastAsia"/>
          <w:sz w:val="21"/>
          <w:szCs w:val="21"/>
        </w:rPr>
        <w:br w:type="page"/>
      </w:r>
    </w:p>
    <w:p w14:paraId="53CFF5E4">
      <w:pPr>
        <w:pStyle w:val="3"/>
      </w:pPr>
      <w:bookmarkStart w:id="19" w:name="_Toc22915"/>
      <w:r>
        <w:rPr>
          <w:rFonts w:hint="eastAsia"/>
        </w:rPr>
        <w:t xml:space="preserve">第三章 </w:t>
      </w:r>
      <w:r>
        <w:t>项目演示过程</w:t>
      </w:r>
      <w:bookmarkEnd w:id="19"/>
    </w:p>
    <w:p w14:paraId="6C191819">
      <w:pPr>
        <w:pStyle w:val="26"/>
        <w:ind w:firstLine="422"/>
        <w:rPr>
          <w:b/>
          <w:bCs/>
        </w:rPr>
      </w:pPr>
      <w:r>
        <w:rPr>
          <w:b/>
          <w:bCs/>
        </w:rPr>
        <w:t>步骤1：用户登录</w:t>
      </w:r>
    </w:p>
    <w:p w14:paraId="19BE62FB">
      <w:pPr>
        <w:pStyle w:val="26"/>
        <w:ind w:firstLine="420"/>
      </w:pPr>
      <w:r>
        <w:t>打开浏览器访问系统首页（</w:t>
      </w:r>
      <w:r>
        <w:rPr>
          <w:rFonts w:hint="eastAsia"/>
        </w:rPr>
        <w:t>http://127.0.0.1:8000/login/?next=/vulnerabilities/</w:t>
      </w:r>
      <w:r>
        <w:t>）。</w:t>
      </w:r>
    </w:p>
    <w:p w14:paraId="37E8003D">
      <w:pPr>
        <w:pStyle w:val="41"/>
      </w:pPr>
      <w:r>
        <w:drawing>
          <wp:inline distT="0" distB="0" distL="0" distR="0">
            <wp:extent cx="5274310" cy="2730500"/>
            <wp:effectExtent l="0" t="0" r="2540" b="0"/>
            <wp:docPr id="429516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16590" name="图片 1"/>
                    <pic:cNvPicPr>
                      <a:picLocks noChangeAspect="1"/>
                    </pic:cNvPicPr>
                  </pic:nvPicPr>
                  <pic:blipFill>
                    <a:blip r:embed="rId22"/>
                    <a:stretch>
                      <a:fillRect/>
                    </a:stretch>
                  </pic:blipFill>
                  <pic:spPr>
                    <a:xfrm>
                      <a:off x="0" y="0"/>
                      <a:ext cx="5274310" cy="2730500"/>
                    </a:xfrm>
                    <a:prstGeom prst="rect">
                      <a:avLst/>
                    </a:prstGeom>
                  </pic:spPr>
                </pic:pic>
              </a:graphicData>
            </a:graphic>
          </wp:inline>
        </w:drawing>
      </w:r>
    </w:p>
    <w:p w14:paraId="5A5E01D2">
      <w:pPr>
        <w:pStyle w:val="42"/>
        <w:spacing w:after="312"/>
        <w:rPr>
          <w:rFonts w:hint="eastAsia"/>
        </w:rPr>
      </w:pPr>
      <w:r>
        <w:rPr>
          <w:rFonts w:hint="eastAsia"/>
        </w:rPr>
        <w:t>图3-15 洞见首页</w:t>
      </w:r>
    </w:p>
    <w:p w14:paraId="6378B113">
      <w:pPr>
        <w:pStyle w:val="26"/>
        <w:keepNext/>
        <w:keepLines/>
        <w:widowControl/>
        <w:ind w:firstLine="420"/>
      </w:pPr>
      <w:r>
        <w:t>输入用户名和密码，点击“登录”按钮。</w:t>
      </w:r>
    </w:p>
    <w:p w14:paraId="282E134D">
      <w:pPr>
        <w:pStyle w:val="41"/>
      </w:pPr>
      <w:r>
        <w:drawing>
          <wp:inline distT="0" distB="0" distL="0" distR="0">
            <wp:extent cx="5274310" cy="2730500"/>
            <wp:effectExtent l="0" t="0" r="2540" b="0"/>
            <wp:docPr id="255942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42797" name="图片 1"/>
                    <pic:cNvPicPr>
                      <a:picLocks noChangeAspect="1"/>
                    </pic:cNvPicPr>
                  </pic:nvPicPr>
                  <pic:blipFill>
                    <a:blip r:embed="rId23"/>
                    <a:stretch>
                      <a:fillRect/>
                    </a:stretch>
                  </pic:blipFill>
                  <pic:spPr>
                    <a:xfrm>
                      <a:off x="0" y="0"/>
                      <a:ext cx="5274310" cy="2730500"/>
                    </a:xfrm>
                    <a:prstGeom prst="rect">
                      <a:avLst/>
                    </a:prstGeom>
                  </pic:spPr>
                </pic:pic>
              </a:graphicData>
            </a:graphic>
          </wp:inline>
        </w:drawing>
      </w:r>
    </w:p>
    <w:p w14:paraId="0AA72BF2">
      <w:pPr>
        <w:pStyle w:val="42"/>
        <w:spacing w:after="312"/>
        <w:rPr>
          <w:rFonts w:hint="eastAsia"/>
        </w:rPr>
      </w:pPr>
      <w:r>
        <w:rPr>
          <w:rFonts w:hint="eastAsia"/>
        </w:rPr>
        <w:t>图3-16 洞见登陆页面</w:t>
      </w:r>
    </w:p>
    <w:p w14:paraId="4A4D9484">
      <w:pPr>
        <w:pStyle w:val="26"/>
        <w:ind w:firstLine="422"/>
        <w:rPr>
          <w:b/>
          <w:bCs/>
        </w:rPr>
      </w:pPr>
      <w:r>
        <w:rPr>
          <w:b/>
          <w:bCs/>
        </w:rPr>
        <w:t>步骤2：进入系统主界面（系统概览）</w:t>
      </w:r>
    </w:p>
    <w:p w14:paraId="1D476F3C">
      <w:pPr>
        <w:pStyle w:val="26"/>
        <w:ind w:firstLine="420"/>
      </w:pPr>
      <w:r>
        <w:t>登录成功后，进入“系统概览”页面。左侧菜单栏包含：新建项目、项目概况、代码漏洞检测、漏洞严重性评估、关键代码加密。</w:t>
      </w:r>
    </w:p>
    <w:p w14:paraId="58831E1F">
      <w:pPr>
        <w:pStyle w:val="41"/>
      </w:pPr>
      <w:r>
        <w:drawing>
          <wp:inline distT="0" distB="0" distL="0" distR="0">
            <wp:extent cx="5274310" cy="2730500"/>
            <wp:effectExtent l="0" t="0" r="2540" b="0"/>
            <wp:docPr id="870157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57200" name="图片 1"/>
                    <pic:cNvPicPr>
                      <a:picLocks noChangeAspect="1"/>
                    </pic:cNvPicPr>
                  </pic:nvPicPr>
                  <pic:blipFill>
                    <a:blip r:embed="rId24"/>
                    <a:stretch>
                      <a:fillRect/>
                    </a:stretch>
                  </pic:blipFill>
                  <pic:spPr>
                    <a:xfrm>
                      <a:off x="0" y="0"/>
                      <a:ext cx="5274310" cy="2730500"/>
                    </a:xfrm>
                    <a:prstGeom prst="rect">
                      <a:avLst/>
                    </a:prstGeom>
                  </pic:spPr>
                </pic:pic>
              </a:graphicData>
            </a:graphic>
          </wp:inline>
        </w:drawing>
      </w:r>
    </w:p>
    <w:p w14:paraId="3927767C">
      <w:pPr>
        <w:pStyle w:val="42"/>
        <w:spacing w:after="312"/>
        <w:rPr>
          <w:rFonts w:hint="eastAsia"/>
        </w:rPr>
      </w:pPr>
      <w:r>
        <w:rPr>
          <w:rFonts w:hint="eastAsia"/>
        </w:rPr>
        <w:t>图3-17 “系统概览”页面</w:t>
      </w:r>
    </w:p>
    <w:p w14:paraId="39F94A1D">
      <w:pPr>
        <w:pStyle w:val="26"/>
        <w:ind w:firstLine="420"/>
      </w:pPr>
      <w:r>
        <w:t>主区域展示统计卡片：总漏洞数、严重漏洞数、本月新增、本日新增，数据实时更新。</w:t>
      </w:r>
    </w:p>
    <w:p w14:paraId="2B9D16EC">
      <w:pPr>
        <w:pStyle w:val="41"/>
      </w:pPr>
      <w:r>
        <w:drawing>
          <wp:inline distT="0" distB="0" distL="0" distR="0">
            <wp:extent cx="5274310" cy="2730500"/>
            <wp:effectExtent l="0" t="0" r="2540" b="0"/>
            <wp:docPr id="79128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85960" name="图片 1"/>
                    <pic:cNvPicPr>
                      <a:picLocks noChangeAspect="1"/>
                    </pic:cNvPicPr>
                  </pic:nvPicPr>
                  <pic:blipFill>
                    <a:blip r:embed="rId25"/>
                    <a:stretch>
                      <a:fillRect/>
                    </a:stretch>
                  </pic:blipFill>
                  <pic:spPr>
                    <a:xfrm>
                      <a:off x="0" y="0"/>
                      <a:ext cx="5274310" cy="2730500"/>
                    </a:xfrm>
                    <a:prstGeom prst="rect">
                      <a:avLst/>
                    </a:prstGeom>
                  </pic:spPr>
                </pic:pic>
              </a:graphicData>
            </a:graphic>
          </wp:inline>
        </w:drawing>
      </w:r>
    </w:p>
    <w:p w14:paraId="44853426">
      <w:pPr>
        <w:pStyle w:val="42"/>
        <w:spacing w:after="312"/>
        <w:rPr>
          <w:rFonts w:hint="eastAsia"/>
        </w:rPr>
      </w:pPr>
      <w:r>
        <w:rPr>
          <w:rFonts w:hint="eastAsia"/>
        </w:rPr>
        <w:t>图3-18 “系统概览”页面信息</w:t>
      </w:r>
    </w:p>
    <w:p w14:paraId="452E7C88">
      <w:pPr>
        <w:pStyle w:val="26"/>
        <w:ind w:firstLine="422"/>
        <w:rPr>
          <w:b/>
          <w:bCs/>
        </w:rPr>
      </w:pPr>
      <w:r>
        <w:rPr>
          <w:b/>
          <w:bCs/>
        </w:rPr>
        <w:t>步骤3：新建项目并上传代码</w:t>
      </w:r>
    </w:p>
    <w:p w14:paraId="236C485F">
      <w:pPr>
        <w:pStyle w:val="26"/>
        <w:ind w:firstLine="420"/>
      </w:pPr>
      <w:r>
        <w:t>点击左侧“新建项目”按钮</w:t>
      </w:r>
      <w:r>
        <w:rPr>
          <w:rFonts w:hint="eastAsia"/>
        </w:rPr>
        <w:t>，</w:t>
      </w:r>
      <w:r>
        <w:t>填写项目名称（例如“test”）、项目负责人（默认为当前登录用户）</w:t>
      </w:r>
      <w:r>
        <w:rPr>
          <w:rFonts w:hint="eastAsia"/>
        </w:rPr>
        <w:t>。</w:t>
      </w:r>
    </w:p>
    <w:p w14:paraId="0C212B9F">
      <w:pPr>
        <w:pStyle w:val="41"/>
      </w:pPr>
      <w:r>
        <w:drawing>
          <wp:inline distT="0" distB="0" distL="0" distR="0">
            <wp:extent cx="4315460" cy="2233930"/>
            <wp:effectExtent l="0" t="0" r="8890" b="0"/>
            <wp:docPr id="248135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5459" name="图片 1"/>
                    <pic:cNvPicPr>
                      <a:picLocks noChangeAspect="1"/>
                    </pic:cNvPicPr>
                  </pic:nvPicPr>
                  <pic:blipFill>
                    <a:blip r:embed="rId26"/>
                    <a:stretch>
                      <a:fillRect/>
                    </a:stretch>
                  </pic:blipFill>
                  <pic:spPr>
                    <a:xfrm>
                      <a:off x="0" y="0"/>
                      <a:ext cx="4321243" cy="2237100"/>
                    </a:xfrm>
                    <a:prstGeom prst="rect">
                      <a:avLst/>
                    </a:prstGeom>
                  </pic:spPr>
                </pic:pic>
              </a:graphicData>
            </a:graphic>
          </wp:inline>
        </w:drawing>
      </w:r>
    </w:p>
    <w:p w14:paraId="6F9334B2">
      <w:pPr>
        <w:pStyle w:val="42"/>
        <w:spacing w:after="312"/>
        <w:rPr>
          <w:rFonts w:hint="eastAsia"/>
        </w:rPr>
      </w:pPr>
      <w:r>
        <w:rPr>
          <w:rFonts w:hint="eastAsia"/>
        </w:rPr>
        <w:t>图3-19 “新建项目”页面信息</w:t>
      </w:r>
    </w:p>
    <w:p w14:paraId="7D598ADE">
      <w:pPr>
        <w:pStyle w:val="26"/>
        <w:ind w:firstLine="420"/>
      </w:pPr>
      <w:r>
        <w:rPr>
          <w:rFonts w:hint="eastAsia"/>
        </w:rPr>
        <w:t>支持多种</w:t>
      </w:r>
      <w:r>
        <w:t>编程语言（例如“Python</w:t>
      </w:r>
      <w:r>
        <w:rPr>
          <w:rFonts w:hint="eastAsia"/>
        </w:rPr>
        <w:t>、Java、JavaScript、C#等</w:t>
      </w:r>
      <w:r>
        <w:t>”）。</w:t>
      </w:r>
    </w:p>
    <w:p w14:paraId="6F3170BD">
      <w:pPr>
        <w:pStyle w:val="41"/>
      </w:pPr>
      <w:r>
        <w:drawing>
          <wp:inline distT="0" distB="0" distL="0" distR="0">
            <wp:extent cx="5274310" cy="3868420"/>
            <wp:effectExtent l="0" t="0" r="2540" b="0"/>
            <wp:docPr id="904483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83809" name="图片 1"/>
                    <pic:cNvPicPr>
                      <a:picLocks noChangeAspect="1"/>
                    </pic:cNvPicPr>
                  </pic:nvPicPr>
                  <pic:blipFill>
                    <a:blip r:embed="rId27"/>
                    <a:stretch>
                      <a:fillRect/>
                    </a:stretch>
                  </pic:blipFill>
                  <pic:spPr>
                    <a:xfrm>
                      <a:off x="0" y="0"/>
                      <a:ext cx="5274310" cy="3868420"/>
                    </a:xfrm>
                    <a:prstGeom prst="rect">
                      <a:avLst/>
                    </a:prstGeom>
                  </pic:spPr>
                </pic:pic>
              </a:graphicData>
            </a:graphic>
          </wp:inline>
        </w:drawing>
      </w:r>
    </w:p>
    <w:p w14:paraId="56BEF9DF">
      <w:pPr>
        <w:pStyle w:val="42"/>
        <w:spacing w:after="312"/>
        <w:rPr>
          <w:rFonts w:hint="eastAsia"/>
        </w:rPr>
      </w:pPr>
      <w:r>
        <w:rPr>
          <w:rFonts w:hint="eastAsia"/>
        </w:rPr>
        <w:t>图3-20 “选择语言”页面信息</w:t>
      </w:r>
    </w:p>
    <w:p w14:paraId="7784B98C">
      <w:pPr>
        <w:pStyle w:val="26"/>
        <w:ind w:firstLine="420"/>
      </w:pPr>
      <w:r>
        <w:t>在“代码片段”区域，点击添加按钮，逐段输入或粘贴代码。为演示批量处理能力，依次添加四个代码片段（其中包含SQL注入漏洞示例）。</w:t>
      </w:r>
    </w:p>
    <w:p w14:paraId="39CF3263">
      <w:pPr>
        <w:pStyle w:val="41"/>
      </w:pPr>
      <w:r>
        <w:drawing>
          <wp:inline distT="0" distB="0" distL="0" distR="0">
            <wp:extent cx="5274310" cy="2730500"/>
            <wp:effectExtent l="0" t="0" r="2540" b="0"/>
            <wp:docPr id="2076663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3595" name="图片 1"/>
                    <pic:cNvPicPr>
                      <a:picLocks noChangeAspect="1"/>
                    </pic:cNvPicPr>
                  </pic:nvPicPr>
                  <pic:blipFill>
                    <a:blip r:embed="rId28"/>
                    <a:stretch>
                      <a:fillRect/>
                    </a:stretch>
                  </pic:blipFill>
                  <pic:spPr>
                    <a:xfrm>
                      <a:off x="0" y="0"/>
                      <a:ext cx="5274310" cy="2730500"/>
                    </a:xfrm>
                    <a:prstGeom prst="rect">
                      <a:avLst/>
                    </a:prstGeom>
                  </pic:spPr>
                </pic:pic>
              </a:graphicData>
            </a:graphic>
          </wp:inline>
        </w:drawing>
      </w:r>
    </w:p>
    <w:p w14:paraId="5CCCC3A0">
      <w:pPr>
        <w:pStyle w:val="42"/>
        <w:spacing w:after="312"/>
        <w:rPr>
          <w:rFonts w:hint="eastAsia"/>
        </w:rPr>
      </w:pPr>
      <w:r>
        <w:rPr>
          <w:rFonts w:hint="eastAsia"/>
        </w:rPr>
        <w:t>图3-21 “代码判断”页面信息-1</w:t>
      </w:r>
    </w:p>
    <w:p w14:paraId="3679ABCA">
      <w:pPr>
        <w:pStyle w:val="41"/>
      </w:pPr>
      <w:r>
        <w:drawing>
          <wp:inline distT="0" distB="0" distL="0" distR="0">
            <wp:extent cx="5274310" cy="2730500"/>
            <wp:effectExtent l="0" t="0" r="2540" b="0"/>
            <wp:docPr id="1741669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69712" name="图片 1"/>
                    <pic:cNvPicPr>
                      <a:picLocks noChangeAspect="1"/>
                    </pic:cNvPicPr>
                  </pic:nvPicPr>
                  <pic:blipFill>
                    <a:blip r:embed="rId29"/>
                    <a:stretch>
                      <a:fillRect/>
                    </a:stretch>
                  </pic:blipFill>
                  <pic:spPr>
                    <a:xfrm>
                      <a:off x="0" y="0"/>
                      <a:ext cx="5274310" cy="2730500"/>
                    </a:xfrm>
                    <a:prstGeom prst="rect">
                      <a:avLst/>
                    </a:prstGeom>
                  </pic:spPr>
                </pic:pic>
              </a:graphicData>
            </a:graphic>
          </wp:inline>
        </w:drawing>
      </w:r>
    </w:p>
    <w:p w14:paraId="74C035FA">
      <w:pPr>
        <w:pStyle w:val="42"/>
        <w:spacing w:after="312"/>
        <w:rPr>
          <w:rFonts w:hint="eastAsia"/>
        </w:rPr>
      </w:pPr>
      <w:r>
        <w:rPr>
          <w:rFonts w:hint="eastAsia"/>
        </w:rPr>
        <w:t>图3-22 “代码判断”页面信息-2</w:t>
      </w:r>
    </w:p>
    <w:p w14:paraId="0CE3B09C">
      <w:pPr>
        <w:pStyle w:val="26"/>
        <w:ind w:firstLine="420"/>
      </w:pPr>
      <w:r>
        <w:t>系统</w:t>
      </w:r>
      <w:r>
        <w:rPr>
          <w:rFonts w:hint="eastAsia"/>
        </w:rPr>
        <w:t>显示</w:t>
      </w:r>
      <w:r>
        <w:t>大语言模型已预热加载完毕。</w:t>
      </w:r>
    </w:p>
    <w:p w14:paraId="15FAFCA8">
      <w:pPr>
        <w:pStyle w:val="41"/>
      </w:pPr>
      <w:r>
        <w:drawing>
          <wp:inline distT="0" distB="0" distL="0" distR="0">
            <wp:extent cx="5274310" cy="2727960"/>
            <wp:effectExtent l="0" t="0" r="2540" b="0"/>
            <wp:docPr id="1153591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1346" name="图片 1"/>
                    <pic:cNvPicPr>
                      <a:picLocks noChangeAspect="1"/>
                    </pic:cNvPicPr>
                  </pic:nvPicPr>
                  <pic:blipFill>
                    <a:blip r:embed="rId30"/>
                    <a:stretch>
                      <a:fillRect/>
                    </a:stretch>
                  </pic:blipFill>
                  <pic:spPr>
                    <a:xfrm>
                      <a:off x="0" y="0"/>
                      <a:ext cx="5274310" cy="2727960"/>
                    </a:xfrm>
                    <a:prstGeom prst="rect">
                      <a:avLst/>
                    </a:prstGeom>
                  </pic:spPr>
                </pic:pic>
              </a:graphicData>
            </a:graphic>
          </wp:inline>
        </w:drawing>
      </w:r>
    </w:p>
    <w:p w14:paraId="58BB8468">
      <w:pPr>
        <w:pStyle w:val="42"/>
        <w:spacing w:after="312"/>
        <w:rPr>
          <w:rFonts w:hint="eastAsia"/>
        </w:rPr>
      </w:pPr>
      <w:r>
        <w:rPr>
          <w:rFonts w:hint="eastAsia"/>
        </w:rPr>
        <w:t>图3-23 调用大语言模型预热</w:t>
      </w:r>
    </w:p>
    <w:p w14:paraId="2CD37FA5">
      <w:pPr>
        <w:pStyle w:val="26"/>
        <w:ind w:firstLine="422"/>
        <w:rPr>
          <w:b/>
          <w:bCs/>
        </w:rPr>
      </w:pPr>
      <w:r>
        <w:rPr>
          <w:b/>
          <w:bCs/>
        </w:rPr>
        <w:t>步骤4：异步检测与进度跟踪</w:t>
      </w:r>
    </w:p>
    <w:p w14:paraId="48D4AC11">
      <w:pPr>
        <w:pStyle w:val="26"/>
        <w:ind w:firstLine="420"/>
      </w:pPr>
      <w:r>
        <w:t>点击“提交检测”按钮</w:t>
      </w:r>
      <w:r>
        <w:rPr>
          <w:rFonts w:hint="eastAsia"/>
        </w:rPr>
        <w:t>，</w:t>
      </w:r>
      <w:r>
        <w:t>系统进入两个处理阶段：漏洞检测</w:t>
      </w:r>
      <w:r>
        <w:rPr>
          <w:rFonts w:hint="eastAsia"/>
        </w:rPr>
        <w:t xml:space="preserve"> </w:t>
      </w:r>
      <w:r>
        <w:t>→</w:t>
      </w:r>
      <w:r>
        <w:rPr>
          <w:rFonts w:hint="eastAsia"/>
        </w:rPr>
        <w:t xml:space="preserve"> </w:t>
      </w:r>
      <w:r>
        <w:t>CVE预测。</w:t>
      </w:r>
    </w:p>
    <w:p w14:paraId="21D9DAD3">
      <w:pPr>
        <w:pStyle w:val="41"/>
      </w:pPr>
      <w:r>
        <w:drawing>
          <wp:inline distT="0" distB="0" distL="0" distR="0">
            <wp:extent cx="5274310" cy="1896745"/>
            <wp:effectExtent l="0" t="0" r="2540" b="8255"/>
            <wp:docPr id="1204090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90496" name="图片 1"/>
                    <pic:cNvPicPr>
                      <a:picLocks noChangeAspect="1"/>
                    </pic:cNvPicPr>
                  </pic:nvPicPr>
                  <pic:blipFill>
                    <a:blip r:embed="rId31"/>
                    <a:stretch>
                      <a:fillRect/>
                    </a:stretch>
                  </pic:blipFill>
                  <pic:spPr>
                    <a:xfrm>
                      <a:off x="0" y="0"/>
                      <a:ext cx="5274310" cy="1896745"/>
                    </a:xfrm>
                    <a:prstGeom prst="rect">
                      <a:avLst/>
                    </a:prstGeom>
                  </pic:spPr>
                </pic:pic>
              </a:graphicData>
            </a:graphic>
          </wp:inline>
        </w:drawing>
      </w:r>
    </w:p>
    <w:p w14:paraId="3DAC918A">
      <w:pPr>
        <w:pStyle w:val="42"/>
        <w:spacing w:after="312"/>
        <w:rPr>
          <w:rFonts w:hint="eastAsia"/>
        </w:rPr>
      </w:pPr>
      <w:r>
        <w:rPr>
          <w:rFonts w:hint="eastAsia"/>
        </w:rPr>
        <w:t xml:space="preserve">图3-24 </w:t>
      </w:r>
      <w:r>
        <w:t>系统</w:t>
      </w:r>
      <w:r>
        <w:rPr>
          <w:rFonts w:hint="eastAsia"/>
        </w:rPr>
        <w:t>提交检测</w:t>
      </w:r>
    </w:p>
    <w:p w14:paraId="20584083">
      <w:pPr>
        <w:pStyle w:val="26"/>
        <w:ind w:firstLine="420"/>
      </w:pPr>
      <w:r>
        <w:t>界面实时显示进度：</w:t>
      </w:r>
    </w:p>
    <w:p w14:paraId="74AFB236">
      <w:pPr>
        <w:pStyle w:val="26"/>
        <w:ind w:firstLine="420"/>
      </w:pPr>
      <w:r>
        <w:t>“第一个片段检测完成，开始检测第二个片段……”</w:t>
      </w:r>
    </w:p>
    <w:p w14:paraId="1354AC8B">
      <w:pPr>
        <w:pStyle w:val="41"/>
      </w:pPr>
      <w:r>
        <w:drawing>
          <wp:inline distT="0" distB="0" distL="0" distR="0">
            <wp:extent cx="5274310" cy="2730500"/>
            <wp:effectExtent l="0" t="0" r="2540" b="0"/>
            <wp:docPr id="148126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3867" name="图片 1"/>
                    <pic:cNvPicPr>
                      <a:picLocks noChangeAspect="1"/>
                    </pic:cNvPicPr>
                  </pic:nvPicPr>
                  <pic:blipFill>
                    <a:blip r:embed="rId32"/>
                    <a:stretch>
                      <a:fillRect/>
                    </a:stretch>
                  </pic:blipFill>
                  <pic:spPr>
                    <a:xfrm>
                      <a:off x="0" y="0"/>
                      <a:ext cx="5274310" cy="2730500"/>
                    </a:xfrm>
                    <a:prstGeom prst="rect">
                      <a:avLst/>
                    </a:prstGeom>
                  </pic:spPr>
                </pic:pic>
              </a:graphicData>
            </a:graphic>
          </wp:inline>
        </w:drawing>
      </w:r>
    </w:p>
    <w:p w14:paraId="326C0BC4">
      <w:pPr>
        <w:pStyle w:val="42"/>
        <w:spacing w:after="312"/>
        <w:rPr>
          <w:rFonts w:hint="eastAsia"/>
        </w:rPr>
      </w:pPr>
      <w:r>
        <w:rPr>
          <w:rFonts w:hint="eastAsia"/>
        </w:rPr>
        <w:t>图3-25 显示实时检测过程</w:t>
      </w:r>
    </w:p>
    <w:p w14:paraId="760C2BAD">
      <w:pPr>
        <w:pStyle w:val="26"/>
        <w:ind w:firstLine="420"/>
      </w:pPr>
      <w:r>
        <w:t>所有片段检测完成后，显示“调用CVE预测模块，读取生成的CSV文件”。</w:t>
      </w:r>
    </w:p>
    <w:p w14:paraId="4BF48502">
      <w:pPr>
        <w:pStyle w:val="41"/>
        <w:rPr>
          <w:b/>
          <w:bCs/>
        </w:rPr>
      </w:pPr>
      <w:r>
        <w:drawing>
          <wp:inline distT="0" distB="0" distL="0" distR="0">
            <wp:extent cx="5274310" cy="2730500"/>
            <wp:effectExtent l="0" t="0" r="2540" b="0"/>
            <wp:docPr id="672457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57240" name="图片 1"/>
                    <pic:cNvPicPr>
                      <a:picLocks noChangeAspect="1"/>
                    </pic:cNvPicPr>
                  </pic:nvPicPr>
                  <pic:blipFill>
                    <a:blip r:embed="rId33"/>
                    <a:stretch>
                      <a:fillRect/>
                    </a:stretch>
                  </pic:blipFill>
                  <pic:spPr>
                    <a:xfrm>
                      <a:off x="0" y="0"/>
                      <a:ext cx="5274310" cy="2730500"/>
                    </a:xfrm>
                    <a:prstGeom prst="rect">
                      <a:avLst/>
                    </a:prstGeom>
                  </pic:spPr>
                </pic:pic>
              </a:graphicData>
            </a:graphic>
          </wp:inline>
        </w:drawing>
      </w:r>
    </w:p>
    <w:p w14:paraId="7E9F6C9F">
      <w:pPr>
        <w:pStyle w:val="42"/>
        <w:spacing w:after="312"/>
        <w:rPr>
          <w:rFonts w:hint="eastAsia"/>
        </w:rPr>
      </w:pPr>
      <w:r>
        <w:rPr>
          <w:rFonts w:hint="eastAsia"/>
        </w:rPr>
        <w:t>图3-26 检测完成，</w:t>
      </w:r>
      <w:r>
        <w:t>调用CVE预测模块</w:t>
      </w:r>
    </w:p>
    <w:p w14:paraId="45171A3B">
      <w:pPr>
        <w:pStyle w:val="26"/>
        <w:ind w:firstLine="420"/>
      </w:pPr>
      <w:r>
        <w:t>系统后台执行TF-IDF特征提取，将漏洞描述文本转换为数值向量，并使用堆叠机器学习模型预测每个漏洞的严重等级（Critical/High/Medium/Low）。</w:t>
      </w:r>
    </w:p>
    <w:p w14:paraId="225616B0">
      <w:pPr>
        <w:pStyle w:val="41"/>
      </w:pPr>
      <w:r>
        <w:drawing>
          <wp:inline distT="0" distB="0" distL="0" distR="0">
            <wp:extent cx="5274310" cy="2783205"/>
            <wp:effectExtent l="0" t="0" r="2540" b="0"/>
            <wp:docPr id="1937951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51267" name="图片 1"/>
                    <pic:cNvPicPr>
                      <a:picLocks noChangeAspect="1"/>
                    </pic:cNvPicPr>
                  </pic:nvPicPr>
                  <pic:blipFill>
                    <a:blip r:embed="rId34"/>
                    <a:stretch>
                      <a:fillRect/>
                    </a:stretch>
                  </pic:blipFill>
                  <pic:spPr>
                    <a:xfrm>
                      <a:off x="0" y="0"/>
                      <a:ext cx="5274310" cy="2783205"/>
                    </a:xfrm>
                    <a:prstGeom prst="rect">
                      <a:avLst/>
                    </a:prstGeom>
                  </pic:spPr>
                </pic:pic>
              </a:graphicData>
            </a:graphic>
          </wp:inline>
        </w:drawing>
      </w:r>
    </w:p>
    <w:p w14:paraId="5BB11BD4">
      <w:pPr>
        <w:pStyle w:val="42"/>
        <w:spacing w:after="312"/>
        <w:rPr>
          <w:rFonts w:hint="eastAsia"/>
        </w:rPr>
      </w:pPr>
      <w:r>
        <w:rPr>
          <w:rFonts w:hint="eastAsia"/>
        </w:rPr>
        <w:t>图3-27 生成预测等级</w:t>
      </w:r>
    </w:p>
    <w:p w14:paraId="34856F34">
      <w:pPr>
        <w:pStyle w:val="26"/>
        <w:ind w:firstLine="420"/>
      </w:pPr>
      <w:r>
        <w:t>处理完成后，自动保存结果到数据库，并跳转到项目详情页。</w:t>
      </w:r>
    </w:p>
    <w:p w14:paraId="7E07F9E6">
      <w:pPr>
        <w:pStyle w:val="41"/>
      </w:pPr>
      <w:r>
        <w:drawing>
          <wp:inline distT="0" distB="0" distL="0" distR="0">
            <wp:extent cx="5274310" cy="3164205"/>
            <wp:effectExtent l="0" t="0" r="2540" b="0"/>
            <wp:docPr id="891242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42130" name="图片 1"/>
                    <pic:cNvPicPr>
                      <a:picLocks noChangeAspect="1"/>
                    </pic:cNvPicPr>
                  </pic:nvPicPr>
                  <pic:blipFill>
                    <a:blip r:embed="rId35"/>
                    <a:stretch>
                      <a:fillRect/>
                    </a:stretch>
                  </pic:blipFill>
                  <pic:spPr>
                    <a:xfrm>
                      <a:off x="0" y="0"/>
                      <a:ext cx="5274310" cy="3164205"/>
                    </a:xfrm>
                    <a:prstGeom prst="rect">
                      <a:avLst/>
                    </a:prstGeom>
                  </pic:spPr>
                </pic:pic>
              </a:graphicData>
            </a:graphic>
          </wp:inline>
        </w:drawing>
      </w:r>
    </w:p>
    <w:p w14:paraId="130AEEDC">
      <w:pPr>
        <w:pStyle w:val="42"/>
        <w:spacing w:after="312"/>
        <w:rPr>
          <w:rFonts w:hint="eastAsia"/>
        </w:rPr>
      </w:pPr>
      <w:r>
        <w:rPr>
          <w:rFonts w:hint="eastAsia"/>
        </w:rPr>
        <w:t>图3-28 结果保存到数据库</w:t>
      </w:r>
    </w:p>
    <w:p w14:paraId="257A1C9B">
      <w:pPr>
        <w:pStyle w:val="41"/>
      </w:pPr>
      <w:r>
        <w:drawing>
          <wp:inline distT="0" distB="0" distL="0" distR="0">
            <wp:extent cx="5274310" cy="2900680"/>
            <wp:effectExtent l="0" t="0" r="2540" b="0"/>
            <wp:docPr id="993467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67305" name="图片 1"/>
                    <pic:cNvPicPr>
                      <a:picLocks noChangeAspect="1"/>
                    </pic:cNvPicPr>
                  </pic:nvPicPr>
                  <pic:blipFill>
                    <a:blip r:embed="rId36"/>
                    <a:stretch>
                      <a:fillRect/>
                    </a:stretch>
                  </pic:blipFill>
                  <pic:spPr>
                    <a:xfrm>
                      <a:off x="0" y="0"/>
                      <a:ext cx="5274310" cy="2900680"/>
                    </a:xfrm>
                    <a:prstGeom prst="rect">
                      <a:avLst/>
                    </a:prstGeom>
                  </pic:spPr>
                </pic:pic>
              </a:graphicData>
            </a:graphic>
          </wp:inline>
        </w:drawing>
      </w:r>
    </w:p>
    <w:p w14:paraId="58A82001">
      <w:pPr>
        <w:pStyle w:val="42"/>
        <w:spacing w:after="312"/>
        <w:rPr>
          <w:rFonts w:hint="eastAsia"/>
        </w:rPr>
      </w:pPr>
      <w:r>
        <w:rPr>
          <w:rFonts w:hint="eastAsia"/>
        </w:rPr>
        <w:t>图3-29 数据库展示</w:t>
      </w:r>
    </w:p>
    <w:p w14:paraId="44E09AF5">
      <w:pPr>
        <w:pStyle w:val="26"/>
        <w:ind w:firstLine="422"/>
        <w:rPr>
          <w:b/>
          <w:bCs/>
        </w:rPr>
      </w:pPr>
      <w:r>
        <w:rPr>
          <w:b/>
          <w:bCs/>
        </w:rPr>
        <w:t>步骤5：查看检测结果</w:t>
      </w:r>
    </w:p>
    <w:p w14:paraId="77A5859D">
      <w:pPr>
        <w:pStyle w:val="26"/>
        <w:ind w:firstLine="420"/>
      </w:pPr>
      <w:r>
        <w:rPr>
          <w:rFonts w:hint="eastAsia"/>
        </w:rPr>
        <w:t>项目概况详情页，可以查看和删除各个项目的详细情况：</w:t>
      </w:r>
    </w:p>
    <w:p w14:paraId="2403C55C">
      <w:pPr>
        <w:pStyle w:val="41"/>
        <w:rPr>
          <w:b/>
          <w:bCs/>
        </w:rPr>
      </w:pPr>
      <w:r>
        <w:drawing>
          <wp:inline distT="0" distB="0" distL="0" distR="0">
            <wp:extent cx="5274310" cy="2730500"/>
            <wp:effectExtent l="0" t="0" r="2540" b="0"/>
            <wp:docPr id="107906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6013" name="图片 1"/>
                    <pic:cNvPicPr>
                      <a:picLocks noChangeAspect="1"/>
                    </pic:cNvPicPr>
                  </pic:nvPicPr>
                  <pic:blipFill>
                    <a:blip r:embed="rId37"/>
                    <a:stretch>
                      <a:fillRect/>
                    </a:stretch>
                  </pic:blipFill>
                  <pic:spPr>
                    <a:xfrm>
                      <a:off x="0" y="0"/>
                      <a:ext cx="5274310" cy="2730500"/>
                    </a:xfrm>
                    <a:prstGeom prst="rect">
                      <a:avLst/>
                    </a:prstGeom>
                  </pic:spPr>
                </pic:pic>
              </a:graphicData>
            </a:graphic>
          </wp:inline>
        </w:drawing>
      </w:r>
    </w:p>
    <w:p w14:paraId="3FB70E7F">
      <w:pPr>
        <w:pStyle w:val="42"/>
        <w:spacing w:after="312"/>
        <w:rPr>
          <w:rFonts w:hint="eastAsia"/>
        </w:rPr>
      </w:pPr>
      <w:r>
        <w:rPr>
          <w:rFonts w:hint="eastAsia"/>
        </w:rPr>
        <w:t>图3-30 最终结果查看</w:t>
      </w:r>
    </w:p>
    <w:p w14:paraId="6CB40131">
      <w:pPr>
        <w:pStyle w:val="26"/>
        <w:ind w:firstLine="0" w:firstLineChars="0"/>
      </w:pPr>
      <w:r>
        <w:t>项目详情页展示：</w:t>
      </w:r>
    </w:p>
    <w:p w14:paraId="509E9396">
      <w:pPr>
        <w:pStyle w:val="26"/>
        <w:ind w:firstLine="422"/>
      </w:pPr>
      <w:r>
        <w:rPr>
          <w:b/>
          <w:bCs/>
        </w:rPr>
        <w:t>项目基本信息</w:t>
      </w:r>
      <w:r>
        <w:t>：项目名称、编程语言、检测时间。</w:t>
      </w:r>
    </w:p>
    <w:p w14:paraId="6E90B2C9">
      <w:pPr>
        <w:pStyle w:val="41"/>
      </w:pPr>
      <w:r>
        <w:drawing>
          <wp:inline distT="0" distB="0" distL="0" distR="0">
            <wp:extent cx="5274310" cy="2785745"/>
            <wp:effectExtent l="0" t="0" r="2540" b="0"/>
            <wp:docPr id="2096193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93706" name="图片 1"/>
                    <pic:cNvPicPr>
                      <a:picLocks noChangeAspect="1"/>
                    </pic:cNvPicPr>
                  </pic:nvPicPr>
                  <pic:blipFill>
                    <a:blip r:embed="rId38"/>
                    <a:stretch>
                      <a:fillRect/>
                    </a:stretch>
                  </pic:blipFill>
                  <pic:spPr>
                    <a:xfrm>
                      <a:off x="0" y="0"/>
                      <a:ext cx="5274310" cy="2785745"/>
                    </a:xfrm>
                    <a:prstGeom prst="rect">
                      <a:avLst/>
                    </a:prstGeom>
                  </pic:spPr>
                </pic:pic>
              </a:graphicData>
            </a:graphic>
          </wp:inline>
        </w:drawing>
      </w:r>
    </w:p>
    <w:p w14:paraId="4027CC4B">
      <w:pPr>
        <w:pStyle w:val="42"/>
        <w:spacing w:after="312"/>
        <w:rPr>
          <w:rFonts w:hint="eastAsia"/>
        </w:rPr>
      </w:pPr>
      <w:r>
        <w:rPr>
          <w:rFonts w:hint="eastAsia"/>
        </w:rPr>
        <w:t>图3-31 单个项目信息查看</w:t>
      </w:r>
    </w:p>
    <w:p w14:paraId="51D53C13">
      <w:pPr>
        <w:pStyle w:val="26"/>
        <w:ind w:firstLine="422"/>
      </w:pPr>
      <w:r>
        <w:rPr>
          <w:b/>
          <w:bCs/>
        </w:rPr>
        <w:t>漏洞统计卡片</w:t>
      </w:r>
      <w:r>
        <w:t>：黑色（严重）、红色（高危）、黄色（中危）、绿色（低危），分别显示数量。</w:t>
      </w:r>
    </w:p>
    <w:p w14:paraId="7C6E9524">
      <w:pPr>
        <w:pStyle w:val="41"/>
      </w:pPr>
      <w:r>
        <w:drawing>
          <wp:inline distT="0" distB="0" distL="0" distR="0">
            <wp:extent cx="5274310" cy="464820"/>
            <wp:effectExtent l="0" t="0" r="2540" b="0"/>
            <wp:docPr id="1842729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29106" name="图片 1"/>
                    <pic:cNvPicPr>
                      <a:picLocks noChangeAspect="1"/>
                    </pic:cNvPicPr>
                  </pic:nvPicPr>
                  <pic:blipFill>
                    <a:blip r:embed="rId39"/>
                    <a:stretch>
                      <a:fillRect/>
                    </a:stretch>
                  </pic:blipFill>
                  <pic:spPr>
                    <a:xfrm>
                      <a:off x="0" y="0"/>
                      <a:ext cx="5274310" cy="464820"/>
                    </a:xfrm>
                    <a:prstGeom prst="rect">
                      <a:avLst/>
                    </a:prstGeom>
                  </pic:spPr>
                </pic:pic>
              </a:graphicData>
            </a:graphic>
          </wp:inline>
        </w:drawing>
      </w:r>
    </w:p>
    <w:p w14:paraId="395C8A07">
      <w:pPr>
        <w:pStyle w:val="42"/>
        <w:spacing w:after="312"/>
        <w:rPr>
          <w:rFonts w:hint="eastAsia"/>
        </w:rPr>
      </w:pPr>
      <w:r>
        <w:rPr>
          <w:rFonts w:hint="eastAsia"/>
        </w:rPr>
        <w:t>图3-32 漏洞统计结果</w:t>
      </w:r>
    </w:p>
    <w:p w14:paraId="2E280370">
      <w:pPr>
        <w:pStyle w:val="26"/>
        <w:ind w:firstLine="422"/>
      </w:pPr>
      <w:r>
        <w:rPr>
          <w:b/>
          <w:bCs/>
        </w:rPr>
        <w:t>漏洞列表表格</w:t>
      </w:r>
      <w:r>
        <w:t>：包含漏洞描述、CWE编号、严重等级、置信度等列。可点击查看详细漏洞信息和修复建议。</w:t>
      </w:r>
    </w:p>
    <w:p w14:paraId="5018B1CF">
      <w:pPr>
        <w:pStyle w:val="41"/>
      </w:pPr>
      <w:r>
        <w:drawing>
          <wp:inline distT="0" distB="0" distL="0" distR="0">
            <wp:extent cx="5274310" cy="1424305"/>
            <wp:effectExtent l="0" t="0" r="2540" b="4445"/>
            <wp:docPr id="51645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5514" name="图片 1"/>
                    <pic:cNvPicPr>
                      <a:picLocks noChangeAspect="1"/>
                    </pic:cNvPicPr>
                  </pic:nvPicPr>
                  <pic:blipFill>
                    <a:blip r:embed="rId40"/>
                    <a:stretch>
                      <a:fillRect/>
                    </a:stretch>
                  </pic:blipFill>
                  <pic:spPr>
                    <a:xfrm>
                      <a:off x="0" y="0"/>
                      <a:ext cx="5274310" cy="1424305"/>
                    </a:xfrm>
                    <a:prstGeom prst="rect">
                      <a:avLst/>
                    </a:prstGeom>
                  </pic:spPr>
                </pic:pic>
              </a:graphicData>
            </a:graphic>
          </wp:inline>
        </w:drawing>
      </w:r>
    </w:p>
    <w:p w14:paraId="5E6A2F09">
      <w:pPr>
        <w:pStyle w:val="42"/>
        <w:spacing w:after="312"/>
        <w:rPr>
          <w:rFonts w:hint="eastAsia"/>
        </w:rPr>
      </w:pPr>
      <w:r>
        <w:rPr>
          <w:rFonts w:hint="eastAsia"/>
        </w:rPr>
        <w:t>图3-33 漏洞列表</w:t>
      </w:r>
    </w:p>
    <w:p w14:paraId="2A9B4822">
      <w:pPr>
        <w:pStyle w:val="26"/>
        <w:ind w:firstLine="420"/>
      </w:pPr>
      <w:r>
        <w:t>查看</w:t>
      </w:r>
      <w:r>
        <w:rPr>
          <w:rFonts w:hint="eastAsia"/>
        </w:rPr>
        <w:t>code_1</w:t>
      </w:r>
      <w:r>
        <w:t>详细漏洞信息和修复建议</w:t>
      </w:r>
      <w:r>
        <w:rPr>
          <w:rFonts w:hint="eastAsia"/>
        </w:rPr>
        <w:t>：</w:t>
      </w:r>
    </w:p>
    <w:p w14:paraId="222B0E5B">
      <w:pPr>
        <w:pStyle w:val="41"/>
        <w:keepNext/>
        <w:keepLines/>
      </w:pPr>
      <w:r>
        <w:drawing>
          <wp:inline distT="0" distB="0" distL="0" distR="0">
            <wp:extent cx="5274310" cy="1355090"/>
            <wp:effectExtent l="0" t="0" r="2540" b="0"/>
            <wp:docPr id="604343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3429" name="图片 1"/>
                    <pic:cNvPicPr>
                      <a:picLocks noChangeAspect="1"/>
                    </pic:cNvPicPr>
                  </pic:nvPicPr>
                  <pic:blipFill>
                    <a:blip r:embed="rId41"/>
                    <a:stretch>
                      <a:fillRect/>
                    </a:stretch>
                  </pic:blipFill>
                  <pic:spPr>
                    <a:xfrm>
                      <a:off x="0" y="0"/>
                      <a:ext cx="5274310" cy="1355090"/>
                    </a:xfrm>
                    <a:prstGeom prst="rect">
                      <a:avLst/>
                    </a:prstGeom>
                  </pic:spPr>
                </pic:pic>
              </a:graphicData>
            </a:graphic>
          </wp:inline>
        </w:drawing>
      </w:r>
    </w:p>
    <w:p w14:paraId="68D26FE7">
      <w:pPr>
        <w:pStyle w:val="42"/>
        <w:spacing w:after="312"/>
        <w:rPr>
          <w:rFonts w:hint="eastAsia"/>
        </w:rPr>
      </w:pPr>
      <w:r>
        <w:rPr>
          <w:rFonts w:hint="eastAsia"/>
        </w:rPr>
        <w:t>图3-34 查看漏洞详细信息</w:t>
      </w:r>
    </w:p>
    <w:p w14:paraId="6C1BEF9F">
      <w:pPr>
        <w:pStyle w:val="41"/>
      </w:pPr>
      <w:r>
        <w:drawing>
          <wp:inline distT="0" distB="0" distL="0" distR="0">
            <wp:extent cx="5274310" cy="2595245"/>
            <wp:effectExtent l="0" t="0" r="2540" b="0"/>
            <wp:docPr id="1271957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57137" name="图片 1"/>
                    <pic:cNvPicPr>
                      <a:picLocks noChangeAspect="1"/>
                    </pic:cNvPicPr>
                  </pic:nvPicPr>
                  <pic:blipFill>
                    <a:blip r:embed="rId42"/>
                    <a:stretch>
                      <a:fillRect/>
                    </a:stretch>
                  </pic:blipFill>
                  <pic:spPr>
                    <a:xfrm>
                      <a:off x="0" y="0"/>
                      <a:ext cx="5274310" cy="2595245"/>
                    </a:xfrm>
                    <a:prstGeom prst="rect">
                      <a:avLst/>
                    </a:prstGeom>
                  </pic:spPr>
                </pic:pic>
              </a:graphicData>
            </a:graphic>
          </wp:inline>
        </w:drawing>
      </w:r>
    </w:p>
    <w:p w14:paraId="06C48686">
      <w:pPr>
        <w:pStyle w:val="42"/>
        <w:spacing w:after="312"/>
        <w:rPr>
          <w:rFonts w:hint="eastAsia"/>
        </w:rPr>
      </w:pPr>
      <w:r>
        <w:rPr>
          <w:rFonts w:hint="eastAsia"/>
        </w:rPr>
        <w:t>图3-35 漏洞详细信息</w:t>
      </w:r>
    </w:p>
    <w:p w14:paraId="3C697B8D">
      <w:pPr>
        <w:pStyle w:val="41"/>
      </w:pPr>
      <w:r>
        <w:drawing>
          <wp:inline distT="0" distB="0" distL="0" distR="0">
            <wp:extent cx="5274310" cy="2310765"/>
            <wp:effectExtent l="0" t="0" r="2540" b="0"/>
            <wp:docPr id="678496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96779" name="图片 1"/>
                    <pic:cNvPicPr>
                      <a:picLocks noChangeAspect="1"/>
                    </pic:cNvPicPr>
                  </pic:nvPicPr>
                  <pic:blipFill>
                    <a:blip r:embed="rId43"/>
                    <a:stretch>
                      <a:fillRect/>
                    </a:stretch>
                  </pic:blipFill>
                  <pic:spPr>
                    <a:xfrm>
                      <a:off x="0" y="0"/>
                      <a:ext cx="5274310" cy="2310765"/>
                    </a:xfrm>
                    <a:prstGeom prst="rect">
                      <a:avLst/>
                    </a:prstGeom>
                  </pic:spPr>
                </pic:pic>
              </a:graphicData>
            </a:graphic>
          </wp:inline>
        </w:drawing>
      </w:r>
    </w:p>
    <w:p w14:paraId="35B5A4E5">
      <w:pPr>
        <w:pStyle w:val="42"/>
        <w:spacing w:after="312"/>
        <w:rPr>
          <w:rFonts w:hint="eastAsia"/>
        </w:rPr>
      </w:pPr>
      <w:r>
        <w:rPr>
          <w:rFonts w:hint="eastAsia"/>
        </w:rPr>
        <w:t>图3-36 漏洞详细描述</w:t>
      </w:r>
    </w:p>
    <w:p w14:paraId="1483A269">
      <w:pPr>
        <w:pStyle w:val="26"/>
        <w:ind w:firstLine="422"/>
        <w:rPr>
          <w:b/>
          <w:bCs/>
        </w:rPr>
      </w:pPr>
      <w:r>
        <w:rPr>
          <w:b/>
          <w:bCs/>
        </w:rPr>
        <w:t>步骤6：独立漏洞检测模块</w:t>
      </w:r>
    </w:p>
    <w:p w14:paraId="18FA58FC">
      <w:pPr>
        <w:pStyle w:val="26"/>
        <w:ind w:firstLine="420"/>
      </w:pPr>
      <w:r>
        <w:t>点击左侧“代码漏洞检测”，进入独立检测工具。</w:t>
      </w:r>
    </w:p>
    <w:p w14:paraId="57346FEC">
      <w:pPr>
        <w:pStyle w:val="41"/>
      </w:pPr>
      <w:r>
        <w:drawing>
          <wp:inline distT="0" distB="0" distL="0" distR="0">
            <wp:extent cx="5274310" cy="2740660"/>
            <wp:effectExtent l="0" t="0" r="2540" b="2540"/>
            <wp:docPr id="1255924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4302" name="图片 1"/>
                    <pic:cNvPicPr>
                      <a:picLocks noChangeAspect="1"/>
                    </pic:cNvPicPr>
                  </pic:nvPicPr>
                  <pic:blipFill>
                    <a:blip r:embed="rId44"/>
                    <a:stretch>
                      <a:fillRect/>
                    </a:stretch>
                  </pic:blipFill>
                  <pic:spPr>
                    <a:xfrm>
                      <a:off x="0" y="0"/>
                      <a:ext cx="5274310" cy="2740660"/>
                    </a:xfrm>
                    <a:prstGeom prst="rect">
                      <a:avLst/>
                    </a:prstGeom>
                  </pic:spPr>
                </pic:pic>
              </a:graphicData>
            </a:graphic>
          </wp:inline>
        </w:drawing>
      </w:r>
    </w:p>
    <w:p w14:paraId="11B6894E">
      <w:pPr>
        <w:pStyle w:val="42"/>
        <w:spacing w:after="312"/>
        <w:rPr>
          <w:rFonts w:hint="eastAsia"/>
        </w:rPr>
      </w:pPr>
      <w:r>
        <w:rPr>
          <w:rFonts w:hint="eastAsia"/>
        </w:rPr>
        <w:t xml:space="preserve">图3-37 </w:t>
      </w:r>
      <w:r>
        <w:t>代码漏洞检测</w:t>
      </w:r>
      <w:r>
        <w:rPr>
          <w:rFonts w:hint="eastAsia"/>
        </w:rPr>
        <w:t>页面</w:t>
      </w:r>
    </w:p>
    <w:p w14:paraId="22BE1D46">
      <w:pPr>
        <w:pStyle w:val="26"/>
        <w:ind w:firstLine="420"/>
      </w:pPr>
      <w:r>
        <w:t>在文本框中输入一段代码（例如包含漏洞的Python代码），点击“检测”按钮。</w:t>
      </w:r>
    </w:p>
    <w:p w14:paraId="7275D926">
      <w:pPr>
        <w:pStyle w:val="41"/>
      </w:pPr>
      <w:r>
        <w:drawing>
          <wp:inline distT="0" distB="0" distL="0" distR="0">
            <wp:extent cx="5274310" cy="1859280"/>
            <wp:effectExtent l="0" t="0" r="2540" b="7620"/>
            <wp:docPr id="395337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37627" name="图片 1"/>
                    <pic:cNvPicPr>
                      <a:picLocks noChangeAspect="1"/>
                    </pic:cNvPicPr>
                  </pic:nvPicPr>
                  <pic:blipFill>
                    <a:blip r:embed="rId45"/>
                    <a:stretch>
                      <a:fillRect/>
                    </a:stretch>
                  </pic:blipFill>
                  <pic:spPr>
                    <a:xfrm>
                      <a:off x="0" y="0"/>
                      <a:ext cx="5274310" cy="1859280"/>
                    </a:xfrm>
                    <a:prstGeom prst="rect">
                      <a:avLst/>
                    </a:prstGeom>
                  </pic:spPr>
                </pic:pic>
              </a:graphicData>
            </a:graphic>
          </wp:inline>
        </w:drawing>
      </w:r>
    </w:p>
    <w:p w14:paraId="2E187507">
      <w:pPr>
        <w:pStyle w:val="42"/>
        <w:spacing w:after="312"/>
        <w:rPr>
          <w:rFonts w:hint="eastAsia"/>
        </w:rPr>
      </w:pPr>
      <w:r>
        <w:rPr>
          <w:rFonts w:hint="eastAsia"/>
        </w:rPr>
        <w:t xml:space="preserve">图3-38 </w:t>
      </w:r>
      <w:r>
        <w:t>代码漏洞检测</w:t>
      </w:r>
      <w:r>
        <w:rPr>
          <w:rFonts w:hint="eastAsia"/>
        </w:rPr>
        <w:t>输入页面</w:t>
      </w:r>
    </w:p>
    <w:p w14:paraId="7B4E4882">
      <w:pPr>
        <w:pStyle w:val="26"/>
        <w:ind w:firstLine="420"/>
      </w:pPr>
      <w:r>
        <w:t>系统调用大语言模型，返回是否存在漏洞、CWE编号及漏洞原因分析。</w:t>
      </w:r>
    </w:p>
    <w:p w14:paraId="0540A18F">
      <w:pPr>
        <w:pStyle w:val="41"/>
        <w:keepNext/>
        <w:keepLines/>
      </w:pPr>
      <w:r>
        <w:drawing>
          <wp:inline distT="0" distB="0" distL="0" distR="0">
            <wp:extent cx="5274310" cy="2730500"/>
            <wp:effectExtent l="0" t="0" r="2540" b="0"/>
            <wp:docPr id="1192803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03255" name="图片 1"/>
                    <pic:cNvPicPr>
                      <a:picLocks noChangeAspect="1"/>
                    </pic:cNvPicPr>
                  </pic:nvPicPr>
                  <pic:blipFill>
                    <a:blip r:embed="rId46"/>
                    <a:stretch>
                      <a:fillRect/>
                    </a:stretch>
                  </pic:blipFill>
                  <pic:spPr>
                    <a:xfrm>
                      <a:off x="0" y="0"/>
                      <a:ext cx="5274310" cy="2730500"/>
                    </a:xfrm>
                    <a:prstGeom prst="rect">
                      <a:avLst/>
                    </a:prstGeom>
                  </pic:spPr>
                </pic:pic>
              </a:graphicData>
            </a:graphic>
          </wp:inline>
        </w:drawing>
      </w:r>
    </w:p>
    <w:p w14:paraId="1B82A805">
      <w:pPr>
        <w:pStyle w:val="42"/>
        <w:spacing w:after="312"/>
        <w:rPr>
          <w:rFonts w:hint="eastAsia"/>
        </w:rPr>
      </w:pPr>
      <w:r>
        <w:rPr>
          <w:rFonts w:hint="eastAsia"/>
        </w:rPr>
        <w:t xml:space="preserve">图3-39 </w:t>
      </w:r>
      <w:r>
        <w:t>代码漏洞检测</w:t>
      </w:r>
      <w:r>
        <w:rPr>
          <w:rFonts w:hint="eastAsia"/>
        </w:rPr>
        <w:t>输出页面</w:t>
      </w:r>
    </w:p>
    <w:p w14:paraId="7E747CB6">
      <w:pPr>
        <w:pStyle w:val="26"/>
        <w:ind w:firstLine="422"/>
        <w:rPr>
          <w:b/>
          <w:bCs/>
        </w:rPr>
      </w:pPr>
      <w:r>
        <w:rPr>
          <w:b/>
          <w:bCs/>
        </w:rPr>
        <w:t>步骤7：CVE严重程度预测（漏洞严重性评估）</w:t>
      </w:r>
    </w:p>
    <w:p w14:paraId="55E15B76">
      <w:pPr>
        <w:pStyle w:val="26"/>
        <w:ind w:firstLine="420"/>
      </w:pPr>
      <w:r>
        <w:t>点击“漏洞严重性评估”，进入CVE预测系统。</w:t>
      </w:r>
    </w:p>
    <w:p w14:paraId="417E95C2">
      <w:pPr>
        <w:pStyle w:val="41"/>
      </w:pPr>
      <w:r>
        <w:drawing>
          <wp:inline distT="0" distB="0" distL="0" distR="0">
            <wp:extent cx="5274310" cy="2678430"/>
            <wp:effectExtent l="0" t="0" r="2540" b="7620"/>
            <wp:docPr id="576868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68000" name="图片 1"/>
                    <pic:cNvPicPr>
                      <a:picLocks noChangeAspect="1"/>
                    </pic:cNvPicPr>
                  </pic:nvPicPr>
                  <pic:blipFill>
                    <a:blip r:embed="rId47"/>
                    <a:stretch>
                      <a:fillRect/>
                    </a:stretch>
                  </pic:blipFill>
                  <pic:spPr>
                    <a:xfrm>
                      <a:off x="0" y="0"/>
                      <a:ext cx="5274310" cy="2678430"/>
                    </a:xfrm>
                    <a:prstGeom prst="rect">
                      <a:avLst/>
                    </a:prstGeom>
                  </pic:spPr>
                </pic:pic>
              </a:graphicData>
            </a:graphic>
          </wp:inline>
        </w:drawing>
      </w:r>
    </w:p>
    <w:p w14:paraId="30440FCA">
      <w:pPr>
        <w:pStyle w:val="42"/>
        <w:spacing w:after="312"/>
        <w:rPr>
          <w:rFonts w:hint="eastAsia"/>
        </w:rPr>
      </w:pPr>
      <w:r>
        <w:rPr>
          <w:rFonts w:hint="eastAsia"/>
        </w:rPr>
        <w:t xml:space="preserve">图3-40 </w:t>
      </w:r>
      <w:r>
        <w:t>漏洞严重性评估</w:t>
      </w:r>
      <w:r>
        <w:rPr>
          <w:rFonts w:hint="eastAsia"/>
        </w:rPr>
        <w:t>输出页面</w:t>
      </w:r>
    </w:p>
    <w:p w14:paraId="3E1E89D5">
      <w:pPr>
        <w:pStyle w:val="26"/>
        <w:ind w:firstLine="422"/>
      </w:pPr>
      <w:r>
        <w:rPr>
          <w:b/>
          <w:bCs/>
        </w:rPr>
        <w:t>单条预测</w:t>
      </w:r>
      <w:r>
        <w:t>：在文本框中输入漏洞描述（例如“SQL注入漏洞描述”），点击“预测”，系统输出严重等级（如“高危”）和置信度（如85%）。</w:t>
      </w:r>
    </w:p>
    <w:p w14:paraId="349A74DD">
      <w:pPr>
        <w:pStyle w:val="41"/>
      </w:pPr>
      <w:r>
        <w:drawing>
          <wp:inline distT="0" distB="0" distL="0" distR="0">
            <wp:extent cx="5274310" cy="3251200"/>
            <wp:effectExtent l="0" t="0" r="2540" b="6350"/>
            <wp:docPr id="10285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0283" name="图片 1"/>
                    <pic:cNvPicPr>
                      <a:picLocks noChangeAspect="1"/>
                    </pic:cNvPicPr>
                  </pic:nvPicPr>
                  <pic:blipFill>
                    <a:blip r:embed="rId48"/>
                    <a:stretch>
                      <a:fillRect/>
                    </a:stretch>
                  </pic:blipFill>
                  <pic:spPr>
                    <a:xfrm>
                      <a:off x="0" y="0"/>
                      <a:ext cx="5274310" cy="3251200"/>
                    </a:xfrm>
                    <a:prstGeom prst="rect">
                      <a:avLst/>
                    </a:prstGeom>
                  </pic:spPr>
                </pic:pic>
              </a:graphicData>
            </a:graphic>
          </wp:inline>
        </w:drawing>
      </w:r>
    </w:p>
    <w:p w14:paraId="24821CE0">
      <w:pPr>
        <w:pStyle w:val="42"/>
        <w:spacing w:after="312"/>
        <w:rPr>
          <w:rFonts w:hint="eastAsia"/>
        </w:rPr>
      </w:pPr>
      <w:r>
        <w:rPr>
          <w:rFonts w:hint="eastAsia"/>
        </w:rPr>
        <w:t xml:space="preserve">图3-41 </w:t>
      </w:r>
      <w:r>
        <w:t>漏洞严重性评估</w:t>
      </w:r>
      <w:r>
        <w:rPr>
          <w:rFonts w:hint="eastAsia"/>
        </w:rPr>
        <w:t>输出页面详情</w:t>
      </w:r>
    </w:p>
    <w:p w14:paraId="2E9A8801">
      <w:pPr>
        <w:pStyle w:val="26"/>
        <w:ind w:firstLine="422"/>
      </w:pPr>
      <w:r>
        <w:rPr>
          <w:b/>
          <w:bCs/>
        </w:rPr>
        <w:t>批量预测</w:t>
      </w:r>
      <w:r>
        <w:t>：切换到“批量预测”标签，上传包含description列的CSV文件（可以是刚才项目导出的漏洞数据），点击“开始预测”。完成后下载包含预测结果的CSV文件（文件名自动添加_predictions后缀）。</w:t>
      </w:r>
    </w:p>
    <w:p w14:paraId="796064E7">
      <w:pPr>
        <w:pStyle w:val="41"/>
      </w:pPr>
      <w:r>
        <w:drawing>
          <wp:inline distT="0" distB="0" distL="0" distR="0">
            <wp:extent cx="5274310" cy="2278380"/>
            <wp:effectExtent l="0" t="0" r="2540" b="7620"/>
            <wp:docPr id="659853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3787" name="图片 1"/>
                    <pic:cNvPicPr>
                      <a:picLocks noChangeAspect="1"/>
                    </pic:cNvPicPr>
                  </pic:nvPicPr>
                  <pic:blipFill>
                    <a:blip r:embed="rId49"/>
                    <a:stretch>
                      <a:fillRect/>
                    </a:stretch>
                  </pic:blipFill>
                  <pic:spPr>
                    <a:xfrm>
                      <a:off x="0" y="0"/>
                      <a:ext cx="5274310" cy="2278380"/>
                    </a:xfrm>
                    <a:prstGeom prst="rect">
                      <a:avLst/>
                    </a:prstGeom>
                  </pic:spPr>
                </pic:pic>
              </a:graphicData>
            </a:graphic>
          </wp:inline>
        </w:drawing>
      </w:r>
    </w:p>
    <w:p w14:paraId="020BEA42">
      <w:pPr>
        <w:pStyle w:val="42"/>
        <w:spacing w:after="312"/>
        <w:rPr>
          <w:rFonts w:hint="eastAsia"/>
        </w:rPr>
      </w:pPr>
      <w:r>
        <w:rPr>
          <w:rFonts w:hint="eastAsia"/>
        </w:rPr>
        <w:t xml:space="preserve">图3-42 </w:t>
      </w:r>
      <w:r>
        <w:t>漏洞严重性评估</w:t>
      </w:r>
      <w:r>
        <w:rPr>
          <w:rFonts w:hint="eastAsia"/>
        </w:rPr>
        <w:t>批量输入页面</w:t>
      </w:r>
    </w:p>
    <w:p w14:paraId="1E268EAA">
      <w:pPr>
        <w:pStyle w:val="41"/>
      </w:pPr>
      <w:r>
        <w:drawing>
          <wp:inline distT="0" distB="0" distL="0" distR="0">
            <wp:extent cx="5274310" cy="2771775"/>
            <wp:effectExtent l="0" t="0" r="2540" b="9525"/>
            <wp:docPr id="2043174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74114" name="图片 1"/>
                    <pic:cNvPicPr>
                      <a:picLocks noChangeAspect="1"/>
                    </pic:cNvPicPr>
                  </pic:nvPicPr>
                  <pic:blipFill>
                    <a:blip r:embed="rId50"/>
                    <a:stretch>
                      <a:fillRect/>
                    </a:stretch>
                  </pic:blipFill>
                  <pic:spPr>
                    <a:xfrm>
                      <a:off x="0" y="0"/>
                      <a:ext cx="5274310" cy="2771775"/>
                    </a:xfrm>
                    <a:prstGeom prst="rect">
                      <a:avLst/>
                    </a:prstGeom>
                  </pic:spPr>
                </pic:pic>
              </a:graphicData>
            </a:graphic>
          </wp:inline>
        </w:drawing>
      </w:r>
    </w:p>
    <w:p w14:paraId="483BDB70">
      <w:pPr>
        <w:pStyle w:val="42"/>
        <w:spacing w:after="312"/>
        <w:rPr>
          <w:rFonts w:hint="eastAsia"/>
        </w:rPr>
      </w:pPr>
      <w:r>
        <w:rPr>
          <w:rFonts w:hint="eastAsia"/>
        </w:rPr>
        <w:t xml:space="preserve">图3-43 </w:t>
      </w:r>
      <w:r>
        <w:t>漏洞严重性评估</w:t>
      </w:r>
      <w:r>
        <w:rPr>
          <w:rFonts w:hint="eastAsia"/>
        </w:rPr>
        <w:t>批量输出页面</w:t>
      </w:r>
    </w:p>
    <w:p w14:paraId="3B5E33B3">
      <w:pPr>
        <w:pStyle w:val="26"/>
        <w:ind w:firstLine="422"/>
        <w:rPr>
          <w:b/>
          <w:bCs/>
        </w:rPr>
      </w:pPr>
      <w:r>
        <w:rPr>
          <w:b/>
          <w:bCs/>
        </w:rPr>
        <w:t>步骤8：关键代码加密保护</w:t>
      </w:r>
    </w:p>
    <w:p w14:paraId="27F235F7">
      <w:pPr>
        <w:pStyle w:val="26"/>
        <w:ind w:firstLine="420"/>
      </w:pPr>
      <w:r>
        <w:t>点击“关键代码加密”，进入加密页面。</w:t>
      </w:r>
    </w:p>
    <w:p w14:paraId="120D19B4">
      <w:pPr>
        <w:pStyle w:val="41"/>
      </w:pPr>
      <w:r>
        <w:drawing>
          <wp:inline distT="0" distB="0" distL="0" distR="0">
            <wp:extent cx="5274310" cy="1584960"/>
            <wp:effectExtent l="0" t="0" r="2540" b="0"/>
            <wp:docPr id="40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419" name="图片 1"/>
                    <pic:cNvPicPr>
                      <a:picLocks noChangeAspect="1"/>
                    </pic:cNvPicPr>
                  </pic:nvPicPr>
                  <pic:blipFill>
                    <a:blip r:embed="rId51"/>
                    <a:stretch>
                      <a:fillRect/>
                    </a:stretch>
                  </pic:blipFill>
                  <pic:spPr>
                    <a:xfrm>
                      <a:off x="0" y="0"/>
                      <a:ext cx="5274310" cy="1584960"/>
                    </a:xfrm>
                    <a:prstGeom prst="rect">
                      <a:avLst/>
                    </a:prstGeom>
                  </pic:spPr>
                </pic:pic>
              </a:graphicData>
            </a:graphic>
          </wp:inline>
        </w:drawing>
      </w:r>
    </w:p>
    <w:p w14:paraId="1B9FC11F">
      <w:pPr>
        <w:pStyle w:val="42"/>
        <w:spacing w:after="312"/>
        <w:rPr>
          <w:rFonts w:hint="eastAsia"/>
        </w:rPr>
      </w:pPr>
      <w:r>
        <w:rPr>
          <w:rFonts w:hint="eastAsia"/>
        </w:rPr>
        <w:t>图3-44 代码加密保护页面</w:t>
      </w:r>
    </w:p>
    <w:p w14:paraId="5AC0749D">
      <w:pPr>
        <w:pStyle w:val="26"/>
        <w:ind w:firstLine="422"/>
      </w:pPr>
      <w:r>
        <w:rPr>
          <w:b/>
          <w:bCs/>
        </w:rPr>
        <w:t>加密前验证</w:t>
      </w:r>
      <w:r>
        <w:t>：展示一个未加密的helloworld.exe，使用反编译工具（如dnSpy）可查看其源码。</w:t>
      </w:r>
    </w:p>
    <w:p w14:paraId="24468746">
      <w:pPr>
        <w:pStyle w:val="41"/>
      </w:pPr>
      <w:r>
        <w:drawing>
          <wp:inline distT="0" distB="0" distL="0" distR="0">
            <wp:extent cx="5027295" cy="2468880"/>
            <wp:effectExtent l="0" t="0" r="1905" b="7620"/>
            <wp:docPr id="33992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4541" name="图片 1"/>
                    <pic:cNvPicPr>
                      <a:picLocks noChangeAspect="1"/>
                    </pic:cNvPicPr>
                  </pic:nvPicPr>
                  <pic:blipFill>
                    <a:blip r:embed="rId52"/>
                    <a:stretch>
                      <a:fillRect/>
                    </a:stretch>
                  </pic:blipFill>
                  <pic:spPr>
                    <a:xfrm>
                      <a:off x="0" y="0"/>
                      <a:ext cx="5027295" cy="2468880"/>
                    </a:xfrm>
                    <a:prstGeom prst="rect">
                      <a:avLst/>
                    </a:prstGeom>
                  </pic:spPr>
                </pic:pic>
              </a:graphicData>
            </a:graphic>
          </wp:inline>
        </w:drawing>
      </w:r>
    </w:p>
    <w:p w14:paraId="40C052E9">
      <w:pPr>
        <w:pStyle w:val="42"/>
        <w:spacing w:after="312"/>
        <w:rPr>
          <w:rFonts w:hint="eastAsia"/>
        </w:rPr>
      </w:pPr>
      <w:r>
        <w:rPr>
          <w:rFonts w:hint="eastAsia"/>
        </w:rPr>
        <w:t>图3-45 未加密前代码页面-1</w:t>
      </w:r>
    </w:p>
    <w:p w14:paraId="2D397D40">
      <w:pPr>
        <w:pStyle w:val="41"/>
      </w:pPr>
      <w:r>
        <w:drawing>
          <wp:inline distT="0" distB="0" distL="0" distR="0">
            <wp:extent cx="5274310" cy="2752725"/>
            <wp:effectExtent l="0" t="0" r="2540" b="9525"/>
            <wp:docPr id="1731433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3749" name="图片 1"/>
                    <pic:cNvPicPr>
                      <a:picLocks noChangeAspect="1"/>
                    </pic:cNvPicPr>
                  </pic:nvPicPr>
                  <pic:blipFill>
                    <a:blip r:embed="rId53"/>
                    <a:stretch>
                      <a:fillRect/>
                    </a:stretch>
                  </pic:blipFill>
                  <pic:spPr>
                    <a:xfrm>
                      <a:off x="0" y="0"/>
                      <a:ext cx="5274310" cy="2752725"/>
                    </a:xfrm>
                    <a:prstGeom prst="rect">
                      <a:avLst/>
                    </a:prstGeom>
                  </pic:spPr>
                </pic:pic>
              </a:graphicData>
            </a:graphic>
          </wp:inline>
        </w:drawing>
      </w:r>
    </w:p>
    <w:p w14:paraId="1186DA78">
      <w:pPr>
        <w:pStyle w:val="42"/>
        <w:spacing w:after="312"/>
        <w:rPr>
          <w:rFonts w:hint="eastAsia"/>
        </w:rPr>
      </w:pPr>
      <w:r>
        <w:rPr>
          <w:rFonts w:hint="eastAsia"/>
        </w:rPr>
        <w:t>图3-46 未加密前代码页面-2</w:t>
      </w:r>
    </w:p>
    <w:p w14:paraId="7D77D561">
      <w:pPr>
        <w:pStyle w:val="26"/>
        <w:ind w:firstLine="420"/>
      </w:pPr>
      <w:r>
        <w:t>运行原始helloworld.exe，确认输出正常。</w:t>
      </w:r>
    </w:p>
    <w:p w14:paraId="7941D562">
      <w:pPr>
        <w:pStyle w:val="41"/>
      </w:pPr>
      <w:r>
        <w:drawing>
          <wp:inline distT="0" distB="0" distL="0" distR="0">
            <wp:extent cx="5274310" cy="2735580"/>
            <wp:effectExtent l="0" t="0" r="2540" b="7620"/>
            <wp:docPr id="130519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90404" name="图片 1"/>
                    <pic:cNvPicPr>
                      <a:picLocks noChangeAspect="1"/>
                    </pic:cNvPicPr>
                  </pic:nvPicPr>
                  <pic:blipFill>
                    <a:blip r:embed="rId54"/>
                    <a:stretch>
                      <a:fillRect/>
                    </a:stretch>
                  </pic:blipFill>
                  <pic:spPr>
                    <a:xfrm>
                      <a:off x="0" y="0"/>
                      <a:ext cx="5274310" cy="2735580"/>
                    </a:xfrm>
                    <a:prstGeom prst="rect">
                      <a:avLst/>
                    </a:prstGeom>
                  </pic:spPr>
                </pic:pic>
              </a:graphicData>
            </a:graphic>
          </wp:inline>
        </w:drawing>
      </w:r>
    </w:p>
    <w:p w14:paraId="6DA40736">
      <w:pPr>
        <w:pStyle w:val="42"/>
        <w:spacing w:after="312"/>
        <w:rPr>
          <w:rFonts w:hint="eastAsia"/>
        </w:rPr>
      </w:pPr>
      <w:r>
        <w:rPr>
          <w:rFonts w:hint="eastAsia"/>
        </w:rPr>
        <w:t>图3-47 运行未加密前代码-1</w:t>
      </w:r>
    </w:p>
    <w:p w14:paraId="48B59123">
      <w:pPr>
        <w:pStyle w:val="42"/>
        <w:spacing w:after="312"/>
        <w:rPr>
          <w:rFonts w:hint="eastAsia"/>
        </w:rPr>
      </w:pPr>
    </w:p>
    <w:p w14:paraId="788DC28E">
      <w:pPr>
        <w:pStyle w:val="41"/>
      </w:pPr>
      <w:r>
        <w:drawing>
          <wp:inline distT="0" distB="0" distL="0" distR="0">
            <wp:extent cx="5274310" cy="2050415"/>
            <wp:effectExtent l="0" t="0" r="2540" b="6985"/>
            <wp:docPr id="1932208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8800" name="图片 1"/>
                    <pic:cNvPicPr>
                      <a:picLocks noChangeAspect="1"/>
                    </pic:cNvPicPr>
                  </pic:nvPicPr>
                  <pic:blipFill>
                    <a:blip r:embed="rId55"/>
                    <a:stretch>
                      <a:fillRect/>
                    </a:stretch>
                  </pic:blipFill>
                  <pic:spPr>
                    <a:xfrm>
                      <a:off x="0" y="0"/>
                      <a:ext cx="5274310" cy="2050415"/>
                    </a:xfrm>
                    <a:prstGeom prst="rect">
                      <a:avLst/>
                    </a:prstGeom>
                  </pic:spPr>
                </pic:pic>
              </a:graphicData>
            </a:graphic>
          </wp:inline>
        </w:drawing>
      </w:r>
    </w:p>
    <w:p w14:paraId="716DAF6E">
      <w:pPr>
        <w:pStyle w:val="42"/>
        <w:spacing w:after="312"/>
        <w:rPr>
          <w:rFonts w:hint="eastAsia"/>
        </w:rPr>
      </w:pPr>
      <w:r>
        <w:rPr>
          <w:rFonts w:hint="eastAsia"/>
        </w:rPr>
        <w:t xml:space="preserve"> 图3-48 运行未加密前代码-2</w:t>
      </w:r>
    </w:p>
    <w:p w14:paraId="17EFF3E4">
      <w:pPr>
        <w:pStyle w:val="26"/>
        <w:ind w:firstLine="420"/>
      </w:pPr>
      <w:r>
        <w:t>点击“选择文件”，上传该.exe文件，点击“开始加密”。</w:t>
      </w:r>
    </w:p>
    <w:p w14:paraId="6B6C3F14">
      <w:pPr>
        <w:pStyle w:val="41"/>
      </w:pPr>
      <w:r>
        <w:drawing>
          <wp:inline distT="0" distB="0" distL="0" distR="0">
            <wp:extent cx="5274310" cy="1424940"/>
            <wp:effectExtent l="0" t="0" r="2540" b="3810"/>
            <wp:docPr id="1157030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0758" name="图片 1"/>
                    <pic:cNvPicPr>
                      <a:picLocks noChangeAspect="1"/>
                    </pic:cNvPicPr>
                  </pic:nvPicPr>
                  <pic:blipFill>
                    <a:blip r:embed="rId56"/>
                    <a:stretch>
                      <a:fillRect/>
                    </a:stretch>
                  </pic:blipFill>
                  <pic:spPr>
                    <a:xfrm>
                      <a:off x="0" y="0"/>
                      <a:ext cx="5274310" cy="1424940"/>
                    </a:xfrm>
                    <a:prstGeom prst="rect">
                      <a:avLst/>
                    </a:prstGeom>
                  </pic:spPr>
                </pic:pic>
              </a:graphicData>
            </a:graphic>
          </wp:inline>
        </w:drawing>
      </w:r>
    </w:p>
    <w:p w14:paraId="32BCC685">
      <w:pPr>
        <w:pStyle w:val="42"/>
        <w:spacing w:after="312"/>
        <w:rPr>
          <w:rFonts w:hint="eastAsia"/>
        </w:rPr>
      </w:pPr>
      <w:r>
        <w:rPr>
          <w:rFonts w:hint="eastAsia"/>
        </w:rPr>
        <w:t>图3-49 代码加密保护输入页面</w:t>
      </w:r>
    </w:p>
    <w:p w14:paraId="0F18B7A8">
      <w:pPr>
        <w:pStyle w:val="26"/>
        <w:ind w:firstLine="420"/>
      </w:pPr>
      <w:r>
        <w:t>系统调用本地YINDUN加密工具（VMTest.Driver.exe），进行虚拟机保护和代码混淆。等待几秒至几十秒。</w:t>
      </w:r>
    </w:p>
    <w:p w14:paraId="424A6B9E">
      <w:pPr>
        <w:pStyle w:val="41"/>
      </w:pPr>
      <w:r>
        <w:drawing>
          <wp:inline distT="0" distB="0" distL="0" distR="0">
            <wp:extent cx="5274310" cy="1565910"/>
            <wp:effectExtent l="0" t="0" r="2540" b="0"/>
            <wp:docPr id="1151823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3375" name="图片 1"/>
                    <pic:cNvPicPr>
                      <a:picLocks noChangeAspect="1"/>
                    </pic:cNvPicPr>
                  </pic:nvPicPr>
                  <pic:blipFill>
                    <a:blip r:embed="rId57"/>
                    <a:stretch>
                      <a:fillRect/>
                    </a:stretch>
                  </pic:blipFill>
                  <pic:spPr>
                    <a:xfrm>
                      <a:off x="0" y="0"/>
                      <a:ext cx="5274310" cy="1565910"/>
                    </a:xfrm>
                    <a:prstGeom prst="rect">
                      <a:avLst/>
                    </a:prstGeom>
                  </pic:spPr>
                </pic:pic>
              </a:graphicData>
            </a:graphic>
          </wp:inline>
        </w:drawing>
      </w:r>
    </w:p>
    <w:p w14:paraId="3C0F6018">
      <w:pPr>
        <w:pStyle w:val="42"/>
        <w:spacing w:after="312"/>
        <w:rPr>
          <w:rFonts w:hint="eastAsia"/>
        </w:rPr>
      </w:pPr>
      <w:r>
        <w:rPr>
          <w:rFonts w:hint="eastAsia"/>
        </w:rPr>
        <w:t>图3-50 代码加密保护过程页面</w:t>
      </w:r>
    </w:p>
    <w:p w14:paraId="34E64E70">
      <w:pPr>
        <w:pStyle w:val="26"/>
        <w:ind w:firstLine="420"/>
      </w:pPr>
      <w:r>
        <w:t>加密完成后，下载生成的helloworld.vm.exe文件。</w:t>
      </w:r>
    </w:p>
    <w:p w14:paraId="025BF0BD">
      <w:pPr>
        <w:pStyle w:val="41"/>
      </w:pPr>
      <w:r>
        <w:drawing>
          <wp:inline distT="0" distB="0" distL="0" distR="0">
            <wp:extent cx="5274310" cy="2232660"/>
            <wp:effectExtent l="0" t="0" r="2540" b="0"/>
            <wp:docPr id="223252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10" name="图片 1"/>
                    <pic:cNvPicPr>
                      <a:picLocks noChangeAspect="1"/>
                    </pic:cNvPicPr>
                  </pic:nvPicPr>
                  <pic:blipFill>
                    <a:blip r:embed="rId58"/>
                    <a:stretch>
                      <a:fillRect/>
                    </a:stretch>
                  </pic:blipFill>
                  <pic:spPr>
                    <a:xfrm>
                      <a:off x="0" y="0"/>
                      <a:ext cx="5274310" cy="2232660"/>
                    </a:xfrm>
                    <a:prstGeom prst="rect">
                      <a:avLst/>
                    </a:prstGeom>
                  </pic:spPr>
                </pic:pic>
              </a:graphicData>
            </a:graphic>
          </wp:inline>
        </w:drawing>
      </w:r>
    </w:p>
    <w:p w14:paraId="1C2F322B">
      <w:pPr>
        <w:pStyle w:val="42"/>
        <w:spacing w:after="312"/>
        <w:rPr>
          <w:rFonts w:hint="eastAsia"/>
        </w:rPr>
      </w:pPr>
      <w:r>
        <w:rPr>
          <w:rFonts w:hint="eastAsia"/>
        </w:rPr>
        <w:t>图3-51 代码加密保护输出页面</w:t>
      </w:r>
    </w:p>
    <w:p w14:paraId="59A4553E">
      <w:pPr>
        <w:pStyle w:val="26"/>
        <w:ind w:firstLine="422"/>
      </w:pPr>
      <w:r>
        <w:rPr>
          <w:b/>
          <w:bCs/>
        </w:rPr>
        <w:t>验证效果</w:t>
      </w:r>
      <w:r>
        <w:t>：使用dnSpy再次打开加密后的文件，发现源代码已被隐藏并做了混淆处理。</w:t>
      </w:r>
    </w:p>
    <w:p w14:paraId="10671028">
      <w:pPr>
        <w:pStyle w:val="41"/>
        <w:rPr>
          <w:b/>
          <w:bCs/>
        </w:rPr>
      </w:pPr>
      <w:r>
        <w:drawing>
          <wp:inline distT="0" distB="0" distL="0" distR="0">
            <wp:extent cx="5274310" cy="2752725"/>
            <wp:effectExtent l="0" t="0" r="2540" b="9525"/>
            <wp:docPr id="104176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0821" name="图片 1"/>
                    <pic:cNvPicPr>
                      <a:picLocks noChangeAspect="1"/>
                    </pic:cNvPicPr>
                  </pic:nvPicPr>
                  <pic:blipFill>
                    <a:blip r:embed="rId59"/>
                    <a:stretch>
                      <a:fillRect/>
                    </a:stretch>
                  </pic:blipFill>
                  <pic:spPr>
                    <a:xfrm>
                      <a:off x="0" y="0"/>
                      <a:ext cx="5274310" cy="2752725"/>
                    </a:xfrm>
                    <a:prstGeom prst="rect">
                      <a:avLst/>
                    </a:prstGeom>
                  </pic:spPr>
                </pic:pic>
              </a:graphicData>
            </a:graphic>
          </wp:inline>
        </w:drawing>
      </w:r>
    </w:p>
    <w:p w14:paraId="5CE37FD5">
      <w:pPr>
        <w:pStyle w:val="42"/>
        <w:spacing w:after="312"/>
        <w:rPr>
          <w:rFonts w:hint="eastAsia"/>
        </w:rPr>
      </w:pPr>
      <w:r>
        <w:rPr>
          <w:rFonts w:hint="eastAsia"/>
        </w:rPr>
        <w:t>图3-52 查看加密后代码</w:t>
      </w:r>
    </w:p>
    <w:p w14:paraId="1EABFC27">
      <w:pPr>
        <w:pStyle w:val="26"/>
        <w:ind w:firstLine="420"/>
      </w:pPr>
      <w:r>
        <w:t>运行helloworld.vm.exe，输出结果与原程序完全一致，但逆向难度大幅提升。</w:t>
      </w:r>
    </w:p>
    <w:p w14:paraId="46F51B9D">
      <w:pPr>
        <w:pStyle w:val="41"/>
        <w:rPr>
          <w:b/>
          <w:bCs/>
        </w:rPr>
      </w:pPr>
      <w:r>
        <w:drawing>
          <wp:inline distT="0" distB="0" distL="0" distR="0">
            <wp:extent cx="5274310" cy="2772410"/>
            <wp:effectExtent l="0" t="0" r="2540" b="8890"/>
            <wp:docPr id="19474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988" name="图片 1"/>
                    <pic:cNvPicPr>
                      <a:picLocks noChangeAspect="1"/>
                    </pic:cNvPicPr>
                  </pic:nvPicPr>
                  <pic:blipFill>
                    <a:blip r:embed="rId60"/>
                    <a:stretch>
                      <a:fillRect/>
                    </a:stretch>
                  </pic:blipFill>
                  <pic:spPr>
                    <a:xfrm>
                      <a:off x="0" y="0"/>
                      <a:ext cx="5274310" cy="2772410"/>
                    </a:xfrm>
                    <a:prstGeom prst="rect">
                      <a:avLst/>
                    </a:prstGeom>
                  </pic:spPr>
                </pic:pic>
              </a:graphicData>
            </a:graphic>
          </wp:inline>
        </w:drawing>
      </w:r>
    </w:p>
    <w:p w14:paraId="44313FC2">
      <w:pPr>
        <w:pStyle w:val="42"/>
        <w:spacing w:after="312"/>
        <w:rPr>
          <w:rFonts w:hint="eastAsia"/>
        </w:rPr>
      </w:pPr>
      <w:r>
        <w:rPr>
          <w:rFonts w:hint="eastAsia"/>
        </w:rPr>
        <w:t>图3-53 运行加密后代码-1</w:t>
      </w:r>
    </w:p>
    <w:p w14:paraId="3067DAA2">
      <w:pPr>
        <w:pStyle w:val="41"/>
        <w:rPr>
          <w:b/>
          <w:bCs/>
        </w:rPr>
      </w:pPr>
      <w:r>
        <w:drawing>
          <wp:inline distT="0" distB="0" distL="0" distR="0">
            <wp:extent cx="5274310" cy="2705735"/>
            <wp:effectExtent l="0" t="0" r="2540" b="0"/>
            <wp:docPr id="2068877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77817" name="图片 1"/>
                    <pic:cNvPicPr>
                      <a:picLocks noChangeAspect="1"/>
                    </pic:cNvPicPr>
                  </pic:nvPicPr>
                  <pic:blipFill>
                    <a:blip r:embed="rId61"/>
                    <a:stretch>
                      <a:fillRect/>
                    </a:stretch>
                  </pic:blipFill>
                  <pic:spPr>
                    <a:xfrm>
                      <a:off x="0" y="0"/>
                      <a:ext cx="5274310" cy="2705735"/>
                    </a:xfrm>
                    <a:prstGeom prst="rect">
                      <a:avLst/>
                    </a:prstGeom>
                  </pic:spPr>
                </pic:pic>
              </a:graphicData>
            </a:graphic>
          </wp:inline>
        </w:drawing>
      </w:r>
    </w:p>
    <w:p w14:paraId="1B3B3492">
      <w:pPr>
        <w:pStyle w:val="42"/>
        <w:spacing w:after="312"/>
        <w:rPr>
          <w:rFonts w:hint="eastAsia"/>
        </w:rPr>
      </w:pPr>
      <w:r>
        <w:rPr>
          <w:rFonts w:hint="eastAsia"/>
        </w:rPr>
        <w:t>图3-54 运行加密后代码-2</w:t>
      </w:r>
    </w:p>
    <w:p w14:paraId="495C95F6">
      <w:pPr>
        <w:pStyle w:val="26"/>
        <w:ind w:firstLine="422"/>
        <w:rPr>
          <w:b/>
          <w:bCs/>
        </w:rPr>
      </w:pPr>
      <w:r>
        <w:rPr>
          <w:b/>
          <w:bCs/>
        </w:rPr>
        <w:t>总结</w:t>
      </w:r>
    </w:p>
    <w:p w14:paraId="7FF1DECC">
      <w:pPr>
        <w:pStyle w:val="26"/>
        <w:ind w:firstLine="420"/>
      </w:pPr>
      <w:r>
        <w:t>系统通过集成大语言模型实现了深度代码漏洞检测；通过机器学习模型实现自动严重等级评估；通过加密工具保护可执行文件。</w:t>
      </w:r>
    </w:p>
    <w:p w14:paraId="7CFD2F8B">
      <w:pPr>
        <w:pStyle w:val="26"/>
        <w:ind w:firstLine="420"/>
      </w:pPr>
      <w:r>
        <w:t>洞见系统提供了一个从检测、预测、管理到保护的完整代码安全生命周期管理平台。</w:t>
      </w:r>
    </w:p>
    <w:sectPr>
      <w:footerReference r:id="rId6" w:type="default"/>
      <w:pgSz w:w="11906" w:h="16838"/>
      <w:pgMar w:top="1440" w:right="1466" w:bottom="1440" w:left="16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auto"/>
    <w:pitch w:val="default"/>
    <w:sig w:usb0="00000000" w:usb1="00000000" w:usb2="00000000" w:usb3="00000000" w:csb0="00000001" w:csb1="00000000"/>
  </w:font>
  <w:font w:name="Time New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 w:name="TimesNewRomanPS">
    <w:altName w:val="Times New Roman"/>
    <w:panose1 w:val="00000000000000000000"/>
    <w:charset w:val="00"/>
    <w:family w:val="roman"/>
    <w:pitch w:val="default"/>
    <w:sig w:usb0="00000000" w:usb1="00000000" w:usb2="00000000" w:usb3="00000000" w:csb0="00000000" w:csb1="00000000"/>
  </w:font>
  <w:font w:name="SymbolMT">
    <w:altName w:val="Cambria"/>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0DBBA">
    <w:pPr>
      <w:pStyle w:val="8"/>
      <w:framePr w:wrap="around"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rPr>
      <w:t>2</w:t>
    </w:r>
    <w:r>
      <w:rPr>
        <w:rStyle w:val="19"/>
      </w:rPr>
      <w:fldChar w:fldCharType="end"/>
    </w:r>
  </w:p>
  <w:p w14:paraId="567A4CE7">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4BDC1">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14F60"/>
    <w:multiLevelType w:val="multilevel"/>
    <w:tmpl w:val="07B14F60"/>
    <w:lvl w:ilvl="0" w:tentative="0">
      <w:start w:val="1"/>
      <w:numFmt w:val="decimal"/>
      <w:pStyle w:val="11"/>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819"/>
    <w:rsid w:val="00021FAC"/>
    <w:rsid w:val="00025861"/>
    <w:rsid w:val="00041028"/>
    <w:rsid w:val="00064EB6"/>
    <w:rsid w:val="00073EEA"/>
    <w:rsid w:val="000763CD"/>
    <w:rsid w:val="000915CD"/>
    <w:rsid w:val="000979AF"/>
    <w:rsid w:val="000B6792"/>
    <w:rsid w:val="000C15F1"/>
    <w:rsid w:val="000C35D7"/>
    <w:rsid w:val="000C36AC"/>
    <w:rsid w:val="000D6C5F"/>
    <w:rsid w:val="00104F9C"/>
    <w:rsid w:val="001070B4"/>
    <w:rsid w:val="0012253A"/>
    <w:rsid w:val="00122638"/>
    <w:rsid w:val="001369AB"/>
    <w:rsid w:val="00163F30"/>
    <w:rsid w:val="00171F32"/>
    <w:rsid w:val="00175987"/>
    <w:rsid w:val="00182172"/>
    <w:rsid w:val="00194DE6"/>
    <w:rsid w:val="001A53E2"/>
    <w:rsid w:val="001A782F"/>
    <w:rsid w:val="001C6768"/>
    <w:rsid w:val="001E73B6"/>
    <w:rsid w:val="001F1542"/>
    <w:rsid w:val="001F4517"/>
    <w:rsid w:val="001F61B2"/>
    <w:rsid w:val="0020240D"/>
    <w:rsid w:val="0020277A"/>
    <w:rsid w:val="0023299B"/>
    <w:rsid w:val="0025052F"/>
    <w:rsid w:val="00253FC6"/>
    <w:rsid w:val="002541D0"/>
    <w:rsid w:val="002652F8"/>
    <w:rsid w:val="00265DCA"/>
    <w:rsid w:val="00275AC6"/>
    <w:rsid w:val="00275F44"/>
    <w:rsid w:val="00283AEB"/>
    <w:rsid w:val="002844B2"/>
    <w:rsid w:val="002A04EC"/>
    <w:rsid w:val="002D2C68"/>
    <w:rsid w:val="002D467D"/>
    <w:rsid w:val="002F09BA"/>
    <w:rsid w:val="002F25BA"/>
    <w:rsid w:val="00300CA4"/>
    <w:rsid w:val="0032053E"/>
    <w:rsid w:val="00331167"/>
    <w:rsid w:val="00332262"/>
    <w:rsid w:val="00363D4A"/>
    <w:rsid w:val="00391FC5"/>
    <w:rsid w:val="00395F9A"/>
    <w:rsid w:val="003B64F2"/>
    <w:rsid w:val="003E28F4"/>
    <w:rsid w:val="003F238A"/>
    <w:rsid w:val="004017A4"/>
    <w:rsid w:val="00404C1B"/>
    <w:rsid w:val="00410EDE"/>
    <w:rsid w:val="00412A26"/>
    <w:rsid w:val="00415BC9"/>
    <w:rsid w:val="00436FBC"/>
    <w:rsid w:val="00437A05"/>
    <w:rsid w:val="00440EAC"/>
    <w:rsid w:val="00450B45"/>
    <w:rsid w:val="004523C0"/>
    <w:rsid w:val="00461DF6"/>
    <w:rsid w:val="00464657"/>
    <w:rsid w:val="00484CA5"/>
    <w:rsid w:val="004853B1"/>
    <w:rsid w:val="004B2AA4"/>
    <w:rsid w:val="004C75BC"/>
    <w:rsid w:val="005011AC"/>
    <w:rsid w:val="00514633"/>
    <w:rsid w:val="0052235D"/>
    <w:rsid w:val="00550ACD"/>
    <w:rsid w:val="005556DC"/>
    <w:rsid w:val="005706DD"/>
    <w:rsid w:val="00594406"/>
    <w:rsid w:val="005A5D6C"/>
    <w:rsid w:val="005B10FA"/>
    <w:rsid w:val="0060274F"/>
    <w:rsid w:val="006207E0"/>
    <w:rsid w:val="00626450"/>
    <w:rsid w:val="00640C65"/>
    <w:rsid w:val="006445EB"/>
    <w:rsid w:val="00662CF7"/>
    <w:rsid w:val="00676CF0"/>
    <w:rsid w:val="00676DED"/>
    <w:rsid w:val="00685973"/>
    <w:rsid w:val="006A3E4F"/>
    <w:rsid w:val="006B159C"/>
    <w:rsid w:val="006B7499"/>
    <w:rsid w:val="006D00F8"/>
    <w:rsid w:val="006E4B47"/>
    <w:rsid w:val="006F09A6"/>
    <w:rsid w:val="006F310B"/>
    <w:rsid w:val="00715F60"/>
    <w:rsid w:val="00722A6D"/>
    <w:rsid w:val="00735AB2"/>
    <w:rsid w:val="00735E04"/>
    <w:rsid w:val="007414C3"/>
    <w:rsid w:val="00760C26"/>
    <w:rsid w:val="00787E4A"/>
    <w:rsid w:val="007A0845"/>
    <w:rsid w:val="007A76FB"/>
    <w:rsid w:val="007B1933"/>
    <w:rsid w:val="007E0865"/>
    <w:rsid w:val="007E470E"/>
    <w:rsid w:val="007E7F65"/>
    <w:rsid w:val="00804CF0"/>
    <w:rsid w:val="008233AA"/>
    <w:rsid w:val="0083177A"/>
    <w:rsid w:val="00840819"/>
    <w:rsid w:val="00847112"/>
    <w:rsid w:val="0087039D"/>
    <w:rsid w:val="00877515"/>
    <w:rsid w:val="00882AD1"/>
    <w:rsid w:val="00886DA3"/>
    <w:rsid w:val="008A3D55"/>
    <w:rsid w:val="008C37DD"/>
    <w:rsid w:val="008C6165"/>
    <w:rsid w:val="008E4679"/>
    <w:rsid w:val="00905A61"/>
    <w:rsid w:val="00971D17"/>
    <w:rsid w:val="00983032"/>
    <w:rsid w:val="0099498F"/>
    <w:rsid w:val="009A0979"/>
    <w:rsid w:val="009B404D"/>
    <w:rsid w:val="009C1255"/>
    <w:rsid w:val="009D2971"/>
    <w:rsid w:val="009F377B"/>
    <w:rsid w:val="009F5077"/>
    <w:rsid w:val="00A247AB"/>
    <w:rsid w:val="00A272AD"/>
    <w:rsid w:val="00A31626"/>
    <w:rsid w:val="00A56A68"/>
    <w:rsid w:val="00A60D38"/>
    <w:rsid w:val="00A77804"/>
    <w:rsid w:val="00A97BAD"/>
    <w:rsid w:val="00AA73CB"/>
    <w:rsid w:val="00AD419C"/>
    <w:rsid w:val="00AF0F20"/>
    <w:rsid w:val="00AF4BB8"/>
    <w:rsid w:val="00B3094A"/>
    <w:rsid w:val="00B36150"/>
    <w:rsid w:val="00B67F36"/>
    <w:rsid w:val="00B865BF"/>
    <w:rsid w:val="00BA5168"/>
    <w:rsid w:val="00BB122B"/>
    <w:rsid w:val="00BB3F44"/>
    <w:rsid w:val="00BB4589"/>
    <w:rsid w:val="00BD34E2"/>
    <w:rsid w:val="00BD53A7"/>
    <w:rsid w:val="00C00FCA"/>
    <w:rsid w:val="00C3757F"/>
    <w:rsid w:val="00C53E95"/>
    <w:rsid w:val="00C552DB"/>
    <w:rsid w:val="00C56672"/>
    <w:rsid w:val="00C92E22"/>
    <w:rsid w:val="00C96F5A"/>
    <w:rsid w:val="00CC134C"/>
    <w:rsid w:val="00CC3716"/>
    <w:rsid w:val="00CD2C8A"/>
    <w:rsid w:val="00CE0C3E"/>
    <w:rsid w:val="00CE0EA1"/>
    <w:rsid w:val="00CE458A"/>
    <w:rsid w:val="00CE5C25"/>
    <w:rsid w:val="00D570F5"/>
    <w:rsid w:val="00D571B9"/>
    <w:rsid w:val="00D651D9"/>
    <w:rsid w:val="00D8035C"/>
    <w:rsid w:val="00D8168A"/>
    <w:rsid w:val="00D83BAF"/>
    <w:rsid w:val="00D97A08"/>
    <w:rsid w:val="00DA4C9D"/>
    <w:rsid w:val="00DC1EF7"/>
    <w:rsid w:val="00DC552F"/>
    <w:rsid w:val="00DD1DA8"/>
    <w:rsid w:val="00DD4E81"/>
    <w:rsid w:val="00DF4B03"/>
    <w:rsid w:val="00DF7537"/>
    <w:rsid w:val="00E009D0"/>
    <w:rsid w:val="00E17914"/>
    <w:rsid w:val="00E27279"/>
    <w:rsid w:val="00E34727"/>
    <w:rsid w:val="00E405B8"/>
    <w:rsid w:val="00E47070"/>
    <w:rsid w:val="00E85976"/>
    <w:rsid w:val="00E94B67"/>
    <w:rsid w:val="00EB12B1"/>
    <w:rsid w:val="00EB2759"/>
    <w:rsid w:val="00EC3801"/>
    <w:rsid w:val="00ED369D"/>
    <w:rsid w:val="00EE3AF0"/>
    <w:rsid w:val="00F07A30"/>
    <w:rsid w:val="00F1381D"/>
    <w:rsid w:val="00F245DD"/>
    <w:rsid w:val="00F70389"/>
    <w:rsid w:val="00F71258"/>
    <w:rsid w:val="00F7709C"/>
    <w:rsid w:val="00F85321"/>
    <w:rsid w:val="00F913E8"/>
    <w:rsid w:val="00F93218"/>
    <w:rsid w:val="00FB1095"/>
    <w:rsid w:val="00FB1A43"/>
    <w:rsid w:val="00FD025E"/>
    <w:rsid w:val="00FE1DC6"/>
    <w:rsid w:val="03DD5D77"/>
    <w:rsid w:val="05E15DFF"/>
    <w:rsid w:val="07EB42C9"/>
    <w:rsid w:val="0D8E4B1D"/>
    <w:rsid w:val="1EE73CC8"/>
    <w:rsid w:val="1FA31BDA"/>
    <w:rsid w:val="23072277"/>
    <w:rsid w:val="32152A12"/>
    <w:rsid w:val="343447A0"/>
    <w:rsid w:val="35AD5109"/>
    <w:rsid w:val="3E715BC9"/>
    <w:rsid w:val="412D79B9"/>
    <w:rsid w:val="43541EED"/>
    <w:rsid w:val="46DF227C"/>
    <w:rsid w:val="4E8B1BCF"/>
    <w:rsid w:val="51F0478F"/>
    <w:rsid w:val="57573200"/>
    <w:rsid w:val="5EB01974"/>
    <w:rsid w:val="610643DF"/>
    <w:rsid w:val="62F41598"/>
    <w:rsid w:val="647549DD"/>
    <w:rsid w:val="765557DD"/>
    <w:rsid w:val="7C2A50E7"/>
    <w:rsid w:val="7E470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5"/>
    <w:qFormat/>
    <w:uiPriority w:val="0"/>
    <w:pPr>
      <w:keepNext/>
      <w:keepLines/>
      <w:spacing w:before="480" w:after="360" w:line="240" w:lineRule="auto"/>
      <w:jc w:val="center"/>
      <w:outlineLvl w:val="0"/>
    </w:pPr>
    <w:rPr>
      <w:rFonts w:eastAsia="黑体"/>
      <w:b/>
      <w:bCs/>
      <w:kern w:val="44"/>
      <w:sz w:val="44"/>
      <w:szCs w:val="44"/>
      <w:lang w:val="zh-CN"/>
    </w:rPr>
  </w:style>
  <w:style w:type="paragraph" w:styleId="4">
    <w:name w:val="heading 3"/>
    <w:basedOn w:val="1"/>
    <w:next w:val="1"/>
    <w:link w:val="31"/>
    <w:unhideWhenUsed/>
    <w:qFormat/>
    <w:uiPriority w:val="9"/>
    <w:pPr>
      <w:keepNext/>
      <w:keepLines/>
      <w:spacing w:before="260" w:after="260"/>
      <w:jc w:val="left"/>
      <w:outlineLvl w:val="2"/>
    </w:pPr>
    <w:rPr>
      <w:rFonts w:asciiTheme="minorHAnsi" w:hAnsiTheme="minorHAnsi" w:cstheme="minorBidi"/>
      <w:b/>
      <w:bCs/>
      <w:szCs w:val="32"/>
    </w:rPr>
  </w:style>
  <w:style w:type="paragraph" w:styleId="5">
    <w:name w:val="heading 4"/>
    <w:basedOn w:val="1"/>
    <w:next w:val="1"/>
    <w:link w:val="3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macro"/>
    <w:link w:val="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6">
    <w:name w:val="annotation text"/>
    <w:basedOn w:val="1"/>
    <w:link w:val="27"/>
    <w:unhideWhenUsed/>
    <w:qFormat/>
    <w:uiPriority w:val="99"/>
    <w:pPr>
      <w:jc w:val="left"/>
    </w:pPr>
    <w:rPr>
      <w:rFonts w:asciiTheme="minorHAnsi" w:hAnsiTheme="minorHAnsi" w:eastAsiaTheme="minorEastAsia" w:cstheme="minorBidi"/>
      <w:szCs w:val="22"/>
    </w:rPr>
  </w:style>
  <w:style w:type="paragraph" w:styleId="7">
    <w:name w:val="toc 3"/>
    <w:basedOn w:val="1"/>
    <w:next w:val="1"/>
    <w:autoRedefine/>
    <w:qFormat/>
    <w:uiPriority w:val="39"/>
    <w:pPr>
      <w:ind w:left="840" w:leftChars="400"/>
    </w:pPr>
  </w:style>
  <w:style w:type="paragraph" w:styleId="8">
    <w:name w:val="footer"/>
    <w:basedOn w:val="1"/>
    <w:link w:val="24"/>
    <w:qFormat/>
    <w:uiPriority w:val="0"/>
    <w:pPr>
      <w:tabs>
        <w:tab w:val="center" w:pos="4153"/>
        <w:tab w:val="right" w:pos="8306"/>
      </w:tabs>
      <w:snapToGrid w:val="0"/>
      <w:jc w:val="left"/>
    </w:pPr>
    <w:rPr>
      <w:sz w:val="18"/>
      <w:szCs w:val="18"/>
      <w:lang w:val="zh-CN"/>
    </w:rPr>
  </w:style>
  <w:style w:type="paragraph" w:styleId="9">
    <w:name w:val="header"/>
    <w:basedOn w:val="1"/>
    <w:link w:val="23"/>
    <w:qFormat/>
    <w:uiPriority w:val="0"/>
    <w:pPr>
      <w:pBdr>
        <w:bottom w:val="single" w:color="auto" w:sz="6" w:space="1"/>
      </w:pBdr>
      <w:tabs>
        <w:tab w:val="center" w:pos="4153"/>
        <w:tab w:val="right" w:pos="8306"/>
      </w:tabs>
      <w:snapToGrid w:val="0"/>
      <w:jc w:val="center"/>
    </w:pPr>
    <w:rPr>
      <w:sz w:val="18"/>
      <w:szCs w:val="18"/>
      <w:lang w:val="zh-CN"/>
    </w:rPr>
  </w:style>
  <w:style w:type="paragraph" w:styleId="10">
    <w:name w:val="toc 1"/>
    <w:basedOn w:val="1"/>
    <w:next w:val="1"/>
    <w:qFormat/>
    <w:uiPriority w:val="39"/>
    <w:rPr>
      <w:sz w:val="28"/>
    </w:rPr>
  </w:style>
  <w:style w:type="paragraph" w:styleId="11">
    <w:name w:val="Subtitle"/>
    <w:basedOn w:val="1"/>
    <w:next w:val="1"/>
    <w:link w:val="36"/>
    <w:qFormat/>
    <w:uiPriority w:val="0"/>
    <w:pPr>
      <w:numPr>
        <w:ilvl w:val="0"/>
        <w:numId w:val="1"/>
      </w:numPr>
      <w:spacing w:before="240" w:after="60"/>
      <w:jc w:val="left"/>
      <w:outlineLvl w:val="1"/>
    </w:pPr>
    <w:rPr>
      <w:rFonts w:cstheme="minorBidi"/>
      <w:b/>
      <w:bCs/>
      <w:kern w:val="28"/>
      <w:sz w:val="28"/>
      <w:szCs w:val="32"/>
    </w:rPr>
  </w:style>
  <w:style w:type="paragraph" w:styleId="12">
    <w:name w:val="toc 2"/>
    <w:basedOn w:val="1"/>
    <w:next w:val="1"/>
    <w:autoRedefine/>
    <w:qFormat/>
    <w:uiPriority w:val="39"/>
    <w:pPr>
      <w:ind w:left="420" w:leftChars="200"/>
    </w:pPr>
  </w:style>
  <w:style w:type="paragraph" w:styleId="13">
    <w:name w:val="Normal (Web)"/>
    <w:basedOn w:val="1"/>
    <w:qFormat/>
    <w:uiPriority w:val="0"/>
    <w:pPr>
      <w:spacing w:beforeAutospacing="1" w:afterAutospacing="1"/>
      <w:jc w:val="left"/>
    </w:pPr>
    <w:rPr>
      <w:kern w:val="0"/>
    </w:rPr>
  </w:style>
  <w:style w:type="paragraph" w:styleId="14">
    <w:name w:val="Title"/>
    <w:basedOn w:val="1"/>
    <w:next w:val="1"/>
    <w:link w:val="35"/>
    <w:qFormat/>
    <w:uiPriority w:val="0"/>
    <w:pPr>
      <w:spacing w:before="240" w:after="60"/>
      <w:jc w:val="left"/>
      <w:outlineLvl w:val="1"/>
    </w:pPr>
    <w:rPr>
      <w:rFonts w:asciiTheme="majorHAnsi" w:hAnsiTheme="majorHAnsi" w:cstheme="majorBidi"/>
      <w:b/>
      <w:bCs/>
      <w:szCs w:val="32"/>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rFonts w:eastAsia="宋体"/>
      <w:b/>
      <w:bCs/>
      <w:sz w:val="24"/>
    </w:rPr>
  </w:style>
  <w:style w:type="character" w:styleId="19">
    <w:name w:val="page number"/>
    <w:basedOn w:val="17"/>
    <w:qFormat/>
    <w:uiPriority w:val="0"/>
  </w:style>
  <w:style w:type="character" w:styleId="20">
    <w:name w:val="FollowedHyperlink"/>
    <w:basedOn w:val="17"/>
    <w:qFormat/>
    <w:uiPriority w:val="0"/>
    <w:rPr>
      <w:color w:val="954F72" w:themeColor="followedHyperlink"/>
      <w:u w:val="single"/>
      <w14:textFill>
        <w14:solidFill>
          <w14:schemeClr w14:val="folHlink"/>
        </w14:solidFill>
      </w14:textFill>
    </w:rPr>
  </w:style>
  <w:style w:type="character" w:styleId="21">
    <w:name w:val="Hyperlink"/>
    <w:qFormat/>
    <w:uiPriority w:val="99"/>
    <w:rPr>
      <w:color w:val="000066"/>
      <w:u w:val="none"/>
    </w:rPr>
  </w:style>
  <w:style w:type="character" w:styleId="22">
    <w:name w:val="annotation reference"/>
    <w:basedOn w:val="17"/>
    <w:unhideWhenUsed/>
    <w:qFormat/>
    <w:uiPriority w:val="99"/>
    <w:rPr>
      <w:sz w:val="21"/>
      <w:szCs w:val="21"/>
    </w:rPr>
  </w:style>
  <w:style w:type="character" w:customStyle="1" w:styleId="23">
    <w:name w:val="页眉 字符"/>
    <w:link w:val="9"/>
    <w:qFormat/>
    <w:uiPriority w:val="0"/>
    <w:rPr>
      <w:kern w:val="2"/>
      <w:sz w:val="18"/>
      <w:szCs w:val="18"/>
    </w:rPr>
  </w:style>
  <w:style w:type="character" w:customStyle="1" w:styleId="24">
    <w:name w:val="页脚 字符"/>
    <w:link w:val="8"/>
    <w:qFormat/>
    <w:uiPriority w:val="0"/>
    <w:rPr>
      <w:kern w:val="2"/>
      <w:sz w:val="18"/>
      <w:szCs w:val="18"/>
    </w:rPr>
  </w:style>
  <w:style w:type="character" w:customStyle="1" w:styleId="25">
    <w:name w:val="标题 1 字符"/>
    <w:link w:val="3"/>
    <w:qFormat/>
    <w:uiPriority w:val="0"/>
    <w:rPr>
      <w:rFonts w:eastAsia="黑体"/>
      <w:b/>
      <w:bCs/>
      <w:kern w:val="44"/>
      <w:sz w:val="44"/>
      <w:szCs w:val="44"/>
      <w:lang w:val="zh-CN"/>
    </w:rPr>
  </w:style>
  <w:style w:type="paragraph" w:customStyle="1" w:styleId="26">
    <w:name w:val="正文1"/>
    <w:basedOn w:val="1"/>
    <w:qFormat/>
    <w:uiPriority w:val="0"/>
    <w:pPr>
      <w:spacing w:line="300" w:lineRule="auto"/>
      <w:ind w:firstLine="200" w:firstLineChars="200"/>
    </w:pPr>
    <w:rPr>
      <w:sz w:val="21"/>
      <w:szCs w:val="20"/>
    </w:rPr>
  </w:style>
  <w:style w:type="character" w:customStyle="1" w:styleId="27">
    <w:name w:val="批注文字 字符"/>
    <w:basedOn w:val="17"/>
    <w:link w:val="6"/>
    <w:qFormat/>
    <w:uiPriority w:val="99"/>
    <w:rPr>
      <w:rFonts w:asciiTheme="minorHAnsi" w:hAnsiTheme="minorHAnsi" w:eastAsiaTheme="minorEastAsia" w:cstheme="minorBidi"/>
      <w:kern w:val="2"/>
      <w:sz w:val="21"/>
      <w:szCs w:val="22"/>
      <w:lang w:val="en-US"/>
    </w:rPr>
  </w:style>
  <w:style w:type="paragraph" w:styleId="28">
    <w:name w:val="List Paragraph"/>
    <w:basedOn w:val="1"/>
    <w:qFormat/>
    <w:uiPriority w:val="34"/>
    <w:pPr>
      <w:ind w:firstLine="420" w:firstLineChars="200"/>
    </w:pPr>
    <w:rPr>
      <w:rFonts w:ascii="Calibri" w:hAnsi="Calibri"/>
    </w:rPr>
  </w:style>
  <w:style w:type="paragraph" w:customStyle="1" w:styleId="29">
    <w:name w:val="列表段落1"/>
    <w:basedOn w:val="1"/>
    <w:link w:val="43"/>
    <w:qFormat/>
    <w:uiPriority w:val="0"/>
    <w:pPr>
      <w:ind w:firstLine="420" w:firstLineChars="200"/>
    </w:pPr>
    <w:rPr>
      <w:szCs w:val="21"/>
    </w:rPr>
  </w:style>
  <w:style w:type="paragraph" w:customStyle="1" w:styleId="30">
    <w:name w:val="列表段落2"/>
    <w:basedOn w:val="1"/>
    <w:qFormat/>
    <w:uiPriority w:val="0"/>
    <w:pPr>
      <w:ind w:firstLine="420" w:firstLineChars="200"/>
    </w:pPr>
    <w:rPr>
      <w:szCs w:val="21"/>
    </w:rPr>
  </w:style>
  <w:style w:type="character" w:customStyle="1" w:styleId="31">
    <w:name w:val="标题 3 字符"/>
    <w:basedOn w:val="17"/>
    <w:link w:val="4"/>
    <w:qFormat/>
    <w:uiPriority w:val="9"/>
    <w:rPr>
      <w:rFonts w:asciiTheme="minorHAnsi" w:hAnsiTheme="minorHAnsi" w:cstheme="minorBidi"/>
      <w:b/>
      <w:bCs/>
      <w:kern w:val="2"/>
      <w:sz w:val="24"/>
      <w:szCs w:val="32"/>
    </w:rPr>
  </w:style>
  <w:style w:type="character" w:customStyle="1" w:styleId="32">
    <w:name w:val="标题 4 字符"/>
    <w:basedOn w:val="17"/>
    <w:link w:val="5"/>
    <w:qFormat/>
    <w:uiPriority w:val="9"/>
    <w:rPr>
      <w:rFonts w:asciiTheme="majorHAnsi" w:hAnsiTheme="majorHAnsi" w:eastAsiaTheme="majorEastAsia" w:cstheme="majorBidi"/>
      <w:b/>
      <w:bCs/>
      <w:kern w:val="2"/>
      <w:sz w:val="28"/>
      <w:szCs w:val="28"/>
      <w:lang w:val="en-US"/>
    </w:rPr>
  </w:style>
  <w:style w:type="character" w:customStyle="1" w:styleId="33">
    <w:name w:val="未处理的提及1"/>
    <w:basedOn w:val="17"/>
    <w:semiHidden/>
    <w:unhideWhenUsed/>
    <w:qFormat/>
    <w:uiPriority w:val="99"/>
    <w:rPr>
      <w:color w:val="605E5C"/>
      <w:shd w:val="clear" w:color="auto" w:fill="E1DFDD"/>
    </w:rPr>
  </w:style>
  <w:style w:type="character" w:customStyle="1" w:styleId="34">
    <w:name w:val="abstract-text"/>
    <w:basedOn w:val="17"/>
    <w:qFormat/>
    <w:uiPriority w:val="0"/>
  </w:style>
  <w:style w:type="character" w:customStyle="1" w:styleId="35">
    <w:name w:val="标题 字符"/>
    <w:basedOn w:val="17"/>
    <w:link w:val="14"/>
    <w:qFormat/>
    <w:uiPriority w:val="0"/>
    <w:rPr>
      <w:rFonts w:asciiTheme="majorHAnsi" w:hAnsiTheme="majorHAnsi" w:cstheme="majorBidi"/>
      <w:b/>
      <w:bCs/>
      <w:kern w:val="2"/>
      <w:sz w:val="24"/>
      <w:szCs w:val="32"/>
    </w:rPr>
  </w:style>
  <w:style w:type="character" w:customStyle="1" w:styleId="36">
    <w:name w:val="副标题 字符"/>
    <w:basedOn w:val="17"/>
    <w:link w:val="11"/>
    <w:qFormat/>
    <w:uiPriority w:val="0"/>
    <w:rPr>
      <w:rFonts w:cstheme="minorBidi"/>
      <w:b/>
      <w:bCs/>
      <w:kern w:val="28"/>
      <w:sz w:val="28"/>
      <w:szCs w:val="32"/>
    </w:rPr>
  </w:style>
  <w:style w:type="table" w:customStyle="1" w:styleId="37">
    <w:name w:val="网格表 5 深色 - 着色 31"/>
    <w:basedOn w:val="15"/>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ECEC"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cPr>
        <w:shd w:val="clear" w:color="auto" w:fill="DADADA" w:themeFill="accent3" w:themeFillTint="66"/>
      </w:tcPr>
    </w:tblStylePr>
    <w:tblStylePr w:type="band1Horz">
      <w:tcPr>
        <w:shd w:val="clear" w:color="auto" w:fill="DADADA" w:themeFill="accent3" w:themeFillTint="66"/>
      </w:tcPr>
    </w:tblStylePr>
  </w:style>
  <w:style w:type="table" w:customStyle="1" w:styleId="38">
    <w:name w:val="网格表 6 彩色 - 着色 31"/>
    <w:basedOn w:val="15"/>
    <w:qFormat/>
    <w:uiPriority w:val="51"/>
    <w:rPr>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39">
    <w:name w:val="正文内容格式"/>
    <w:link w:val="40"/>
    <w:qFormat/>
    <w:uiPriority w:val="0"/>
    <w:pPr>
      <w:spacing w:line="360" w:lineRule="auto"/>
      <w:ind w:firstLine="200" w:firstLineChars="200"/>
      <w:jc w:val="both"/>
    </w:pPr>
    <w:rPr>
      <w:rFonts w:ascii="Time New Roman" w:hAnsi="Time New Roman" w:eastAsia="宋体" w:cs="Times New Roman"/>
      <w:kern w:val="2"/>
      <w:sz w:val="24"/>
      <w:szCs w:val="21"/>
      <w:lang w:val="en-US" w:eastAsia="zh-CN" w:bidi="ar-SA"/>
    </w:rPr>
  </w:style>
  <w:style w:type="character" w:customStyle="1" w:styleId="40">
    <w:name w:val="正文内容格式 字符"/>
    <w:basedOn w:val="17"/>
    <w:link w:val="39"/>
    <w:qFormat/>
    <w:uiPriority w:val="0"/>
    <w:rPr>
      <w:rFonts w:ascii="Time New Roman" w:hAnsi="Time New Roman"/>
      <w:kern w:val="2"/>
      <w:sz w:val="24"/>
      <w:szCs w:val="21"/>
    </w:rPr>
  </w:style>
  <w:style w:type="paragraph" w:customStyle="1" w:styleId="41">
    <w:name w:val="图格式"/>
    <w:next w:val="42"/>
    <w:link w:val="44"/>
    <w:qFormat/>
    <w:uiPriority w:val="0"/>
    <w:pPr>
      <w:jc w:val="center"/>
    </w:pPr>
    <w:rPr>
      <w:rFonts w:ascii="Times New Roman" w:hAnsi="Times New Roman" w:eastAsia="宋体" w:cs="Times New Roman"/>
      <w:kern w:val="2"/>
      <w:sz w:val="24"/>
      <w:szCs w:val="21"/>
      <w:lang w:val="en-US" w:eastAsia="zh-CN" w:bidi="ar-SA"/>
    </w:rPr>
  </w:style>
  <w:style w:type="paragraph" w:customStyle="1" w:styleId="42">
    <w:name w:val="图标签格式"/>
    <w:basedOn w:val="1"/>
    <w:link w:val="45"/>
    <w:qFormat/>
    <w:uiPriority w:val="0"/>
    <w:pPr>
      <w:autoSpaceDE w:val="0"/>
      <w:autoSpaceDN w:val="0"/>
      <w:spacing w:after="100" w:afterLines="100" w:line="240" w:lineRule="exact"/>
      <w:jc w:val="center"/>
    </w:pPr>
    <w:rPr>
      <w:rFonts w:ascii="宋体" w:hAnsi="宋体"/>
      <w:color w:val="000000"/>
      <w:sz w:val="18"/>
    </w:rPr>
  </w:style>
  <w:style w:type="character" w:customStyle="1" w:styleId="43">
    <w:name w:val="列表段落1 字符"/>
    <w:basedOn w:val="17"/>
    <w:link w:val="29"/>
    <w:qFormat/>
    <w:uiPriority w:val="0"/>
    <w:rPr>
      <w:kern w:val="2"/>
      <w:sz w:val="24"/>
      <w:szCs w:val="21"/>
    </w:rPr>
  </w:style>
  <w:style w:type="character" w:customStyle="1" w:styleId="44">
    <w:name w:val="图格式 字符"/>
    <w:basedOn w:val="43"/>
    <w:link w:val="41"/>
    <w:qFormat/>
    <w:uiPriority w:val="0"/>
    <w:rPr>
      <w:kern w:val="2"/>
      <w:sz w:val="24"/>
      <w:szCs w:val="21"/>
    </w:rPr>
  </w:style>
  <w:style w:type="character" w:customStyle="1" w:styleId="45">
    <w:name w:val="图标签格式 字符"/>
    <w:basedOn w:val="17"/>
    <w:link w:val="42"/>
    <w:qFormat/>
    <w:uiPriority w:val="0"/>
    <w:rPr>
      <w:rFonts w:ascii="宋体" w:hAnsi="宋体"/>
      <w:color w:val="000000"/>
      <w:kern w:val="2"/>
      <w:sz w:val="18"/>
      <w:szCs w:val="24"/>
    </w:rPr>
  </w:style>
  <w:style w:type="character" w:styleId="46">
    <w:name w:val="Placeholder Text"/>
    <w:basedOn w:val="17"/>
    <w:unhideWhenUsed/>
    <w:qFormat/>
    <w:uiPriority w:val="99"/>
    <w:rPr>
      <w:color w:val="666666"/>
    </w:rPr>
  </w:style>
  <w:style w:type="character" w:customStyle="1" w:styleId="47">
    <w:name w:val="宏文本 字符"/>
    <w:basedOn w:val="17"/>
    <w:link w:val="2"/>
    <w:qFormat/>
    <w:uiPriority w:val="99"/>
    <w:rPr>
      <w:rFonts w:ascii="Courier" w:hAnsi="Courier" w:eastAsiaTheme="minorEastAsia" w:cstheme="minorBidi"/>
      <w:lang w:eastAsia="en-US"/>
    </w:rPr>
  </w:style>
  <w:style w:type="paragraph" w:customStyle="1" w:styleId="48">
    <w:name w:val="标题2"/>
    <w:next w:val="26"/>
    <w:link w:val="49"/>
    <w:qFormat/>
    <w:uiPriority w:val="0"/>
    <w:pPr>
      <w:spacing w:before="480" w:after="120"/>
      <w:outlineLvl w:val="1"/>
    </w:pPr>
    <w:rPr>
      <w:rFonts w:ascii="Times New Roman" w:hAnsi="Times New Roman" w:eastAsia="黑体" w:cstheme="minorBidi"/>
      <w:b/>
      <w:bCs/>
      <w:kern w:val="28"/>
      <w:sz w:val="30"/>
      <w:szCs w:val="32"/>
      <w:lang w:val="en-US" w:eastAsia="zh-CN" w:bidi="ar-SA"/>
    </w:rPr>
  </w:style>
  <w:style w:type="character" w:customStyle="1" w:styleId="49">
    <w:name w:val="标题2 字符"/>
    <w:basedOn w:val="17"/>
    <w:link w:val="48"/>
    <w:qFormat/>
    <w:uiPriority w:val="0"/>
    <w:rPr>
      <w:rFonts w:eastAsia="黑体" w:cstheme="minorBidi"/>
      <w:b/>
      <w:bCs/>
      <w:kern w:val="28"/>
      <w:sz w:val="30"/>
      <w:szCs w:val="32"/>
    </w:rPr>
  </w:style>
  <w:style w:type="paragraph" w:customStyle="1" w:styleId="50">
    <w:name w:val="标题3."/>
    <w:basedOn w:val="11"/>
    <w:link w:val="51"/>
    <w:qFormat/>
    <w:uiPriority w:val="0"/>
    <w:pPr>
      <w:numPr>
        <w:ilvl w:val="0"/>
        <w:numId w:val="0"/>
      </w:numPr>
      <w:overflowPunct w:val="0"/>
      <w:spacing w:before="480" w:after="120" w:line="240" w:lineRule="auto"/>
      <w:outlineLvl w:val="2"/>
    </w:pPr>
    <w:rPr>
      <w:rFonts w:eastAsia="黑体"/>
      <w:sz w:val="24"/>
    </w:rPr>
  </w:style>
  <w:style w:type="character" w:customStyle="1" w:styleId="51">
    <w:name w:val="标题3. 字符"/>
    <w:basedOn w:val="36"/>
    <w:link w:val="50"/>
    <w:qFormat/>
    <w:uiPriority w:val="0"/>
    <w:rPr>
      <w:rFonts w:eastAsia="黑体" w:cstheme="minorBidi"/>
      <w:kern w:val="28"/>
      <w:sz w:val="24"/>
      <w:szCs w:val="32"/>
    </w:rPr>
  </w:style>
  <w:style w:type="paragraph" w:customStyle="1" w:styleId="52">
    <w:name w:val="大纲级别4"/>
    <w:basedOn w:val="39"/>
    <w:link w:val="53"/>
    <w:qFormat/>
    <w:uiPriority w:val="0"/>
    <w:pPr>
      <w:spacing w:before="240" w:after="120" w:line="240" w:lineRule="auto"/>
      <w:ind w:firstLine="0" w:firstLineChars="0"/>
      <w:jc w:val="left"/>
      <w:outlineLvl w:val="3"/>
    </w:pPr>
    <w:rPr>
      <w:rFonts w:eastAsia="黑体"/>
      <w:b/>
      <w:sz w:val="21"/>
    </w:rPr>
  </w:style>
  <w:style w:type="character" w:customStyle="1" w:styleId="53">
    <w:name w:val="大纲级别4 字符"/>
    <w:basedOn w:val="40"/>
    <w:link w:val="52"/>
    <w:qFormat/>
    <w:uiPriority w:val="0"/>
    <w:rPr>
      <w:rFonts w:ascii="Time New Roman" w:hAnsi="Time New Roman" w:eastAsia="黑体"/>
      <w:b/>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4" Type="http://schemas.openxmlformats.org/officeDocument/2006/relationships/fontTable" Target="fontTable.xml"/><Relationship Id="rId63" Type="http://schemas.openxmlformats.org/officeDocument/2006/relationships/customXml" Target="../customXml/item1.xml"/><Relationship Id="rId62" Type="http://schemas.openxmlformats.org/officeDocument/2006/relationships/numbering" Target="numbering.xml"/><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A83B-8138-47F9-9BC9-779B2DCA4A02}">
  <ds:schemaRefs/>
</ds:datastoreItem>
</file>

<file path=docProps/app.xml><?xml version="1.0" encoding="utf-8"?>
<Properties xmlns="http://schemas.openxmlformats.org/officeDocument/2006/extended-properties" xmlns:vt="http://schemas.openxmlformats.org/officeDocument/2006/docPropsVTypes">
  <Template>Normal</Template>
  <Pages>35</Pages>
  <Words>7145</Words>
  <Characters>8088</Characters>
  <Lines>307</Lines>
  <Paragraphs>256</Paragraphs>
  <TotalTime>1</TotalTime>
  <ScaleCrop>false</ScaleCrop>
  <LinksUpToDate>false</LinksUpToDate>
  <CharactersWithSpaces>8414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2026-04-21T07:31:00Z</dcterms:created>
  <dc:creator>lukeyoyo</dc:creator>
  <cp:lastModifiedBy>郭文乐</cp:lastModifiedBy>
  <cp:lastPrinted>2022-06-20T06:08:00Z</cp:lastPrinted>
  <dcterms:modified xsi:type="dcterms:W3CDTF">2026-04-21T07:51:42Z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eyJoZGlkIjoiYjUxMGY3YmQzMGE5NzQzYWI2YjUzMjdkZWFhYjcyZGQiLCJ1c2VySWQiOiI4NTA5Mzg5MTIifQ==</vt:lpwstr>
  </property>
  <property fmtid="{D5CDD505-2E9C-101B-9397-08002B2CF9AE}" pid="4" name="ICV">
    <vt:lpwstr>74814EF4E52E49EFABF90C83508BA29D_13</vt:lpwstr>
  </property>
</Properties>
</file>