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73F67" w14:textId="14D77DC2" w:rsidR="007D763F" w:rsidRDefault="008E0A5A" w:rsidP="007D763F">
      <w:pPr>
        <w:jc w:val="center"/>
        <w:rPr>
          <w:rFonts w:ascii="Times New Roman" w:eastAsia="思源黑体 CN Normal" w:hAnsi="Times New Roman"/>
          <w:b/>
          <w:bCs/>
          <w:sz w:val="22"/>
        </w:rPr>
      </w:pPr>
      <w:r>
        <w:rPr>
          <w:rFonts w:ascii="Times New Roman" w:eastAsia="思源黑体 CN Normal" w:hAnsi="Times New Roman" w:hint="eastAsia"/>
          <w:b/>
          <w:bCs/>
          <w:sz w:val="22"/>
        </w:rPr>
        <w:t>细胞划痕</w:t>
      </w:r>
      <w:r w:rsidR="007D763F" w:rsidRPr="007D763F">
        <w:rPr>
          <w:rFonts w:ascii="Times New Roman" w:eastAsia="思源黑体 CN Normal" w:hAnsi="Times New Roman" w:hint="eastAsia"/>
          <w:b/>
          <w:bCs/>
          <w:sz w:val="22"/>
        </w:rPr>
        <w:t>实验</w:t>
      </w:r>
      <w:r w:rsidR="007D763F">
        <w:rPr>
          <w:rFonts w:ascii="Times New Roman" w:eastAsia="思源黑体 CN Normal" w:hAnsi="Times New Roman" w:hint="eastAsia"/>
          <w:b/>
          <w:bCs/>
          <w:sz w:val="22"/>
        </w:rPr>
        <w:t>方案</w:t>
      </w:r>
    </w:p>
    <w:p w14:paraId="0A3B6AC4" w14:textId="5D168E62" w:rsidR="008E0A5A" w:rsidRDefault="008E0A5A" w:rsidP="008E0A5A">
      <w:pPr>
        <w:jc w:val="left"/>
        <w:rPr>
          <w:rFonts w:ascii="Times New Roman" w:eastAsia="思源黑体 CN Normal" w:hAnsi="Times New Roman" w:hint="eastAsia"/>
          <w:b/>
          <w:bCs/>
          <w:sz w:val="22"/>
        </w:rPr>
      </w:pPr>
      <w:r>
        <w:rPr>
          <w:rFonts w:ascii="Times New Roman" w:eastAsia="思源黑体 CN Normal" w:hAnsi="Times New Roman"/>
          <w:b/>
          <w:bCs/>
          <w:noProof/>
          <w:sz w:val="22"/>
        </w:rPr>
        <w:drawing>
          <wp:anchor distT="0" distB="0" distL="114300" distR="114300" simplePos="0" relativeHeight="251658240" behindDoc="0" locked="0" layoutInCell="1" allowOverlap="1" wp14:anchorId="31E46CD4" wp14:editId="71DD97D4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4701540" cy="2454910"/>
            <wp:effectExtent l="0" t="0" r="3810" b="2540"/>
            <wp:wrapTopAndBottom/>
            <wp:docPr id="7399794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思源黑体 CN Normal" w:hAnsi="Times New Roman" w:hint="eastAsia"/>
          <w:b/>
          <w:bCs/>
          <w:sz w:val="22"/>
        </w:rPr>
        <w:t>封面图片</w:t>
      </w:r>
    </w:p>
    <w:p w14:paraId="6C4537AE" w14:textId="3DFB2C77" w:rsidR="008E0A5A" w:rsidRPr="007D763F" w:rsidRDefault="008E0A5A" w:rsidP="007D763F">
      <w:pPr>
        <w:jc w:val="center"/>
        <w:rPr>
          <w:rFonts w:ascii="Times New Roman" w:eastAsia="思源黑体 CN Normal" w:hAnsi="Times New Roman" w:hint="eastAsia"/>
          <w:b/>
          <w:bCs/>
          <w:sz w:val="22"/>
        </w:rPr>
      </w:pPr>
    </w:p>
    <w:p w14:paraId="4BE83493" w14:textId="72B90670" w:rsidR="007D763F" w:rsidRPr="007D763F" w:rsidRDefault="007D763F" w:rsidP="007D763F">
      <w:pPr>
        <w:jc w:val="center"/>
        <w:rPr>
          <w:rFonts w:ascii="Times New Roman" w:eastAsia="思源黑体 CN Normal" w:hAnsi="Times New Roman"/>
          <w:sz w:val="18"/>
          <w:szCs w:val="18"/>
        </w:rPr>
      </w:pPr>
      <w:r w:rsidRPr="007D763F">
        <w:rPr>
          <w:rFonts w:ascii="Times New Roman" w:eastAsia="思源黑体 CN Normal" w:hAnsi="Times New Roman" w:hint="eastAsia"/>
          <w:sz w:val="18"/>
          <w:szCs w:val="18"/>
          <w:highlight w:val="yellow"/>
        </w:rPr>
        <w:t>前言</w:t>
      </w:r>
    </w:p>
    <w:p w14:paraId="0758DB19" w14:textId="65AAEBA2" w:rsidR="007D763F" w:rsidRPr="007D763F" w:rsidRDefault="008E0A5A" w:rsidP="007D763F">
      <w:pPr>
        <w:ind w:firstLineChars="200" w:firstLine="360"/>
        <w:rPr>
          <w:rFonts w:ascii="Times New Roman" w:eastAsia="思源黑体 CN Normal" w:hAnsi="Times New Roman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细胞侵袭迁移能力是指细胞通过移动和穿透组织结构的能力，这种能力在多种生理和病理过程中都非常重要。在病理学上，尤其是癌症研究中，细胞的侵袭和迁移能力是</w:t>
      </w:r>
      <w:r w:rsidRPr="008E0A5A">
        <w:rPr>
          <w:rFonts w:ascii="Times New Roman" w:eastAsia="思源黑体 CN Normal" w:hAnsi="Times New Roman" w:hint="eastAsia"/>
          <w:b/>
          <w:bCs/>
          <w:sz w:val="18"/>
          <w:szCs w:val="18"/>
        </w:rPr>
        <w:t>癌症转移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和扩散的关键因素</w:t>
      </w:r>
      <w:r>
        <w:rPr>
          <w:rFonts w:ascii="Times New Roman" w:eastAsia="思源黑体 CN Normal" w:hAnsi="Times New Roman" w:hint="eastAsia"/>
          <w:sz w:val="18"/>
          <w:szCs w:val="18"/>
        </w:rPr>
        <w:t>。目前，不少体外实验可以模拟细胞在体内的侵袭和转移情况，例如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细胞划痕实验</w:t>
      </w:r>
      <w:r>
        <w:rPr>
          <w:rFonts w:ascii="Times New Roman" w:eastAsia="思源黑体 CN Normal" w:hAnsi="Times New Roman" w:hint="eastAsia"/>
          <w:sz w:val="18"/>
          <w:szCs w:val="18"/>
        </w:rPr>
        <w:t>，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是通过在细胞单层上划痕并通过显微镜定期捕获图像，从而研究细胞迁移运动、修复能力和细胞间相互作用的实验室技术</w:t>
      </w:r>
      <w:r>
        <w:rPr>
          <w:rFonts w:ascii="Times New Roman" w:eastAsia="思源黑体 CN Normal" w:hAnsi="Times New Roman" w:hint="eastAsia"/>
          <w:sz w:val="18"/>
          <w:szCs w:val="18"/>
        </w:rPr>
        <w:t>。</w:t>
      </w:r>
    </w:p>
    <w:p w14:paraId="5F034897" w14:textId="22C551ED" w:rsidR="007D763F" w:rsidRPr="007D763F" w:rsidRDefault="007D763F" w:rsidP="007D763F">
      <w:pPr>
        <w:ind w:firstLineChars="200" w:firstLine="360"/>
        <w:jc w:val="center"/>
        <w:rPr>
          <w:rFonts w:ascii="Times New Roman" w:eastAsia="思源黑体 CN Normal" w:hAnsi="Times New Roman"/>
          <w:sz w:val="18"/>
          <w:szCs w:val="18"/>
        </w:rPr>
      </w:pPr>
      <w:r w:rsidRPr="007D763F">
        <w:rPr>
          <w:rFonts w:ascii="Times New Roman" w:eastAsia="思源黑体 CN Normal" w:hAnsi="Times New Roman" w:hint="eastAsia"/>
          <w:sz w:val="18"/>
          <w:szCs w:val="18"/>
          <w:highlight w:val="yellow"/>
        </w:rPr>
        <w:t>材料</w:t>
      </w:r>
    </w:p>
    <w:p w14:paraId="506B4F9D" w14:textId="1854D060" w:rsidR="007D763F" w:rsidRPr="007D763F" w:rsidRDefault="008E0A5A" w:rsidP="007D763F">
      <w:pPr>
        <w:rPr>
          <w:rFonts w:ascii="Times New Roman" w:eastAsia="思源黑体 CN Normal" w:hAnsi="Times New Roman" w:hint="eastAsia"/>
          <w:sz w:val="18"/>
          <w:szCs w:val="18"/>
        </w:rPr>
      </w:pPr>
      <w:r>
        <w:rPr>
          <w:rFonts w:ascii="Times New Roman" w:eastAsia="思源黑体 CN Normal" w:hAnsi="Times New Roman" w:hint="eastAsia"/>
          <w:sz w:val="18"/>
          <w:szCs w:val="18"/>
        </w:rPr>
        <w:t>实验材料：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六孔板、马克笔，直尺，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200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μ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l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枪头（灭菌），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PBS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，完全培养基等。</w:t>
      </w:r>
    </w:p>
    <w:p w14:paraId="7CDF8D99" w14:textId="7D875BD4" w:rsidR="007D763F" w:rsidRPr="007D763F" w:rsidRDefault="007D763F" w:rsidP="007D763F">
      <w:pPr>
        <w:jc w:val="center"/>
        <w:rPr>
          <w:rFonts w:ascii="Times New Roman" w:eastAsia="思源黑体 CN Normal" w:hAnsi="Times New Roman"/>
          <w:sz w:val="18"/>
          <w:szCs w:val="18"/>
        </w:rPr>
      </w:pPr>
    </w:p>
    <w:p w14:paraId="64F52BCF" w14:textId="196D2C32" w:rsidR="007D763F" w:rsidRPr="007D763F" w:rsidRDefault="007D763F" w:rsidP="007D763F">
      <w:pPr>
        <w:jc w:val="center"/>
        <w:rPr>
          <w:rFonts w:ascii="Times New Roman" w:eastAsia="思源黑体 CN Normal" w:hAnsi="Times New Roman"/>
          <w:sz w:val="18"/>
          <w:szCs w:val="18"/>
        </w:rPr>
      </w:pPr>
      <w:r w:rsidRPr="007D763F">
        <w:rPr>
          <w:rFonts w:ascii="Times New Roman" w:eastAsia="思源黑体 CN Normal" w:hAnsi="Times New Roman" w:hint="eastAsia"/>
          <w:sz w:val="18"/>
          <w:szCs w:val="18"/>
        </w:rPr>
        <w:t>操作方法：</w:t>
      </w:r>
    </w:p>
    <w:p w14:paraId="7C992521" w14:textId="77777777" w:rsidR="008E0A5A" w:rsidRPr="008E0A5A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种板：根据分组进行种板，细胞密度为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5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×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105 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个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/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孔左右（种板所用细胞数目可根据细胞的生长快慢调整），保证每组细胞铺板密度一致且第二天或者第三天融合度达到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95%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以上。</w:t>
      </w:r>
    </w:p>
    <w:p w14:paraId="1A32619F" w14:textId="77777777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注：细胞要铺均匀，加入细胞后可用手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拿起六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>孔板，前后均匀晃动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5-10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次</w:t>
      </w:r>
    </w:p>
    <w:p w14:paraId="19D7C357" w14:textId="4F9406C7" w:rsidR="008E0A5A" w:rsidRPr="008E0A5A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划痕：待细胞长满（细胞融合度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95%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以上）后，用直尺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/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六孔板盖比着，使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200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μ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l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枪头垂直于孔板和画的标记线划两条垂线，形成若干交叉点，作为固定的检测点。用枪头画线时，要用力均匀一致，垂直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lastRenderedPageBreak/>
        <w:t>稳定且一气呵成，避免宽度差别较大，不利于结果分析的准确性。</w:t>
      </w:r>
    </w:p>
    <w:p w14:paraId="056DAB63" w14:textId="70FE7D11" w:rsidR="008E0A5A" w:rsidRPr="008E0A5A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清洗：弃去旧培养基，用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PBS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轻轻润洗两到三次，直到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划下来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>的细胞冲洗干净，务必清洗干净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划下来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>的活细胞，避免在拍照期间细胞贴壁在划痕处并进行增殖影响结果。</w:t>
      </w:r>
    </w:p>
    <w:p w14:paraId="5B54B314" w14:textId="2CF33D00" w:rsidR="008E0A5A" w:rsidRPr="008E0A5A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加液：根据分组分别加入加药培养基或无血清培养基。根据细胞种类，可选择无血清或低血清（＜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2%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）培养基来降低细胞增殖的影响，一般拍照时间点可选为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0-48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小时，一般是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24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小时，过度增殖可能造成实验假阳性结果。</w:t>
      </w:r>
    </w:p>
    <w:p w14:paraId="5B66F65B" w14:textId="77777777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注：完全不加入血清可能会导致细胞漂浮和死亡</w:t>
      </w:r>
    </w:p>
    <w:p w14:paraId="5675EBBA" w14:textId="6BE2EEEA" w:rsidR="00CF23A8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拍照观察：划痕、清洗、加液完成后，用显微镜拍不同倍数的照片，作为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0h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对照。放入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37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℃、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5% CO2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培养箱中培养。在所需时间点取出细胞，于显微镜下观察同一位置划痕宽度并拍照。拍照时注意不要镜头过于模糊，尽量不要选择边缘的光影差别过大的位置，切换镜头时不要忘记换标尺。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0h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拍照时可以在试验记录本上标记拍照位置，以便后续各时间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段拍摄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>同一位置。</w:t>
      </w:r>
    </w:p>
    <w:p w14:paraId="76764A21" w14:textId="1209D909" w:rsidR="008E0A5A" w:rsidRPr="008E0A5A" w:rsidRDefault="008E0A5A" w:rsidP="008E0A5A">
      <w:pPr>
        <w:pStyle w:val="a9"/>
        <w:numPr>
          <w:ilvl w:val="0"/>
          <w:numId w:val="2"/>
        </w:numPr>
        <w:ind w:firstLineChars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数据分析：</w:t>
      </w:r>
    </w:p>
    <w:p w14:paraId="3306D338" w14:textId="4A6D8A35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 </w:t>
      </w:r>
      <w:r>
        <w:rPr>
          <w:rFonts w:ascii="Times New Roman" w:eastAsia="思源黑体 CN Normal" w:hAnsi="Times New Roman" w:hint="eastAsia"/>
          <w:sz w:val="18"/>
          <w:szCs w:val="18"/>
        </w:rPr>
        <w:t xml:space="preserve"> 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可以采用统计细胞迁移的距离或统计划痕面积的方法。使用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ImageJ 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软件进行分析，以下是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ImageJ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详细的分析步骤：</w:t>
      </w:r>
    </w:p>
    <w:p w14:paraId="27E1CF4E" w14:textId="77777777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ImageJ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打开</w:t>
      </w:r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待分析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>划痕图片，先通过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Image -&gt; Type -&gt; 8-bit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将图片格式转化为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8-bit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灰度图片，再通过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Process -&gt; smooth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将图片进行平滑处理，最后点击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Process -&gt; Find Edges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寻找边缘：</w:t>
      </w:r>
    </w:p>
    <w:p w14:paraId="1CDAB383" w14:textId="4E63EF37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Process -&gt; Filters -&gt; Gaussian Blur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…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Sigma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设为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6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，对图片进行模糊处理</w:t>
      </w:r>
      <w:r>
        <w:rPr>
          <w:rFonts w:ascii="Times New Roman" w:eastAsia="思源黑体 CN Normal" w:hAnsi="Times New Roman" w:hint="eastAsia"/>
          <w:sz w:val="18"/>
          <w:szCs w:val="18"/>
        </w:rPr>
        <w:t>；</w:t>
      </w:r>
    </w:p>
    <w:p w14:paraId="0D2569B5" w14:textId="6ADCF3A9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Image -&gt; Adjust -&gt; Threshold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，按照自己需要调整适合的阈值，调整合适后点击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apply</w:t>
      </w:r>
      <w:r>
        <w:rPr>
          <w:rFonts w:ascii="Times New Roman" w:eastAsia="思源黑体 CN Normal" w:hAnsi="Times New Roman" w:hint="eastAsia"/>
          <w:sz w:val="18"/>
          <w:szCs w:val="18"/>
        </w:rPr>
        <w:t>；</w:t>
      </w:r>
    </w:p>
    <w:p w14:paraId="6F54F24F" w14:textId="397C7CB4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使用魔棒工具选择划痕，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Edit -&gt; Clear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清除划痕内部的细胞，然后使用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Edit -&gt; Clear outside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去除非划痕部分的白色空隙。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Edit -&gt; Invert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将划痕转变为灰色，再次对整张图片进行反转，得到划痕为白色、非划痕部分为黑色</w:t>
      </w:r>
      <w:r>
        <w:rPr>
          <w:rFonts w:ascii="Times New Roman" w:eastAsia="思源黑体 CN Normal" w:hAnsi="Times New Roman" w:hint="eastAsia"/>
          <w:sz w:val="18"/>
          <w:szCs w:val="18"/>
        </w:rPr>
        <w:t>；</w:t>
      </w:r>
    </w:p>
    <w:p w14:paraId="6A032D44" w14:textId="428DC7D6" w:rsid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验证所得划痕面积的准确性利用魔术棒点击白色区域，点击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Analyze -&gt; Tools -&gt; ROI Manager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…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-&gt; Add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，打开原图片，点击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ROI Manager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中刚刚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Add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的区域，此区域将会显示在原图片中，通过符合程度返回第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3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步调整阈值，调整目的区域</w:t>
      </w:r>
      <w:r>
        <w:rPr>
          <w:rFonts w:ascii="Times New Roman" w:eastAsia="思源黑体 CN Normal" w:hAnsi="Times New Roman" w:hint="eastAsia"/>
          <w:sz w:val="18"/>
          <w:szCs w:val="18"/>
        </w:rPr>
        <w:t>。</w:t>
      </w:r>
    </w:p>
    <w:p w14:paraId="096ADCA3" w14:textId="06841E2F" w:rsid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/>
          <w:sz w:val="18"/>
          <w:szCs w:val="18"/>
        </w:rPr>
      </w:pPr>
      <w:r>
        <w:rPr>
          <w:rFonts w:ascii="Times New Roman" w:eastAsia="思源黑体 CN Normal" w:hAnsi="Times New Roman"/>
          <w:noProof/>
          <w:sz w:val="18"/>
          <w:szCs w:val="18"/>
        </w:rPr>
        <w:drawing>
          <wp:inline distT="0" distB="0" distL="0" distR="0" wp14:anchorId="129376F4" wp14:editId="5868624A">
            <wp:extent cx="4980214" cy="2055491"/>
            <wp:effectExtent l="0" t="0" r="0" b="2540"/>
            <wp:docPr id="73580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30" cy="206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32425" w14:textId="0BAA141C" w:rsid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/>
          <w:sz w:val="18"/>
          <w:szCs w:val="18"/>
        </w:rPr>
      </w:pPr>
      <w:r w:rsidRPr="008E0A5A">
        <w:rPr>
          <w:rFonts w:ascii="Times New Roman" w:eastAsia="思源黑体 CN Normal" w:hAnsi="Times New Roman" w:hint="eastAsia"/>
          <w:sz w:val="18"/>
          <w:szCs w:val="18"/>
        </w:rPr>
        <w:t>数据分析参考：解螺旋官方频道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</w:t>
      </w:r>
      <w:hyperlink r:id="rId9" w:history="1">
        <w:r w:rsidRPr="00EE5B20">
          <w:rPr>
            <w:rStyle w:val="aa"/>
            <w:rFonts w:ascii="Times New Roman" w:eastAsia="思源黑体 CN Normal" w:hAnsi="Times New Roman" w:hint="eastAsia"/>
            <w:sz w:val="18"/>
            <w:szCs w:val="18"/>
          </w:rPr>
          <w:t>https://www.bilibili.com/read/cv11241008/</w:t>
        </w:r>
      </w:hyperlink>
    </w:p>
    <w:p w14:paraId="3D361EBC" w14:textId="0E9CD92B" w:rsidR="008E0A5A" w:rsidRPr="008E0A5A" w:rsidRDefault="008E0A5A" w:rsidP="008E0A5A">
      <w:pPr>
        <w:pStyle w:val="a9"/>
        <w:ind w:left="360" w:firstLineChars="0" w:firstLine="0"/>
        <w:rPr>
          <w:rFonts w:ascii="Times New Roman" w:eastAsia="思源黑体 CN Normal" w:hAnsi="Times New Roman" w:hint="eastAsia"/>
          <w:sz w:val="18"/>
          <w:szCs w:val="18"/>
        </w:rPr>
      </w:pPr>
      <w:r>
        <w:rPr>
          <w:rFonts w:ascii="Times New Roman" w:eastAsia="思源黑体 CN Normal" w:hAnsi="Times New Roman" w:hint="eastAsia"/>
          <w:sz w:val="18"/>
          <w:szCs w:val="18"/>
        </w:rPr>
        <w:t>图片参考：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Tang </w:t>
      </w:r>
      <w:proofErr w:type="spellStart"/>
      <w:proofErr w:type="gramStart"/>
      <w:r w:rsidRPr="008E0A5A">
        <w:rPr>
          <w:rFonts w:ascii="Times New Roman" w:eastAsia="思源黑体 CN Normal" w:hAnsi="Times New Roman" w:hint="eastAsia"/>
          <w:sz w:val="18"/>
          <w:szCs w:val="18"/>
        </w:rPr>
        <w:t>Q,al</w:t>
      </w:r>
      <w:proofErr w:type="spellEnd"/>
      <w:r w:rsidRPr="008E0A5A">
        <w:rPr>
          <w:rFonts w:ascii="Times New Roman" w:eastAsia="思源黑体 CN Normal" w:hAnsi="Times New Roman" w:hint="eastAsia"/>
          <w:sz w:val="18"/>
          <w:szCs w:val="18"/>
        </w:rPr>
        <w:t>.</w:t>
      </w:r>
      <w:proofErr w:type="gramEnd"/>
      <w:r w:rsidRPr="008E0A5A">
        <w:rPr>
          <w:rFonts w:ascii="Times New Roman" w:eastAsia="思源黑体 CN Normal" w:hAnsi="Times New Roman" w:hint="eastAsia"/>
          <w:sz w:val="18"/>
          <w:szCs w:val="18"/>
        </w:rPr>
        <w:t xml:space="preserve"> TM4SF1 promotes EMT and cancer stemness via the </w:t>
      </w:r>
      <w:proofErr w:type="spellStart"/>
      <w:r w:rsidRPr="008E0A5A">
        <w:rPr>
          <w:rFonts w:ascii="Times New Roman" w:eastAsia="思源黑体 CN Normal" w:hAnsi="Times New Roman" w:hint="eastAsia"/>
          <w:sz w:val="18"/>
          <w:szCs w:val="18"/>
        </w:rPr>
        <w:t>Wnt</w:t>
      </w:r>
      <w:proofErr w:type="spellEnd"/>
      <w:r w:rsidRPr="008E0A5A">
        <w:rPr>
          <w:rFonts w:ascii="Times New Roman" w:eastAsia="思源黑体 CN Normal" w:hAnsi="Times New Roman" w:hint="eastAsia"/>
          <w:sz w:val="18"/>
          <w:szCs w:val="18"/>
        </w:rPr>
        <w:t>/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β</w:t>
      </w:r>
      <w:r w:rsidRPr="008E0A5A">
        <w:rPr>
          <w:rFonts w:ascii="Times New Roman" w:eastAsia="思源黑体 CN Normal" w:hAnsi="Times New Roman" w:hint="eastAsia"/>
          <w:sz w:val="18"/>
          <w:szCs w:val="18"/>
        </w:rPr>
        <w:t>-catenin/SOX2 pathway in colorectal cancer. J Exp Clin Cancer Res. 2020 Nov 5;39(1):232</w:t>
      </w:r>
    </w:p>
    <w:sectPr w:rsidR="008E0A5A" w:rsidRPr="008E0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EA0D4" w14:textId="77777777" w:rsidR="00A52BE0" w:rsidRDefault="00A52BE0" w:rsidP="007D763F">
      <w:pPr>
        <w:rPr>
          <w:rFonts w:hint="eastAsia"/>
        </w:rPr>
      </w:pPr>
      <w:r>
        <w:separator/>
      </w:r>
    </w:p>
  </w:endnote>
  <w:endnote w:type="continuationSeparator" w:id="0">
    <w:p w14:paraId="2327F6FF" w14:textId="77777777" w:rsidR="00A52BE0" w:rsidRDefault="00A52BE0" w:rsidP="007D76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CE4603" w14:textId="77777777" w:rsidR="00A52BE0" w:rsidRDefault="00A52BE0" w:rsidP="007D763F">
      <w:pPr>
        <w:rPr>
          <w:rFonts w:hint="eastAsia"/>
        </w:rPr>
      </w:pPr>
      <w:r>
        <w:separator/>
      </w:r>
    </w:p>
  </w:footnote>
  <w:footnote w:type="continuationSeparator" w:id="0">
    <w:p w14:paraId="5BDBEF09" w14:textId="77777777" w:rsidR="00A52BE0" w:rsidRDefault="00A52BE0" w:rsidP="007D76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91C87"/>
    <w:multiLevelType w:val="hybridMultilevel"/>
    <w:tmpl w:val="BBF07AB8"/>
    <w:lvl w:ilvl="0" w:tplc="BA7A8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2050DD"/>
    <w:multiLevelType w:val="hybridMultilevel"/>
    <w:tmpl w:val="FF528F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8213076">
    <w:abstractNumId w:val="1"/>
  </w:num>
  <w:num w:numId="2" w16cid:durableId="77228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9C"/>
    <w:rsid w:val="00007792"/>
    <w:rsid w:val="004B7108"/>
    <w:rsid w:val="007D763F"/>
    <w:rsid w:val="008E0A5A"/>
    <w:rsid w:val="00A52BE0"/>
    <w:rsid w:val="00C77FFE"/>
    <w:rsid w:val="00CF23A8"/>
    <w:rsid w:val="00E14D9C"/>
    <w:rsid w:val="00EA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7E8F72"/>
  <w14:defaultImageDpi w14:val="32767"/>
  <w15:chartTrackingRefBased/>
  <w15:docId w15:val="{72F14162-2256-46A5-A0E6-4A11E2AC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6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76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76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763F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7D76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rsid w:val="007D76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7D763F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8E0A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0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read/cv11241008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2</cp:revision>
  <dcterms:created xsi:type="dcterms:W3CDTF">2024-09-04T08:19:00Z</dcterms:created>
  <dcterms:modified xsi:type="dcterms:W3CDTF">2024-09-04T08:19:00Z</dcterms:modified>
</cp:coreProperties>
</file>