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i w:val="0"/>
          <w:color w:val="0B2545"/>
          <w:sz w:val="52"/>
        </w:rPr>
        <w:t>CHARGE ITS WORTH</w:t>
      </w:r>
    </w:p>
    <w:p>
      <w:pPr>
        <w:spacing w:after="320"/>
      </w:pPr>
      <w:r>
        <w:rPr>
          <w:rFonts w:ascii="Calibri" w:hAnsi="Calibri"/>
          <w:b/>
          <w:i w:val="0"/>
          <w:color w:val="2E74B5"/>
          <w:sz w:val="30"/>
        </w:rPr>
        <w:t>The Value Equation Audit for Nabaperks</w:t>
      </w:r>
    </w:p>
    <w:p>
      <w:pPr>
        <w:spacing w:after="100" w:line="300" w:lineRule="auto"/>
      </w:pPr>
      <w:r>
        <w:rPr>
          <w:rFonts w:ascii="Calibri" w:hAnsi="Calibri"/>
          <w:b/>
          <w:i w:val="0"/>
          <w:color w:val="1F4D78"/>
          <w:sz w:val="22"/>
        </w:rPr>
        <w:t xml:space="preserve">Prepared for: </w:t>
      </w:r>
      <w:r>
        <w:rPr>
          <w:rFonts w:ascii="Calibri" w:hAnsi="Calibri"/>
          <w:b w:val="0"/>
          <w:i w:val="0"/>
          <w:color w:val="1A1A1A"/>
          <w:sz w:val="22"/>
        </w:rPr>
        <w:t>Nabaperks / Lapen Inns</w:t>
      </w:r>
    </w:p>
    <w:p>
      <w:pPr>
        <w:spacing w:after="100" w:line="300" w:lineRule="auto"/>
      </w:pPr>
      <w:r>
        <w:rPr>
          <w:rFonts w:ascii="Calibri" w:hAnsi="Calibri"/>
          <w:b/>
          <w:i w:val="0"/>
          <w:color w:val="1F4D78"/>
          <w:sz w:val="22"/>
        </w:rPr>
        <w:t xml:space="preserve">Niche: </w:t>
      </w:r>
      <w:r>
        <w:rPr>
          <w:rFonts w:ascii="Calibri" w:hAnsi="Calibri"/>
          <w:b w:val="0"/>
          <w:i w:val="0"/>
          <w:color w:val="1A1A1A"/>
          <w:sz w:val="22"/>
        </w:rPr>
        <w:t>Established, owner-operated UK gastropubs with 1-3 locations, strong weekend trade and underused Tuesday-Thursday capacity</w:t>
      </w:r>
    </w:p>
    <w:p>
      <w:pPr>
        <w:spacing w:after="100" w:line="300" w:lineRule="auto"/>
      </w:pPr>
      <w:r>
        <w:rPr>
          <w:rFonts w:ascii="Calibri" w:hAnsi="Calibri"/>
          <w:b/>
          <w:i w:val="0"/>
          <w:color w:val="1F4D78"/>
          <w:sz w:val="22"/>
        </w:rPr>
        <w:t xml:space="preserve">Audit date: </w:t>
      </w:r>
      <w:r>
        <w:rPr>
          <w:rFonts w:ascii="Calibri" w:hAnsi="Calibri"/>
          <w:b w:val="0"/>
          <w:i w:val="0"/>
          <w:color w:val="1A1A1A"/>
          <w:sz w:val="22"/>
        </w:rPr>
        <w:t>18 July 2026</w:t>
      </w:r>
    </w:p>
    <w:p>
      <w:pPr>
        <w:spacing w:after="100" w:line="300" w:lineRule="auto"/>
      </w:pPr>
      <w:r>
        <w:rPr>
          <w:rFonts w:ascii="Calibri" w:hAnsi="Calibri"/>
          <w:b/>
          <w:i w:val="0"/>
          <w:color w:val="1F4D78"/>
          <w:sz w:val="22"/>
        </w:rPr>
        <w:t xml:space="preserve">Status: </w:t>
      </w:r>
      <w:r>
        <w:rPr>
          <w:rFonts w:ascii="Calibri" w:hAnsi="Calibri"/>
          <w:b w:val="0"/>
          <w:i w:val="0"/>
          <w:color w:val="1A1A1A"/>
          <w:sz w:val="22"/>
        </w:rPr>
        <w:t>Conditional go - validate the premium service before scaling</w:t>
      </w:r>
    </w:p>
    <w:p>
      <w:pPr>
        <w:shd w:val="clear" w:color="auto" w:fill="E7F2EC"/>
        <w:pBdr>
          <w:top w:val="single" w:sz="8" w:space="4" w:color="E7F2EC"/>
          <w:left w:val="single" w:sz="8" w:space="4" w:color="E7F2EC"/>
          <w:bottom w:val="single" w:sz="8" w:space="4" w:color="E7F2EC"/>
          <w:right w:val="single" w:sz="8" w:space="4" w:color="E7F2EC"/>
        </w:pBdr>
        <w:spacing w:before="80" w:after="160" w:line="288" w:lineRule="auto"/>
        <w:ind w:left="58" w:right="58"/>
      </w:pPr>
      <w:r>
        <w:rPr>
          <w:rFonts w:ascii="Calibri" w:hAnsi="Calibri"/>
          <w:b/>
          <w:i w:val="0"/>
          <w:color w:val="1F6B4A"/>
          <w:sz w:val="19"/>
        </w:rPr>
        <w:t xml:space="preserve">EXECUTIVE DECISION  </w:t>
      </w:r>
      <w:r>
        <w:rPr>
          <w:rFonts w:ascii="Calibri" w:hAnsi="Calibri"/>
          <w:b/>
          <w:i w:val="0"/>
          <w:color w:val="0B2545"/>
          <w:sz w:val="21"/>
        </w:rPr>
        <w:t>Do not sell Nabaperks as expensive loyalty software. Sell an installed 90-day midweek retention system, with the £49 plan retained as the DIY option.</w:t>
      </w:r>
    </w:p>
    <w:p>
      <w:pPr>
        <w:pStyle w:val="Heading1"/>
        <w:keepNext/>
      </w:pPr>
      <w:r>
        <w:t>Audit verdict</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2300"/>
        <w:gridCol w:w="1500"/>
        <w:gridCol w:w="5560"/>
      </w:tblGrid>
      <w:tr>
        <w:trPr>
          <w:trHeight w:hRule="atLeast"/>
          <w:tblHeader w:val="true"/>
        </w:trPr>
        <w:tc>
          <w:tcPr>
            <w:tcW w:type="dxa" w:w="2300"/>
            <w:shd w:fill="E8EEF5"/>
            <w:tcMar>
              <w:top w:w="80" w:type="dxa"/>
              <w:start w:w="120" w:type="dxa"/>
              <w:bottom w:w="80" w:type="dxa"/>
              <w:end w:w="120" w:type="dxa"/>
            </w:tcMar>
            <w:vAlign w:val="center"/>
          </w:tcPr>
          <w:p>
            <w:pPr>
              <w:jc w:val="left"/>
            </w:pPr>
            <w:r>
              <w:rPr>
                <w:rFonts w:ascii="Calibri" w:hAnsi="Calibri"/>
                <w:b/>
                <w:i w:val="0"/>
                <w:color w:val="0B2545"/>
                <w:sz w:val="19"/>
              </w:rPr>
              <w:t>Audit area</w:t>
            </w:r>
          </w:p>
        </w:tc>
        <w:tc>
          <w:tcPr>
            <w:tcW w:type="dxa" w:w="1500"/>
            <w:shd w:fill="E8EEF5"/>
            <w:tcMar>
              <w:top w:w="80" w:type="dxa"/>
              <w:start w:w="120" w:type="dxa"/>
              <w:bottom w:w="80" w:type="dxa"/>
              <w:end w:w="120" w:type="dxa"/>
            </w:tcMar>
            <w:vAlign w:val="center"/>
          </w:tcPr>
          <w:p>
            <w:pPr>
              <w:jc w:val="center"/>
            </w:pPr>
            <w:r>
              <w:rPr>
                <w:rFonts w:ascii="Calibri" w:hAnsi="Calibri"/>
                <w:b/>
                <w:i w:val="0"/>
                <w:color w:val="0B2545"/>
                <w:sz w:val="19"/>
              </w:rPr>
              <w:t>Verdict</w:t>
            </w:r>
          </w:p>
        </w:tc>
        <w:tc>
          <w:tcPr>
            <w:tcW w:type="dxa" w:w="5560"/>
            <w:shd w:fill="E8EEF5"/>
            <w:tcMar>
              <w:top w:w="80" w:type="dxa"/>
              <w:start w:w="120" w:type="dxa"/>
              <w:bottom w:w="80" w:type="dxa"/>
              <w:end w:w="120" w:type="dxa"/>
            </w:tcMar>
            <w:vAlign w:val="center"/>
          </w:tcPr>
          <w:p>
            <w:pPr>
              <w:jc w:val="left"/>
            </w:pPr>
            <w:r>
              <w:rPr>
                <w:rFonts w:ascii="Calibri" w:hAnsi="Calibri"/>
                <w:b/>
                <w:i w:val="0"/>
                <w:color w:val="0B2545"/>
                <w:sz w:val="19"/>
              </w:rPr>
              <w:t>What it means</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Niche and pain</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offer targets a costly, recognisable problem: paid-for gastropub capacity sitting underused during quieter weekday periods.</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Dream outcome</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premium outcome is measurable return visits, not access to stamps, QR codes or generic loyalty features.</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Likelihood of achievement</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PARTIAL</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Existing proof, controls and reporting help, but weekday-return reporting and campaign attribution are not yet complete.</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Time delay</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existing launch flow, reward presets, permanent QR and poster generation can create an immediate visible result.</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Effort and sacrifice</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PARTIAL</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software removes customer and till friction; the premium DFY operating service still needs a repeatable delivery process.</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Premium price readiness</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CONDITIONAL</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 £1,500 launch plus £249/month is defensible only when strategy, implementation, reporting and optimisation are included.</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Revenue claim readiness</w:t>
            </w:r>
          </w:p>
        </w:tc>
        <w:tc>
          <w:tcPr>
            <w:tcW w:type="dxa" w:w="1500"/>
            <w:shd w:fill="FDECEC"/>
            <w:tcMar>
              <w:top w:w="80" w:type="dxa"/>
              <w:start w:w="120" w:type="dxa"/>
              <w:bottom w:w="80" w:type="dxa"/>
              <w:end w:w="120" w:type="dxa"/>
            </w:tcMar>
            <w:vAlign w:val="center"/>
          </w:tcPr>
          <w:p>
            <w:pPr>
              <w:spacing w:after="0" w:line="269" w:lineRule="auto"/>
              <w:jc w:val="center"/>
            </w:pPr>
            <w:r>
              <w:rPr>
                <w:rFonts w:ascii="Calibri" w:hAnsi="Calibri"/>
                <w:b/>
                <w:i w:val="0"/>
                <w:color w:val="9B1C1C"/>
                <w:sz w:val="18"/>
              </w:rPr>
              <w:t>FAIL</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Nabaperks does not currently measure incremental revenue, spend or bookings. Market return visits, not guaranteed revenue.</w:t>
            </w:r>
          </w:p>
        </w:tc>
      </w:tr>
    </w:tbl>
    <w:p>
      <w:pPr>
        <w:spacing w:after="40"/>
      </w:pPr>
    </w:p>
    <w:p>
      <w:r>
        <w:br w:type="page"/>
      </w:r>
    </w:p>
    <w:p>
      <w:pPr>
        <w:pStyle w:val="Heading1"/>
        <w:keepNext/>
      </w:pPr>
      <w:r>
        <w:t>Final offer decision</w:t>
      </w:r>
    </w:p>
    <w:p>
      <w:pPr>
        <w:spacing w:after="100" w:line="300" w:lineRule="auto"/>
      </w:pPr>
      <w:r>
        <w:rPr>
          <w:rFonts w:ascii="Calibri" w:hAnsi="Calibri"/>
          <w:b/>
          <w:i w:val="0"/>
          <w:color w:val="1F4D78"/>
          <w:sz w:val="22"/>
        </w:rPr>
        <w:t xml:space="preserve">Offer name: </w:t>
      </w:r>
      <w:r>
        <w:rPr>
          <w:rFonts w:ascii="Calibri" w:hAnsi="Calibri"/>
          <w:b w:val="0"/>
          <w:i w:val="0"/>
          <w:color w:val="1A1A1A"/>
          <w:sz w:val="22"/>
        </w:rPr>
        <w:t>The 90-Day Gastropub Midweek Regulars Launch</w:t>
      </w:r>
    </w:p>
    <w:p>
      <w:pPr>
        <w:spacing w:after="100" w:line="300" w:lineRule="auto"/>
      </w:pPr>
      <w:r>
        <w:rPr>
          <w:rFonts w:ascii="Calibri" w:hAnsi="Calibri"/>
          <w:b/>
          <w:i w:val="0"/>
          <w:color w:val="1F4D78"/>
          <w:sz w:val="22"/>
        </w:rPr>
        <w:t xml:space="preserve">Category: </w:t>
      </w:r>
      <w:r>
        <w:rPr>
          <w:rFonts w:ascii="Calibri" w:hAnsi="Calibri"/>
          <w:b w:val="0"/>
          <w:i w:val="0"/>
          <w:color w:val="1A1A1A"/>
          <w:sz w:val="22"/>
        </w:rPr>
        <w:t>The no-app Midweek Regulars Engine for independent gastropubs</w:t>
      </w:r>
    </w:p>
    <w:p>
      <w:pPr>
        <w:spacing w:after="100" w:line="300" w:lineRule="auto"/>
      </w:pPr>
      <w:r>
        <w:rPr>
          <w:rFonts w:ascii="Calibri" w:hAnsi="Calibri"/>
          <w:b/>
          <w:i w:val="0"/>
          <w:color w:val="1F4D78"/>
          <w:sz w:val="22"/>
        </w:rPr>
        <w:t xml:space="preserve">Positioning: </w:t>
      </w:r>
      <w:r>
        <w:rPr>
          <w:rFonts w:ascii="Calibri" w:hAnsi="Calibri"/>
          <w:b w:val="0"/>
          <w:i w:val="0"/>
          <w:color w:val="1A1A1A"/>
          <w:sz w:val="22"/>
        </w:rPr>
        <w:t>Nabaperks helps established independent gastropubs generate measurable Tuesday-Thursday return visits without a customer app, POS integration or additional work at the till.</w:t>
      </w:r>
    </w:p>
    <w:p>
      <w:pPr>
        <w:spacing w:after="100" w:line="300" w:lineRule="auto"/>
      </w:pPr>
      <w:r>
        <w:rPr>
          <w:rFonts w:ascii="Calibri" w:hAnsi="Calibri"/>
          <w:b/>
          <w:i w:val="0"/>
          <w:color w:val="1F4D78"/>
          <w:sz w:val="22"/>
        </w:rPr>
        <w:t xml:space="preserve">Price to test: </w:t>
      </w:r>
      <w:r>
        <w:rPr>
          <w:rFonts w:ascii="Calibri" w:hAnsi="Calibri"/>
          <w:b w:val="0"/>
          <w:i w:val="0"/>
          <w:color w:val="1A1A1A"/>
          <w:sz w:val="22"/>
        </w:rPr>
        <w:t>£1,500 implementation including the first 90 days, then £249 per venue per month</w:t>
      </w:r>
    </w:p>
    <w:p>
      <w:pPr>
        <w:spacing w:after="100" w:line="300" w:lineRule="auto"/>
      </w:pPr>
      <w:r>
        <w:rPr>
          <w:rFonts w:ascii="Calibri" w:hAnsi="Calibri"/>
          <w:b/>
          <w:i w:val="0"/>
          <w:color w:val="1F4D78"/>
          <w:sz w:val="22"/>
        </w:rPr>
        <w:t xml:space="preserve">DIY alternative: </w:t>
      </w:r>
      <w:r>
        <w:rPr>
          <w:rFonts w:ascii="Calibri" w:hAnsi="Calibri"/>
          <w:b w:val="0"/>
          <w:i w:val="0"/>
          <w:color w:val="1A1A1A"/>
          <w:sz w:val="22"/>
        </w:rPr>
        <w:t>£49 per venue per month for software-only access</w:t>
      </w:r>
    </w:p>
    <w:p>
      <w:pPr>
        <w:pStyle w:val="Heading1"/>
        <w:keepNext/>
      </w:pPr>
      <w:r>
        <w:t>1. Charge Its Worth audit</w:t>
      </w:r>
    </w:p>
    <w:p>
      <w:pPr>
        <w:pStyle w:val="Heading2"/>
        <w:keepNext/>
      </w:pPr>
      <w:r>
        <w:t>The product-to-offer transformation</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4680"/>
        <w:gridCol w:w="4680"/>
      </w:tblGrid>
      <w:tr>
        <w:trPr>
          <w:trHeight w:hRule="atLeast"/>
          <w:tblHeader w:val="true"/>
        </w:trPr>
        <w:tc>
          <w:tcPr>
            <w:tcW w:type="dxa" w:w="4680"/>
            <w:shd w:fill="E8EEF5"/>
            <w:tcMar>
              <w:top w:w="80" w:type="dxa"/>
              <w:start w:w="120" w:type="dxa"/>
              <w:bottom w:w="80" w:type="dxa"/>
              <w:end w:w="120" w:type="dxa"/>
            </w:tcMar>
            <w:vAlign w:val="center"/>
          </w:tcPr>
          <w:p>
            <w:pPr>
              <w:jc w:val="left"/>
            </w:pPr>
            <w:r>
              <w:rPr>
                <w:rFonts w:ascii="Calibri" w:hAnsi="Calibri"/>
                <w:b/>
                <w:i w:val="0"/>
                <w:color w:val="0B2545"/>
                <w:sz w:val="19"/>
              </w:rPr>
              <w:t>Commodity framing</w:t>
            </w:r>
          </w:p>
        </w:tc>
        <w:tc>
          <w:tcPr>
            <w:tcW w:type="dxa" w:w="4680"/>
            <w:shd w:fill="E8EEF5"/>
            <w:tcMar>
              <w:top w:w="80" w:type="dxa"/>
              <w:start w:w="120" w:type="dxa"/>
              <w:bottom w:w="80" w:type="dxa"/>
              <w:end w:w="120" w:type="dxa"/>
            </w:tcMar>
            <w:vAlign w:val="center"/>
          </w:tcPr>
          <w:p>
            <w:pPr>
              <w:jc w:val="left"/>
            </w:pPr>
            <w:r>
              <w:rPr>
                <w:rFonts w:ascii="Calibri" w:hAnsi="Calibri"/>
                <w:b/>
                <w:i w:val="0"/>
                <w:color w:val="0B2545"/>
                <w:sz w:val="19"/>
              </w:rPr>
              <w:t>Premium framing</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Digital stamp card</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Installed midweek customer-retention system</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Software access</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90-day implementation with defined milestones</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Generic hospitality</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Established owner-operated UK gastropubs</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More loyalty members</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Measurable Tuesday-Thursday return visits</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Self-service setup</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Reward strategy, configuration, launch and optimisation</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Feature support</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Proactive success management and next-action reporting</w:t>
            </w:r>
          </w:p>
        </w:tc>
      </w:tr>
      <w:tr>
        <w:trPr>
          <w:trHeight w:hRule="atLeast"/>
        </w:trPr>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£49 software comparison</w:t>
            </w:r>
          </w:p>
        </w:tc>
        <w:tc>
          <w:tcPr>
            <w:tcW w:type="dxa" w:w="468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Value compared with underused paid-for capacity</w:t>
            </w:r>
          </w:p>
        </w:tc>
      </w:tr>
    </w:tbl>
    <w:p>
      <w:pPr>
        <w:spacing w:after="40"/>
      </w:pPr>
    </w:p>
    <w:p>
      <w:pPr>
        <w:pStyle w:val="Heading2"/>
        <w:keepNext/>
      </w:pPr>
      <w:r>
        <w:t>Price architecture</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1900"/>
        <w:gridCol w:w="2100"/>
        <w:gridCol w:w="1300"/>
        <w:gridCol w:w="4060"/>
      </w:tblGrid>
      <w:tr>
        <w:trPr>
          <w:trHeight w:hRule="atLeast"/>
          <w:tblHeader w:val="true"/>
        </w:trPr>
        <w:tc>
          <w:tcPr>
            <w:tcW w:type="dxa" w:w="1900"/>
            <w:shd w:fill="E8EEF5"/>
            <w:tcMar>
              <w:top w:w="80" w:type="dxa"/>
              <w:start w:w="120" w:type="dxa"/>
              <w:bottom w:w="80" w:type="dxa"/>
              <w:end w:w="120" w:type="dxa"/>
            </w:tcMar>
            <w:vAlign w:val="center"/>
          </w:tcPr>
          <w:p>
            <w:pPr>
              <w:jc w:val="left"/>
            </w:pPr>
            <w:r>
              <w:rPr>
                <w:rFonts w:ascii="Calibri" w:hAnsi="Calibri"/>
                <w:b/>
                <w:i w:val="0"/>
                <w:color w:val="0B2545"/>
                <w:sz w:val="19"/>
              </w:rPr>
              <w:t>Tier</w:t>
            </w:r>
          </w:p>
        </w:tc>
        <w:tc>
          <w:tcPr>
            <w:tcW w:type="dxa" w:w="2100"/>
            <w:shd w:fill="E8EEF5"/>
            <w:tcMar>
              <w:top w:w="80" w:type="dxa"/>
              <w:start w:w="120" w:type="dxa"/>
              <w:bottom w:w="80" w:type="dxa"/>
              <w:end w:w="120" w:type="dxa"/>
            </w:tcMar>
            <w:vAlign w:val="center"/>
          </w:tcPr>
          <w:p>
            <w:pPr>
              <w:jc w:val="left"/>
            </w:pPr>
            <w:r>
              <w:rPr>
                <w:rFonts w:ascii="Calibri" w:hAnsi="Calibri"/>
                <w:b/>
                <w:i w:val="0"/>
                <w:color w:val="0B2545"/>
                <w:sz w:val="19"/>
              </w:rPr>
              <w:t>Delivery</w:t>
            </w:r>
          </w:p>
        </w:tc>
        <w:tc>
          <w:tcPr>
            <w:tcW w:type="dxa" w:w="1300"/>
            <w:shd w:fill="E8EEF5"/>
            <w:tcMar>
              <w:top w:w="80" w:type="dxa"/>
              <w:start w:w="120" w:type="dxa"/>
              <w:bottom w:w="80" w:type="dxa"/>
              <w:end w:w="120" w:type="dxa"/>
            </w:tcMar>
            <w:vAlign w:val="center"/>
          </w:tcPr>
          <w:p>
            <w:pPr>
              <w:jc w:val="left"/>
            </w:pPr>
            <w:r>
              <w:rPr>
                <w:rFonts w:ascii="Calibri" w:hAnsi="Calibri"/>
                <w:b/>
                <w:i w:val="0"/>
                <w:color w:val="0B2545"/>
                <w:sz w:val="19"/>
              </w:rPr>
              <w:t>Price</w:t>
            </w:r>
          </w:p>
        </w:tc>
        <w:tc>
          <w:tcPr>
            <w:tcW w:type="dxa" w:w="4060"/>
            <w:shd w:fill="E8EEF5"/>
            <w:tcMar>
              <w:top w:w="80" w:type="dxa"/>
              <w:start w:w="120" w:type="dxa"/>
              <w:bottom w:w="80" w:type="dxa"/>
              <w:end w:w="120" w:type="dxa"/>
            </w:tcMar>
            <w:vAlign w:val="center"/>
          </w:tcPr>
          <w:p>
            <w:pPr>
              <w:jc w:val="left"/>
            </w:pPr>
            <w:r>
              <w:rPr>
                <w:rFonts w:ascii="Calibri" w:hAnsi="Calibri"/>
                <w:b/>
                <w:i w:val="0"/>
                <w:color w:val="0B2545"/>
                <w:sz w:val="19"/>
              </w:rPr>
              <w:t>Purpose</w:t>
            </w:r>
          </w:p>
        </w:tc>
      </w:tr>
      <w:tr>
        <w:trPr>
          <w:trHeight w:hRule="atLeast"/>
        </w:trPr>
        <w:tc>
          <w:tcPr>
            <w:tcW w:type="dxa" w:w="19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Growth</w:t>
            </w:r>
          </w:p>
        </w:tc>
        <w:tc>
          <w:tcPr>
            <w:tcW w:type="dxa" w:w="2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DIY software</w:t>
            </w:r>
          </w:p>
        </w:tc>
        <w:tc>
          <w:tcPr>
            <w:tcW w:type="dxa" w:w="1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£49/month</w:t>
            </w:r>
          </w:p>
        </w:tc>
        <w:tc>
          <w:tcPr>
            <w:tcW w:type="dxa" w:w="40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Captures price-sensitive, self-sufficient operators without weakening the premium offer.</w:t>
            </w:r>
          </w:p>
        </w:tc>
      </w:tr>
      <w:tr>
        <w:trPr>
          <w:trHeight w:hRule="atLeast"/>
        </w:trPr>
        <w:tc>
          <w:tcPr>
            <w:tcW w:type="dxa" w:w="19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Midweek Regulars Launch</w:t>
            </w:r>
          </w:p>
        </w:tc>
        <w:tc>
          <w:tcPr>
            <w:tcW w:type="dxa" w:w="2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90-day DWY implementation</w:t>
            </w:r>
          </w:p>
        </w:tc>
        <w:tc>
          <w:tcPr>
            <w:tcW w:type="dxa" w:w="1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£1,500</w:t>
            </w:r>
          </w:p>
        </w:tc>
        <w:tc>
          <w:tcPr>
            <w:tcW w:type="dxa" w:w="40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Funds strategy, configuration, assets, training and milestone reviews.</w:t>
            </w:r>
          </w:p>
        </w:tc>
      </w:tr>
      <w:tr>
        <w:trPr>
          <w:trHeight w:hRule="atLeast"/>
        </w:trPr>
        <w:tc>
          <w:tcPr>
            <w:tcW w:type="dxa" w:w="19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Regulars Growth</w:t>
            </w:r>
          </w:p>
        </w:tc>
        <w:tc>
          <w:tcPr>
            <w:tcW w:type="dxa" w:w="2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Ongoing managed optimisation</w:t>
            </w:r>
          </w:p>
        </w:tc>
        <w:tc>
          <w:tcPr>
            <w:tcW w:type="dxa" w:w="1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£249/month</w:t>
            </w:r>
          </w:p>
        </w:tc>
        <w:tc>
          <w:tcPr>
            <w:tcW w:type="dxa" w:w="40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Funds reporting, campaign guidance, reward refreshes and proactive support.</w:t>
            </w:r>
          </w:p>
        </w:tc>
      </w:tr>
      <w:tr>
        <w:trPr>
          <w:trHeight w:hRule="atLeast"/>
        </w:trPr>
        <w:tc>
          <w:tcPr>
            <w:tcW w:type="dxa" w:w="19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Regional Group</w:t>
            </w:r>
          </w:p>
        </w:tc>
        <w:tc>
          <w:tcPr>
            <w:tcW w:type="dxa" w:w="2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Group administration and success service</w:t>
            </w:r>
          </w:p>
        </w:tc>
        <w:tc>
          <w:tcPr>
            <w:tcW w:type="dxa" w:w="1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Custom</w:t>
            </w:r>
          </w:p>
        </w:tc>
        <w:tc>
          <w:tcPr>
            <w:tcW w:type="dxa" w:w="40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Defer until group-level product capabilities exist.</w:t>
            </w:r>
          </w:p>
        </w:tc>
      </w:tr>
    </w:tbl>
    <w:p>
      <w:pPr>
        <w:spacing w:after="40"/>
      </w:pPr>
    </w:p>
    <w:p>
      <w:pPr>
        <w:pStyle w:val="Heading2"/>
        <w:keepNext/>
      </w:pPr>
      <w:r>
        <w:t>Price-to-value test</w:t>
      </w:r>
    </w:p>
    <w:p>
      <w:pPr>
        <w:keepLines w:val="0"/>
        <w:spacing w:before="0" w:after="120" w:line="300" w:lineRule="auto"/>
      </w:pPr>
      <w:r>
        <w:rPr>
          <w:rFonts w:ascii="Calibri" w:hAnsi="Calibri"/>
          <w:b w:val="0"/>
          <w:i w:val="0"/>
          <w:color w:val="1A1A1A"/>
          <w:sz w:val="22"/>
        </w:rPr>
        <w:t>Use the venue's actual gross contribution rather than invented reference values. The break-even model is:</w:t>
      </w:r>
    </w:p>
    <w:p>
      <w:pPr>
        <w:shd w:val="clear" w:color="auto" w:fill="E8EEF5"/>
        <w:pBdr>
          <w:top w:val="single" w:sz="8" w:space="4" w:color="E8EEF5"/>
          <w:left w:val="single" w:sz="8" w:space="4" w:color="E8EEF5"/>
          <w:bottom w:val="single" w:sz="8" w:space="4" w:color="E8EEF5"/>
          <w:right w:val="single" w:sz="8" w:space="4" w:color="E8EEF5"/>
        </w:pBdr>
        <w:spacing w:before="80" w:after="160" w:line="288" w:lineRule="auto"/>
        <w:ind w:left="58" w:right="58"/>
      </w:pPr>
      <w:r>
        <w:rPr>
          <w:rFonts w:ascii="Calibri" w:hAnsi="Calibri"/>
          <w:b/>
          <w:i w:val="0"/>
          <w:color w:val="1F4D78"/>
          <w:sz w:val="19"/>
        </w:rPr>
        <w:t xml:space="preserve">FORMULA  </w:t>
      </w:r>
      <w:r>
        <w:rPr>
          <w:rFonts w:ascii="Calibri" w:hAnsi="Calibri"/>
          <w:b/>
          <w:i w:val="0"/>
          <w:color w:val="0B2545"/>
          <w:sz w:val="21"/>
        </w:rPr>
        <w:t>Monthly fee divided by gross contribution per returning visit equals the additional visits required to break even.</w:t>
      </w:r>
    </w:p>
    <w:p>
      <w:pPr>
        <w:keepLines w:val="0"/>
        <w:spacing w:before="0" w:after="120" w:line="300" w:lineRule="auto"/>
      </w:pPr>
      <w:r>
        <w:rPr>
          <w:rFonts w:ascii="Calibri" w:hAnsi="Calibri"/>
          <w:b w:val="0"/>
          <w:i w:val="0"/>
          <w:color w:val="1A1A1A"/>
          <w:sz w:val="22"/>
        </w:rPr>
        <w:t>Illustration only: at £12 gross contribution per visit, a £249 monthly fee requires approximately 21 additional visits to break even. This is not a Nabaperks performance claim; each operator must supply its own economics.</w:t>
      </w:r>
    </w:p>
    <w:p>
      <w:pPr>
        <w:pStyle w:val="Heading2"/>
        <w:keepNext/>
      </w:pPr>
      <w:r>
        <w:t>Premium-price integrity checklist</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2300"/>
        <w:gridCol w:w="1500"/>
        <w:gridCol w:w="5560"/>
      </w:tblGrid>
      <w:tr>
        <w:trPr>
          <w:trHeight w:hRule="atLeast"/>
          <w:tblHeader w:val="true"/>
        </w:trPr>
        <w:tc>
          <w:tcPr>
            <w:tcW w:type="dxa" w:w="2300"/>
            <w:shd w:fill="E8EEF5"/>
            <w:tcMar>
              <w:top w:w="80" w:type="dxa"/>
              <w:start w:w="120" w:type="dxa"/>
              <w:bottom w:w="80" w:type="dxa"/>
              <w:end w:w="120" w:type="dxa"/>
            </w:tcMar>
            <w:vAlign w:val="center"/>
          </w:tcPr>
          <w:p>
            <w:pPr>
              <w:jc w:val="left"/>
            </w:pPr>
            <w:r>
              <w:rPr>
                <w:rFonts w:ascii="Calibri" w:hAnsi="Calibri"/>
                <w:b/>
                <w:i w:val="0"/>
                <w:color w:val="0B2545"/>
                <w:sz w:val="19"/>
              </w:rPr>
              <w:t>Check</w:t>
            </w:r>
          </w:p>
        </w:tc>
        <w:tc>
          <w:tcPr>
            <w:tcW w:type="dxa" w:w="1500"/>
            <w:shd w:fill="E8EEF5"/>
            <w:tcMar>
              <w:top w:w="80" w:type="dxa"/>
              <w:start w:w="120" w:type="dxa"/>
              <w:bottom w:w="80" w:type="dxa"/>
              <w:end w:w="120" w:type="dxa"/>
            </w:tcMar>
            <w:vAlign w:val="center"/>
          </w:tcPr>
          <w:p>
            <w:pPr>
              <w:jc w:val="center"/>
            </w:pPr>
            <w:r>
              <w:rPr>
                <w:rFonts w:ascii="Calibri" w:hAnsi="Calibri"/>
                <w:b/>
                <w:i w:val="0"/>
                <w:color w:val="0B2545"/>
                <w:sz w:val="19"/>
              </w:rPr>
              <w:t>Status</w:t>
            </w:r>
          </w:p>
        </w:tc>
        <w:tc>
          <w:tcPr>
            <w:tcW w:type="dxa" w:w="5560"/>
            <w:shd w:fill="E8EEF5"/>
            <w:tcMar>
              <w:top w:w="80" w:type="dxa"/>
              <w:start w:w="120" w:type="dxa"/>
              <w:bottom w:w="80" w:type="dxa"/>
              <w:end w:w="120" w:type="dxa"/>
            </w:tcMar>
            <w:vAlign w:val="center"/>
          </w:tcPr>
          <w:p>
            <w:pPr>
              <w:jc w:val="left"/>
            </w:pPr>
            <w:r>
              <w:rPr>
                <w:rFonts w:ascii="Calibri" w:hAnsi="Calibri"/>
                <w:b/>
                <w:i w:val="0"/>
                <w:color w:val="0B2545"/>
                <w:sz w:val="19"/>
              </w:rPr>
              <w:t>Audit requirement</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premium tier changes delivery, not just price</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service includes strategy, setup, campaign planning, reporting and optimisation.</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economic outcome can be explained</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PARTIAL</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Break-even can be modelled, but incremental revenue is not yet measured.</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customer has a named implementation owner</w:t>
            </w:r>
          </w:p>
        </w:tc>
        <w:tc>
          <w:tcPr>
            <w:tcW w:type="dxa" w:w="1500"/>
            <w:shd w:fill="FDECEC"/>
            <w:tcMar>
              <w:top w:w="80" w:type="dxa"/>
              <w:start w:w="120" w:type="dxa"/>
              <w:bottom w:w="80" w:type="dxa"/>
              <w:end w:w="120" w:type="dxa"/>
            </w:tcMar>
            <w:vAlign w:val="center"/>
          </w:tcPr>
          <w:p>
            <w:pPr>
              <w:spacing w:after="0" w:line="269" w:lineRule="auto"/>
              <w:jc w:val="center"/>
            </w:pPr>
            <w:r>
              <w:rPr>
                <w:rFonts w:ascii="Calibri" w:hAnsi="Calibri"/>
                <w:b/>
                <w:i w:val="0"/>
                <w:color w:val="9B1C1C"/>
                <w:sz w:val="18"/>
              </w:rPr>
              <w:t>GAP</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Add this to qualification and onboarding.</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Delivery capacity supports genuine scarcity</w:t>
            </w:r>
          </w:p>
        </w:tc>
        <w:tc>
          <w:tcPr>
            <w:tcW w:type="dxa" w:w="1500"/>
            <w:shd w:fill="FDECEC"/>
            <w:tcMar>
              <w:top w:w="80" w:type="dxa"/>
              <w:start w:w="120" w:type="dxa"/>
              <w:bottom w:w="80" w:type="dxa"/>
              <w:end w:w="120" w:type="dxa"/>
            </w:tcMar>
            <w:vAlign w:val="center"/>
          </w:tcPr>
          <w:p>
            <w:pPr>
              <w:spacing w:after="0" w:line="269" w:lineRule="auto"/>
              <w:jc w:val="center"/>
            </w:pPr>
            <w:r>
              <w:rPr>
                <w:rFonts w:ascii="Calibri" w:hAnsi="Calibri"/>
                <w:b/>
                <w:i w:val="0"/>
                <w:color w:val="9B1C1C"/>
                <w:sz w:val="18"/>
              </w:rPr>
              <w:t>GAP</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Set and honour a monthly onboarding cap before using scarcity language.</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operator can see progress</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PARTIAL</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Current weekly trends help; a dedicated 90-day outcome score is still needed.</w:t>
            </w:r>
          </w:p>
        </w:tc>
      </w:tr>
      <w:tr>
        <w:trPr>
          <w:trHeight w:hRule="atLeast"/>
        </w:trPr>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service has a repeatable SOP</w:t>
            </w:r>
          </w:p>
        </w:tc>
        <w:tc>
          <w:tcPr>
            <w:tcW w:type="dxa" w:w="1500"/>
            <w:shd w:fill="FDECEC"/>
            <w:tcMar>
              <w:top w:w="80" w:type="dxa"/>
              <w:start w:w="120" w:type="dxa"/>
              <w:bottom w:w="80" w:type="dxa"/>
              <w:end w:w="120" w:type="dxa"/>
            </w:tcMar>
            <w:vAlign w:val="center"/>
          </w:tcPr>
          <w:p>
            <w:pPr>
              <w:spacing w:after="0" w:line="269" w:lineRule="auto"/>
              <w:jc w:val="center"/>
            </w:pPr>
            <w:r>
              <w:rPr>
                <w:rFonts w:ascii="Calibri" w:hAnsi="Calibri"/>
                <w:b/>
                <w:i w:val="0"/>
                <w:color w:val="9B1C1C"/>
                <w:sz w:val="18"/>
              </w:rPr>
              <w:t>GAP</w:t>
            </w:r>
          </w:p>
        </w:tc>
        <w:tc>
          <w:tcPr>
            <w:tcW w:type="dxa" w:w="5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Document the audit, setup, launch, reporting and optimisation workflow before scale.</w:t>
            </w:r>
          </w:p>
        </w:tc>
      </w:tr>
    </w:tbl>
    <w:p>
      <w:pPr>
        <w:spacing w:after="40"/>
      </w:pPr>
    </w:p>
    <w:p>
      <w:r>
        <w:br w:type="page"/>
      </w:r>
    </w:p>
    <w:p>
      <w:pPr>
        <w:pStyle w:val="Heading1"/>
        <w:keepNext/>
      </w:pPr>
      <w:r>
        <w:t>2. The Value Equation audit</w:t>
      </w:r>
    </w:p>
    <w:p>
      <w:pPr>
        <w:shd w:val="clear" w:color="auto" w:fill="E8EEF5"/>
        <w:pBdr>
          <w:top w:val="single" w:sz="8" w:space="4" w:color="E8EEF5"/>
          <w:left w:val="single" w:sz="8" w:space="4" w:color="E8EEF5"/>
          <w:bottom w:val="single" w:sz="8" w:space="4" w:color="E8EEF5"/>
          <w:right w:val="single" w:sz="8" w:space="4" w:color="E8EEF5"/>
        </w:pBdr>
        <w:spacing w:before="80" w:after="160" w:line="288" w:lineRule="auto"/>
        <w:ind w:left="58" w:right="58"/>
      </w:pPr>
      <w:r>
        <w:rPr>
          <w:rFonts w:ascii="Calibri" w:hAnsi="Calibri"/>
          <w:b/>
          <w:i w:val="0"/>
          <w:color w:val="1F4D78"/>
          <w:sz w:val="19"/>
        </w:rPr>
        <w:t xml:space="preserve">VALUE EQUATION  </w:t>
      </w:r>
      <w:r>
        <w:rPr>
          <w:rFonts w:ascii="Calibri" w:hAnsi="Calibri"/>
          <w:b/>
          <w:i w:val="0"/>
          <w:color w:val="0B2545"/>
          <w:sz w:val="21"/>
        </w:rPr>
        <w:t>Value rises when the dream outcome and perceived likelihood increase, while time delay and customer effort decrease.</w:t>
      </w:r>
    </w:p>
    <w:p>
      <w:pPr>
        <w:pStyle w:val="Heading2"/>
        <w:keepNext/>
      </w:pPr>
      <w:r>
        <w:t>A. Dream outcome</w:t>
      </w:r>
    </w:p>
    <w:p>
      <w:pPr>
        <w:spacing w:after="100" w:line="300" w:lineRule="auto"/>
      </w:pPr>
      <w:r>
        <w:rPr>
          <w:rFonts w:ascii="Calibri" w:hAnsi="Calibri"/>
          <w:b/>
          <w:i w:val="0"/>
          <w:color w:val="1F4D78"/>
          <w:sz w:val="22"/>
        </w:rPr>
        <w:t xml:space="preserve">Surface-level request: </w:t>
      </w:r>
      <w:r>
        <w:rPr>
          <w:rFonts w:ascii="Calibri" w:hAnsi="Calibri"/>
          <w:b w:val="0"/>
          <w:i w:val="0"/>
          <w:color w:val="1A1A1A"/>
          <w:sz w:val="22"/>
        </w:rPr>
        <w:t>A digital loyalty card</w:t>
      </w:r>
    </w:p>
    <w:p>
      <w:pPr>
        <w:spacing w:after="100" w:line="300" w:lineRule="auto"/>
      </w:pPr>
      <w:r>
        <w:rPr>
          <w:rFonts w:ascii="Calibri" w:hAnsi="Calibri"/>
          <w:b/>
          <w:i w:val="0"/>
          <w:color w:val="1F4D78"/>
          <w:sz w:val="22"/>
        </w:rPr>
        <w:t xml:space="preserve">Commercial desire: </w:t>
      </w:r>
      <w:r>
        <w:rPr>
          <w:rFonts w:ascii="Calibri" w:hAnsi="Calibri"/>
          <w:b w:val="0"/>
          <w:i w:val="0"/>
          <w:color w:val="1A1A1A"/>
          <w:sz w:val="22"/>
        </w:rPr>
        <w:t>More guests returning during otherwise quiet weekday service periods</w:t>
      </w:r>
    </w:p>
    <w:p>
      <w:pPr>
        <w:spacing w:after="100" w:line="300" w:lineRule="auto"/>
      </w:pPr>
      <w:r>
        <w:rPr>
          <w:rFonts w:ascii="Calibri" w:hAnsi="Calibri"/>
          <w:b/>
          <w:i w:val="0"/>
          <w:color w:val="1F4D78"/>
          <w:sz w:val="22"/>
        </w:rPr>
        <w:t xml:space="preserve">Ultimate dream outcome: </w:t>
      </w:r>
      <w:r>
        <w:rPr>
          <w:rFonts w:ascii="Calibri" w:hAnsi="Calibri"/>
          <w:b w:val="0"/>
          <w:i w:val="0"/>
          <w:color w:val="1A1A1A"/>
          <w:sz w:val="22"/>
        </w:rPr>
        <w:t>A reliable, measurable base of profitable regulars returning Tuesday-Thursday, supported by an owned audience and a retention system that operates without app, POS or till friction</w:t>
      </w:r>
    </w:p>
    <w:p>
      <w:pPr>
        <w:pStyle w:val="Heading3"/>
        <w:keepNext/>
      </w:pPr>
      <w:r>
        <w:t>Dream-outcome audit</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2200"/>
        <w:gridCol w:w="1500"/>
        <w:gridCol w:w="5660"/>
      </w:tblGrid>
      <w:tr>
        <w:trPr>
          <w:trHeight w:hRule="atLeast"/>
          <w:tblHeader w:val="true"/>
        </w:trPr>
        <w:tc>
          <w:tcPr>
            <w:tcW w:type="dxa" w:w="2200"/>
            <w:shd w:fill="E8EEF5"/>
            <w:tcMar>
              <w:top w:w="80" w:type="dxa"/>
              <w:start w:w="120" w:type="dxa"/>
              <w:bottom w:w="80" w:type="dxa"/>
              <w:end w:w="120" w:type="dxa"/>
            </w:tcMar>
            <w:vAlign w:val="center"/>
          </w:tcPr>
          <w:p>
            <w:pPr>
              <w:jc w:val="left"/>
            </w:pPr>
            <w:r>
              <w:rPr>
                <w:rFonts w:ascii="Calibri" w:hAnsi="Calibri"/>
                <w:b/>
                <w:i w:val="0"/>
                <w:color w:val="0B2545"/>
                <w:sz w:val="19"/>
              </w:rPr>
              <w:t>Criterion</w:t>
            </w:r>
          </w:p>
        </w:tc>
        <w:tc>
          <w:tcPr>
            <w:tcW w:type="dxa" w:w="1500"/>
            <w:shd w:fill="E8EEF5"/>
            <w:tcMar>
              <w:top w:w="80" w:type="dxa"/>
              <w:start w:w="120" w:type="dxa"/>
              <w:bottom w:w="80" w:type="dxa"/>
              <w:end w:w="120" w:type="dxa"/>
            </w:tcMar>
            <w:vAlign w:val="center"/>
          </w:tcPr>
          <w:p>
            <w:pPr>
              <w:jc w:val="center"/>
            </w:pPr>
            <w:r>
              <w:rPr>
                <w:rFonts w:ascii="Calibri" w:hAnsi="Calibri"/>
                <w:b/>
                <w:i w:val="0"/>
                <w:color w:val="0B2545"/>
                <w:sz w:val="19"/>
              </w:rPr>
              <w:t>Status</w:t>
            </w:r>
          </w:p>
        </w:tc>
        <w:tc>
          <w:tcPr>
            <w:tcW w:type="dxa" w:w="5660"/>
            <w:shd w:fill="E8EEF5"/>
            <w:tcMar>
              <w:top w:w="80" w:type="dxa"/>
              <w:start w:w="120" w:type="dxa"/>
              <w:bottom w:w="80" w:type="dxa"/>
              <w:end w:w="120" w:type="dxa"/>
            </w:tcMar>
            <w:vAlign w:val="center"/>
          </w:tcPr>
          <w:p>
            <w:pPr>
              <w:jc w:val="left"/>
            </w:pPr>
            <w:r>
              <w:rPr>
                <w:rFonts w:ascii="Calibri" w:hAnsi="Calibri"/>
                <w:b/>
                <w:i w:val="0"/>
                <w:color w:val="0B2545"/>
                <w:sz w:val="19"/>
              </w:rPr>
              <w:t>Decision</w:t>
            </w:r>
          </w:p>
        </w:tc>
      </w:tr>
      <w:tr>
        <w:trPr>
          <w:trHeight w:hRule="atLeast"/>
        </w:trPr>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Specific to the niche</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Names gastropubs and the Tuesday-Thursday capacity problem.</w:t>
            </w:r>
          </w:p>
        </w:tc>
      </w:tr>
      <w:tr>
        <w:trPr>
          <w:trHeight w:hRule="atLeast"/>
        </w:trPr>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Measurable in the product</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PARTIAL</w:t>
            </w:r>
          </w:p>
        </w:tc>
        <w:tc>
          <w:tcPr>
            <w:tcW w:type="dxa" w:w="5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Return visits are measurable; weekday segmentation needs a dedicated surface.</w:t>
            </w:r>
          </w:p>
        </w:tc>
      </w:tr>
      <w:tr>
        <w:trPr>
          <w:trHeight w:hRule="atLeast"/>
        </w:trPr>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Economically meaningful</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outcome addresses underused capacity rather than vanity engagement.</w:t>
            </w:r>
          </w:p>
        </w:tc>
      </w:tr>
      <w:tr>
        <w:trPr>
          <w:trHeight w:hRule="atLeast"/>
        </w:trPr>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Within Nabaperks' control</w:t>
            </w:r>
          </w:p>
        </w:tc>
        <w:tc>
          <w:tcPr>
            <w:tcW w:type="dxa" w:w="1500"/>
            <w:shd w:fill="FFF4CE"/>
            <w:tcMar>
              <w:top w:w="80" w:type="dxa"/>
              <w:start w:w="120" w:type="dxa"/>
              <w:bottom w:w="80" w:type="dxa"/>
              <w:end w:w="120" w:type="dxa"/>
            </w:tcMar>
            <w:vAlign w:val="center"/>
          </w:tcPr>
          <w:p>
            <w:pPr>
              <w:spacing w:after="0" w:line="269" w:lineRule="auto"/>
              <w:jc w:val="center"/>
            </w:pPr>
            <w:r>
              <w:rPr>
                <w:rFonts w:ascii="Calibri" w:hAnsi="Calibri"/>
                <w:b/>
                <w:i w:val="0"/>
                <w:color w:val="7A5A00"/>
                <w:sz w:val="18"/>
              </w:rPr>
              <w:t>PARTIAL</w:t>
            </w:r>
          </w:p>
        </w:tc>
        <w:tc>
          <w:tcPr>
            <w:tcW w:type="dxa" w:w="5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platform supports behaviour, but service quality, footfall and reward fulfilment remain with the venue.</w:t>
            </w:r>
          </w:p>
        </w:tc>
      </w:tr>
      <w:tr>
        <w:trPr>
          <w:trHeight w:hRule="atLeast"/>
        </w:trPr>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Safe to promise</w:t>
            </w:r>
          </w:p>
        </w:tc>
        <w:tc>
          <w:tcPr>
            <w:tcW w:type="dxa" w:w="1500"/>
            <w:shd w:fill="E7F2EC"/>
            <w:tcMar>
              <w:top w:w="80" w:type="dxa"/>
              <w:start w:w="120" w:type="dxa"/>
              <w:bottom w:w="80" w:type="dxa"/>
              <w:end w:w="120" w:type="dxa"/>
            </w:tcMar>
            <w:vAlign w:val="center"/>
          </w:tcPr>
          <w:p>
            <w:pPr>
              <w:spacing w:after="0" w:line="269" w:lineRule="auto"/>
              <w:jc w:val="center"/>
            </w:pPr>
            <w:r>
              <w:rPr>
                <w:rFonts w:ascii="Calibri" w:hAnsi="Calibri"/>
                <w:b/>
                <w:i w:val="0"/>
                <w:color w:val="1F6B4A"/>
                <w:sz w:val="18"/>
              </w:rPr>
              <w:t>PASS</w:t>
            </w:r>
          </w:p>
        </w:tc>
        <w:tc>
          <w:tcPr>
            <w:tcW w:type="dxa" w:w="5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Promise measurable return visits and implementation; do not promise incremental revenue.</w:t>
            </w:r>
          </w:p>
        </w:tc>
      </w:tr>
    </w:tbl>
    <w:p>
      <w:pPr>
        <w:spacing w:after="40"/>
      </w:pPr>
    </w:p>
    <w:p>
      <w:pPr>
        <w:pStyle w:val="Heading2"/>
        <w:keepNext/>
      </w:pPr>
      <w:r>
        <w:t>B. Perceived likelihood of achievement</w:t>
      </w:r>
    </w:p>
    <w:p>
      <w:pPr>
        <w:keepLines w:val="0"/>
        <w:spacing w:before="0" w:after="120" w:line="300" w:lineRule="auto"/>
      </w:pPr>
      <w:r>
        <w:rPr>
          <w:rFonts w:ascii="Calibri" w:hAnsi="Calibri"/>
          <w:b w:val="0"/>
          <w:i w:val="0"/>
          <w:color w:val="1A1A1A"/>
          <w:sz w:val="22"/>
        </w:rPr>
        <w:t>Existing certainty assets:</w:t>
      </w:r>
    </w:p>
    <w:p>
      <w:pPr>
        <w:spacing w:after="80" w:line="300" w:lineRule="auto"/>
      </w:pPr>
      <w:r>
        <w:rPr>
          <w:rFonts w:ascii="Calibri" w:hAnsi="Calibri"/>
          <w:b/>
          <w:i w:val="0"/>
          <w:color w:val="1F4D78"/>
          <w:sz w:val="22"/>
        </w:rPr>
        <w:t xml:space="preserve">Counter controls: </w:t>
      </w:r>
      <w:r>
        <w:rPr>
          <w:rFonts w:ascii="Calibri" w:hAnsi="Calibri"/>
          <w:b w:val="0"/>
          <w:i w:val="0"/>
          <w:color w:val="1A1A1A"/>
          <w:sz w:val="22"/>
        </w:rPr>
        <w:t>Venue-linked stamps and a one-stamp-per-customer-per-UK-date cap.</w:t>
      </w:r>
    </w:p>
    <w:p>
      <w:pPr>
        <w:spacing w:after="80" w:line="300" w:lineRule="auto"/>
      </w:pPr>
      <w:r>
        <w:rPr>
          <w:rFonts w:ascii="Calibri" w:hAnsi="Calibri"/>
          <w:b/>
          <w:i w:val="0"/>
          <w:color w:val="1F4D78"/>
          <w:sz w:val="22"/>
        </w:rPr>
        <w:t xml:space="preserve">Behavioural proof: </w:t>
      </w:r>
      <w:r>
        <w:rPr>
          <w:rFonts w:ascii="Calibri" w:hAnsi="Calibri"/>
          <w:b w:val="0"/>
          <w:i w:val="0"/>
          <w:color w:val="1A1A1A"/>
          <w:sz w:val="22"/>
        </w:rPr>
        <w:t>Member history, stamps, reward unlocks, redemptions and customer states.</w:t>
      </w:r>
    </w:p>
    <w:p>
      <w:pPr>
        <w:spacing w:after="80" w:line="300" w:lineRule="auto"/>
      </w:pPr>
      <w:r>
        <w:rPr>
          <w:rFonts w:ascii="Calibri" w:hAnsi="Calibri"/>
          <w:b/>
          <w:i w:val="0"/>
          <w:color w:val="1F4D78"/>
          <w:sz w:val="22"/>
        </w:rPr>
        <w:t xml:space="preserve">Progress visibility: </w:t>
      </w:r>
      <w:r>
        <w:rPr>
          <w:rFonts w:ascii="Calibri" w:hAnsi="Calibri"/>
          <w:b w:val="0"/>
          <w:i w:val="0"/>
          <w:color w:val="1A1A1A"/>
          <w:sz w:val="22"/>
        </w:rPr>
        <w:t>Weekly trends for new members, stamps, rewards and QR downloads.</w:t>
      </w:r>
    </w:p>
    <w:p>
      <w:pPr>
        <w:spacing w:after="80" w:line="300" w:lineRule="auto"/>
      </w:pPr>
      <w:r>
        <w:rPr>
          <w:rFonts w:ascii="Calibri" w:hAnsi="Calibri"/>
          <w:b/>
          <w:i w:val="0"/>
          <w:color w:val="1F4D78"/>
          <w:sz w:val="22"/>
        </w:rPr>
        <w:t xml:space="preserve">Automation: </w:t>
      </w:r>
      <w:r>
        <w:rPr>
          <w:rFonts w:ascii="Calibri" w:hAnsi="Calibri"/>
          <w:b w:val="0"/>
          <w:i w:val="0"/>
          <w:color w:val="1A1A1A"/>
          <w:sz w:val="22"/>
        </w:rPr>
        <w:t>One-stamp-away, next-stamp, reward-ready, birthday and referral events.</w:t>
      </w:r>
    </w:p>
    <w:p>
      <w:pPr>
        <w:spacing w:after="80" w:line="300" w:lineRule="auto"/>
      </w:pPr>
      <w:r>
        <w:rPr>
          <w:rFonts w:ascii="Calibri" w:hAnsi="Calibri"/>
          <w:b/>
          <w:i w:val="0"/>
          <w:color w:val="1F4D78"/>
          <w:sz w:val="22"/>
        </w:rPr>
        <w:t xml:space="preserve">Launch certainty: </w:t>
      </w:r>
      <w:r>
        <w:rPr>
          <w:rFonts w:ascii="Calibri" w:hAnsi="Calibri"/>
          <w:b w:val="0"/>
          <w:i w:val="0"/>
          <w:color w:val="1A1A1A"/>
          <w:sz w:val="22"/>
        </w:rPr>
        <w:t>Guided setup, permanent venue QR, prefilled rewards and print-ready posters.</w:t>
      </w:r>
    </w:p>
    <w:p>
      <w:pPr>
        <w:spacing w:after="80" w:line="300" w:lineRule="auto"/>
      </w:pPr>
      <w:r>
        <w:rPr>
          <w:rFonts w:ascii="Calibri" w:hAnsi="Calibri"/>
          <w:b/>
          <w:i w:val="0"/>
          <w:color w:val="1F4D78"/>
          <w:sz w:val="22"/>
        </w:rPr>
        <w:t xml:space="preserve">Risk reversal: </w:t>
      </w:r>
      <w:r>
        <w:rPr>
          <w:rFonts w:ascii="Calibri" w:hAnsi="Calibri"/>
          <w:b w:val="0"/>
          <w:i w:val="0"/>
          <w:color w:val="1A1A1A"/>
          <w:sz w:val="22"/>
        </w:rPr>
        <w:t>The existing First-Regular Guarantee.</w:t>
      </w:r>
    </w:p>
    <w:p>
      <w:pPr>
        <w:spacing w:after="80" w:line="300" w:lineRule="auto"/>
      </w:pPr>
      <w:r>
        <w:rPr>
          <w:rFonts w:ascii="Calibri" w:hAnsi="Calibri"/>
          <w:b/>
          <w:i w:val="0"/>
          <w:color w:val="1F4D78"/>
          <w:sz w:val="22"/>
        </w:rPr>
        <w:t xml:space="preserve">Operator credibility: </w:t>
      </w:r>
      <w:r>
        <w:rPr>
          <w:rFonts w:ascii="Calibri" w:hAnsi="Calibri"/>
          <w:b w:val="0"/>
          <w:i w:val="0"/>
          <w:color w:val="1A1A1A"/>
          <w:sz w:val="22"/>
        </w:rPr>
        <w:t>The product is backed by a hospitality operator running a nine-pub estate.</w:t>
      </w:r>
    </w:p>
    <w:p>
      <w:pPr>
        <w:spacing w:after="80" w:line="300" w:lineRule="auto"/>
      </w:pPr>
      <w:r>
        <w:rPr>
          <w:rFonts w:ascii="Calibri" w:hAnsi="Calibri"/>
          <w:b/>
          <w:i w:val="0"/>
          <w:color w:val="1F4D78"/>
          <w:sz w:val="22"/>
        </w:rPr>
        <w:t xml:space="preserve">First-party evidence: </w:t>
      </w:r>
      <w:r>
        <w:rPr>
          <w:rFonts w:ascii="Calibri" w:hAnsi="Calibri"/>
          <w:b w:val="0"/>
          <w:i w:val="0"/>
          <w:color w:val="1A1A1A"/>
          <w:sz w:val="22"/>
        </w:rPr>
        <w:t>The approved June 2026 snapshot records 1,842 members, 812 returning members and a 46.8% repeat rate across measured venues.</w:t>
      </w:r>
    </w:p>
    <w:p>
      <w:pPr>
        <w:pStyle w:val="Heading3"/>
        <w:keepNext/>
      </w:pPr>
      <w:r>
        <w:t>Certainty features required for the premium promise</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700"/>
        <w:gridCol w:w="2200"/>
        <w:gridCol w:w="4160"/>
        <w:gridCol w:w="2300"/>
      </w:tblGrid>
      <w:tr>
        <w:trPr>
          <w:trHeight w:hRule="atLeast"/>
          <w:tblHeader w:val="true"/>
        </w:trPr>
        <w:tc>
          <w:tcPr>
            <w:tcW w:type="dxa" w:w="700"/>
            <w:shd w:fill="E8EEF5"/>
            <w:tcMar>
              <w:top w:w="80" w:type="dxa"/>
              <w:start w:w="120" w:type="dxa"/>
              <w:bottom w:w="80" w:type="dxa"/>
              <w:end w:w="120" w:type="dxa"/>
            </w:tcMar>
            <w:vAlign w:val="center"/>
          </w:tcPr>
          <w:p>
            <w:pPr>
              <w:jc w:val="left"/>
            </w:pPr>
            <w:r>
              <w:rPr>
                <w:rFonts w:ascii="Calibri" w:hAnsi="Calibri"/>
                <w:b/>
                <w:i w:val="0"/>
                <w:color w:val="0B2545"/>
                <w:sz w:val="19"/>
              </w:rPr>
              <w:t>Priority</w:t>
            </w:r>
          </w:p>
        </w:tc>
        <w:tc>
          <w:tcPr>
            <w:tcW w:type="dxa" w:w="2200"/>
            <w:shd w:fill="E8EEF5"/>
            <w:tcMar>
              <w:top w:w="80" w:type="dxa"/>
              <w:start w:w="120" w:type="dxa"/>
              <w:bottom w:w="80" w:type="dxa"/>
              <w:end w:w="120" w:type="dxa"/>
            </w:tcMar>
            <w:vAlign w:val="center"/>
          </w:tcPr>
          <w:p>
            <w:pPr>
              <w:jc w:val="left"/>
            </w:pPr>
            <w:r>
              <w:rPr>
                <w:rFonts w:ascii="Calibri" w:hAnsi="Calibri"/>
                <w:b/>
                <w:i w:val="0"/>
                <w:color w:val="0B2545"/>
                <w:sz w:val="19"/>
              </w:rPr>
              <w:t>Capability</w:t>
            </w:r>
          </w:p>
        </w:tc>
        <w:tc>
          <w:tcPr>
            <w:tcW w:type="dxa" w:w="4160"/>
            <w:shd w:fill="E8EEF5"/>
            <w:tcMar>
              <w:top w:w="80" w:type="dxa"/>
              <w:start w:w="120" w:type="dxa"/>
              <w:bottom w:w="80" w:type="dxa"/>
              <w:end w:w="120" w:type="dxa"/>
            </w:tcMar>
            <w:vAlign w:val="center"/>
          </w:tcPr>
          <w:p>
            <w:pPr>
              <w:jc w:val="left"/>
            </w:pPr>
            <w:r>
              <w:rPr>
                <w:rFonts w:ascii="Calibri" w:hAnsi="Calibri"/>
                <w:b/>
                <w:i w:val="0"/>
                <w:color w:val="0B2545"/>
                <w:sz w:val="19"/>
              </w:rPr>
              <w:t>Why it matters</w:t>
            </w:r>
          </w:p>
        </w:tc>
        <w:tc>
          <w:tcPr>
            <w:tcW w:type="dxa" w:w="2300"/>
            <w:shd w:fill="E8EEF5"/>
            <w:tcMar>
              <w:top w:w="80" w:type="dxa"/>
              <w:start w:w="120" w:type="dxa"/>
              <w:bottom w:w="80" w:type="dxa"/>
              <w:end w:w="120" w:type="dxa"/>
            </w:tcMar>
            <w:vAlign w:val="center"/>
          </w:tcPr>
          <w:p>
            <w:pPr>
              <w:jc w:val="left"/>
            </w:pPr>
            <w:r>
              <w:rPr>
                <w:rFonts w:ascii="Calibri" w:hAnsi="Calibri"/>
                <w:b/>
                <w:i w:val="0"/>
                <w:color w:val="0B2545"/>
                <w:sz w:val="19"/>
              </w:rPr>
              <w:t>Delivery route</w:t>
            </w:r>
          </w:p>
        </w:tc>
      </w:tr>
      <w:tr>
        <w:trPr>
          <w:trHeight w:hRule="atLeast"/>
        </w:trPr>
        <w:tc>
          <w:tcPr>
            <w:tcW w:type="dxa" w:w="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1</w:t>
            </w:r>
          </w:p>
        </w:tc>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Midweek Return Dashboard</w:t>
            </w:r>
          </w:p>
        </w:tc>
        <w:tc>
          <w:tcPr>
            <w:tcW w:type="dxa" w:w="4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Shows new and returning members by day of week, directly matching the offer.</w:t>
            </w:r>
          </w:p>
        </w:tc>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 build</w:t>
            </w:r>
          </w:p>
        </w:tc>
      </w:tr>
      <w:tr>
        <w:trPr>
          <w:trHeight w:hRule="atLeast"/>
        </w:trPr>
        <w:tc>
          <w:tcPr>
            <w:tcW w:type="dxa" w:w="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2</w:t>
            </w:r>
          </w:p>
        </w:tc>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Baseline and 30/60/90-day targets</w:t>
            </w:r>
          </w:p>
        </w:tc>
        <w:tc>
          <w:tcPr>
            <w:tcW w:type="dxa" w:w="4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Makes progress visible and keeps both parties accountable.</w:t>
            </w:r>
          </w:p>
        </w:tc>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 plus onboarding</w:t>
            </w:r>
          </w:p>
        </w:tc>
      </w:tr>
      <w:tr>
        <w:trPr>
          <w:trHeight w:hRule="atLeast"/>
        </w:trPr>
        <w:tc>
          <w:tcPr>
            <w:tcW w:type="dxa" w:w="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3</w:t>
            </w:r>
          </w:p>
        </w:tc>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Campaign attribution</w:t>
            </w:r>
          </w:p>
        </w:tc>
        <w:tc>
          <w:tcPr>
            <w:tcW w:type="dxa" w:w="4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Shows which announcement was followed by a return visit.</w:t>
            </w:r>
          </w:p>
        </w:tc>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 build</w:t>
            </w:r>
          </w:p>
        </w:tc>
      </w:tr>
      <w:tr>
        <w:trPr>
          <w:trHeight w:hRule="atLeast"/>
        </w:trPr>
        <w:tc>
          <w:tcPr>
            <w:tcW w:type="dxa" w:w="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4</w:t>
            </w:r>
          </w:p>
        </w:tc>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Regulars pipeline</w:t>
            </w:r>
          </w:p>
        </w:tc>
        <w:tc>
          <w:tcPr>
            <w:tcW w:type="dxa" w:w="4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Surfaces new, returning, one-away, quiet and reward-ready members.</w:t>
            </w:r>
          </w:p>
        </w:tc>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Repackage existing data</w:t>
            </w:r>
          </w:p>
        </w:tc>
      </w:tr>
      <w:tr>
        <w:trPr>
          <w:trHeight w:hRule="atLeast"/>
        </w:trPr>
        <w:tc>
          <w:tcPr>
            <w:tcW w:type="dxa" w:w="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5</w:t>
            </w:r>
          </w:p>
        </w:tc>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Weekly outcome report</w:t>
            </w:r>
          </w:p>
        </w:tc>
        <w:tc>
          <w:tcPr>
            <w:tcW w:type="dxa" w:w="4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Turns activity into decisions and a recommended next action.</w:t>
            </w:r>
          </w:p>
        </w:tc>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 plus service</w:t>
            </w:r>
          </w:p>
        </w:tc>
      </w:tr>
      <w:tr>
        <w:trPr>
          <w:trHeight w:hRule="atLeast"/>
        </w:trPr>
        <w:tc>
          <w:tcPr>
            <w:tcW w:type="dxa" w:w="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6</w:t>
            </w:r>
          </w:p>
        </w:tc>
        <w:tc>
          <w:tcPr>
            <w:tcW w:type="dxa" w:w="2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Contribution calculator</w:t>
            </w:r>
          </w:p>
        </w:tc>
        <w:tc>
          <w:tcPr>
            <w:tcW w:type="dxa" w:w="4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Connects return behaviour to operator-supplied economics without claiming revenue.</w:t>
            </w:r>
          </w:p>
        </w:tc>
        <w:tc>
          <w:tcPr>
            <w:tcW w:type="dxa" w:w="23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Light product build</w:t>
            </w:r>
          </w:p>
        </w:tc>
      </w:tr>
    </w:tbl>
    <w:p>
      <w:pPr>
        <w:spacing w:after="40"/>
      </w:pPr>
    </w:p>
    <w:p>
      <w:pPr>
        <w:pStyle w:val="Heading2"/>
        <w:keepNext/>
      </w:pPr>
      <w:r>
        <w:t>C. Time delay</w:t>
      </w:r>
    </w:p>
    <w:p>
      <w:pPr>
        <w:spacing w:after="100" w:line="300" w:lineRule="auto"/>
      </w:pPr>
      <w:r>
        <w:rPr>
          <w:rFonts w:ascii="Calibri" w:hAnsi="Calibri"/>
          <w:b/>
          <w:i w:val="0"/>
          <w:color w:val="1F4D78"/>
          <w:sz w:val="22"/>
        </w:rPr>
        <w:t xml:space="preserve">Target fast win: </w:t>
      </w:r>
      <w:r>
        <w:rPr>
          <w:rFonts w:ascii="Calibri" w:hAnsi="Calibri"/>
          <w:b w:val="0"/>
          <w:i w:val="0"/>
          <w:color w:val="1A1A1A"/>
          <w:sz w:val="22"/>
        </w:rPr>
        <w:t>Within 15 minutes, show the branded card, recommended reward pool, working QR, poster preview and first 30-day campaign outline.</w:t>
      </w:r>
    </w:p>
    <w:p>
      <w:pPr>
        <w:spacing w:after="100" w:line="300" w:lineRule="auto"/>
      </w:pPr>
      <w:r>
        <w:rPr>
          <w:rFonts w:ascii="Calibri" w:hAnsi="Calibri"/>
          <w:b/>
          <w:i w:val="0"/>
          <w:color w:val="1F4D78"/>
          <w:sz w:val="22"/>
        </w:rPr>
        <w:t xml:space="preserve">End-of-onboarding proof: </w:t>
      </w:r>
      <w:r>
        <w:rPr>
          <w:rFonts w:ascii="Calibri" w:hAnsi="Calibri"/>
          <w:b w:val="0"/>
          <w:i w:val="0"/>
          <w:color w:val="1A1A1A"/>
          <w:sz w:val="22"/>
        </w:rPr>
        <w:t>The operator scans the QR, joins as a customer, records a first stamp and sees the event appear in the merchant dashboard.</w:t>
      </w:r>
    </w:p>
    <w:p>
      <w:pPr>
        <w:spacing w:after="100" w:line="300" w:lineRule="auto"/>
      </w:pPr>
      <w:r>
        <w:rPr>
          <w:rFonts w:ascii="Calibri" w:hAnsi="Calibri"/>
          <w:b/>
          <w:i w:val="0"/>
          <w:color w:val="1F4D78"/>
          <w:sz w:val="22"/>
        </w:rPr>
        <w:t xml:space="preserve">Launch standard: </w:t>
      </w:r>
      <w:r>
        <w:rPr>
          <w:rFonts w:ascii="Calibri" w:hAnsi="Calibri"/>
          <w:b w:val="0"/>
          <w:i w:val="0"/>
          <w:color w:val="1A1A1A"/>
          <w:sz w:val="22"/>
        </w:rPr>
        <w:t>Complete approved materials within 14 days after receiving all required venue information.</w:t>
      </w:r>
    </w:p>
    <w:p>
      <w:pPr>
        <w:pStyle w:val="Heading2"/>
        <w:keepNext/>
      </w:pPr>
      <w:r>
        <w:t>D. Effort and sacrifice</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4200"/>
        <w:gridCol w:w="5160"/>
      </w:tblGrid>
      <w:tr>
        <w:trPr>
          <w:trHeight w:hRule="atLeast"/>
          <w:tblHeader w:val="true"/>
        </w:trPr>
        <w:tc>
          <w:tcPr>
            <w:tcW w:type="dxa" w:w="4200"/>
            <w:shd w:fill="E8EEF5"/>
            <w:tcMar>
              <w:top w:w="80" w:type="dxa"/>
              <w:start w:w="120" w:type="dxa"/>
              <w:bottom w:w="80" w:type="dxa"/>
              <w:end w:w="120" w:type="dxa"/>
            </w:tcMar>
            <w:vAlign w:val="center"/>
          </w:tcPr>
          <w:p>
            <w:pPr>
              <w:jc w:val="left"/>
            </w:pPr>
            <w:r>
              <w:rPr>
                <w:rFonts w:ascii="Calibri" w:hAnsi="Calibri"/>
                <w:b/>
                <w:i w:val="0"/>
                <w:color w:val="0B2545"/>
                <w:sz w:val="19"/>
              </w:rPr>
              <w:t>Current burden</w:t>
            </w:r>
          </w:p>
        </w:tc>
        <w:tc>
          <w:tcPr>
            <w:tcW w:type="dxa" w:w="5160"/>
            <w:shd w:fill="E8EEF5"/>
            <w:tcMar>
              <w:top w:w="80" w:type="dxa"/>
              <w:start w:w="120" w:type="dxa"/>
              <w:bottom w:w="80" w:type="dxa"/>
              <w:end w:w="120" w:type="dxa"/>
            </w:tcMar>
            <w:vAlign w:val="center"/>
          </w:tcPr>
          <w:p>
            <w:pPr>
              <w:jc w:val="left"/>
            </w:pPr>
            <w:r>
              <w:rPr>
                <w:rFonts w:ascii="Calibri" w:hAnsi="Calibri"/>
                <w:b/>
                <w:i w:val="0"/>
                <w:color w:val="0B2545"/>
                <w:sz w:val="19"/>
              </w:rPr>
              <w:t>Nabaperks replacement</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Designing and reordering paper cards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 permanent browser-based card and venue QR</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Staff physically stamping cards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Customer self-service on the customer's phone</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Explaining an app download</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Immediate browser access from the QR</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Connecting loyalty to the till</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No POS or EPOS integration</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Choosing rewards from a blank page</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 prefilled mystery reward pool and reward-economics review</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Designing promotional materials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Five personalised print-ready poster formats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Remembering customer milestones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Automated stamp, reward, birthday and referral events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Interpreting raw activity</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Weekly outcome report and recommended next action</w:t>
            </w:r>
          </w:p>
        </w:tc>
      </w:tr>
    </w:tbl>
    <w:p>
      <w:pPr>
        <w:pStyle w:val="Heading1"/>
        <w:keepNext/>
      </w:pPr>
      <w:r>
        <w:t>3. Premium delivery design</w:t>
      </w:r>
    </w:p>
    <w:p>
      <w:pPr>
        <w:pStyle w:val="Heading2"/>
        <w:keepNext/>
      </w:pPr>
      <w:r>
        <w:t>Core 90-day delivery</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1200"/>
        <w:gridCol w:w="3850"/>
        <w:gridCol w:w="1650"/>
        <w:gridCol w:w="2660"/>
      </w:tblGrid>
      <w:tr>
        <w:trPr>
          <w:trHeight w:hRule="atLeast"/>
          <w:tblHeader w:val="true"/>
        </w:trPr>
        <w:tc>
          <w:tcPr>
            <w:tcW w:type="dxa" w:w="1200"/>
            <w:shd w:fill="E8EEF5"/>
            <w:tcMar>
              <w:top w:w="80" w:type="dxa"/>
              <w:start w:w="120" w:type="dxa"/>
              <w:bottom w:w="80" w:type="dxa"/>
              <w:end w:w="120" w:type="dxa"/>
            </w:tcMar>
            <w:vAlign w:val="center"/>
          </w:tcPr>
          <w:p>
            <w:pPr>
              <w:jc w:val="left"/>
            </w:pPr>
            <w:r>
              <w:rPr>
                <w:rFonts w:ascii="Calibri" w:hAnsi="Calibri"/>
                <w:b/>
                <w:i w:val="0"/>
                <w:color w:val="0B2545"/>
                <w:sz w:val="19"/>
              </w:rPr>
              <w:t>Stage</w:t>
            </w:r>
          </w:p>
        </w:tc>
        <w:tc>
          <w:tcPr>
            <w:tcW w:type="dxa" w:w="3850"/>
            <w:shd w:fill="E8EEF5"/>
            <w:tcMar>
              <w:top w:w="80" w:type="dxa"/>
              <w:start w:w="120" w:type="dxa"/>
              <w:bottom w:w="80" w:type="dxa"/>
              <w:end w:w="120" w:type="dxa"/>
            </w:tcMar>
            <w:vAlign w:val="center"/>
          </w:tcPr>
          <w:p>
            <w:pPr>
              <w:jc w:val="left"/>
            </w:pPr>
            <w:r>
              <w:rPr>
                <w:rFonts w:ascii="Calibri" w:hAnsi="Calibri"/>
                <w:b/>
                <w:i w:val="0"/>
                <w:color w:val="0B2545"/>
                <w:sz w:val="19"/>
              </w:rPr>
              <w:t>Delivery</w:t>
            </w:r>
          </w:p>
        </w:tc>
        <w:tc>
          <w:tcPr>
            <w:tcW w:type="dxa" w:w="1650"/>
            <w:shd w:fill="E8EEF5"/>
            <w:tcMar>
              <w:top w:w="80" w:type="dxa"/>
              <w:start w:w="120" w:type="dxa"/>
              <w:bottom w:w="80" w:type="dxa"/>
              <w:end w:w="120" w:type="dxa"/>
            </w:tcMar>
            <w:vAlign w:val="center"/>
          </w:tcPr>
          <w:p>
            <w:pPr>
              <w:jc w:val="left"/>
            </w:pPr>
            <w:r>
              <w:rPr>
                <w:rFonts w:ascii="Calibri" w:hAnsi="Calibri"/>
                <w:b/>
                <w:i w:val="0"/>
                <w:color w:val="0B2545"/>
                <w:sz w:val="19"/>
              </w:rPr>
              <w:t>Mode</w:t>
            </w:r>
          </w:p>
        </w:tc>
        <w:tc>
          <w:tcPr>
            <w:tcW w:type="dxa" w:w="2660"/>
            <w:shd w:fill="E8EEF5"/>
            <w:tcMar>
              <w:top w:w="80" w:type="dxa"/>
              <w:start w:w="120" w:type="dxa"/>
              <w:bottom w:w="80" w:type="dxa"/>
              <w:end w:w="120" w:type="dxa"/>
            </w:tcMar>
            <w:vAlign w:val="center"/>
          </w:tcPr>
          <w:p>
            <w:pPr>
              <w:jc w:val="left"/>
            </w:pPr>
            <w:r>
              <w:rPr>
                <w:rFonts w:ascii="Calibri" w:hAnsi="Calibri"/>
                <w:b/>
                <w:i w:val="0"/>
                <w:color w:val="0B2545"/>
                <w:sz w:val="19"/>
              </w:rPr>
              <w:t>Success evidence</w:t>
            </w:r>
          </w:p>
        </w:tc>
      </w:tr>
      <w:tr>
        <w:trPr>
          <w:trHeight w:hRule="atLeast"/>
        </w:trPr>
        <w:tc>
          <w:tcPr>
            <w:tcW w:type="dxa" w:w="1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Qualify</w:t>
            </w:r>
          </w:p>
        </w:tc>
        <w:tc>
          <w:tcPr>
            <w:tcW w:type="dxa" w:w="3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Confirm venue health, quiet periods, decision authority, existing loyalty and reward economics.</w:t>
            </w:r>
          </w:p>
        </w:tc>
        <w:tc>
          <w:tcPr>
            <w:tcW w:type="dxa" w:w="16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Done with you</w:t>
            </w:r>
          </w:p>
        </w:tc>
        <w:tc>
          <w:tcPr>
            <w:tcW w:type="dxa" w:w="2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Signed qualification record</w:t>
            </w:r>
          </w:p>
        </w:tc>
      </w:tr>
      <w:tr>
        <w:trPr>
          <w:trHeight w:hRule="atLeast"/>
        </w:trPr>
        <w:tc>
          <w:tcPr>
            <w:tcW w:type="dxa" w:w="1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Design</w:t>
            </w:r>
          </w:p>
        </w:tc>
        <w:tc>
          <w:tcPr>
            <w:tcW w:type="dxa" w:w="3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Set the visit goal, card threshold, reward pool, birthday reward and referral incentive.</w:t>
            </w:r>
          </w:p>
        </w:tc>
        <w:tc>
          <w:tcPr>
            <w:tcW w:type="dxa" w:w="16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Done with you</w:t>
            </w:r>
          </w:p>
        </w:tc>
        <w:tc>
          <w:tcPr>
            <w:tcW w:type="dxa" w:w="2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Approved programme brief</w:t>
            </w:r>
          </w:p>
        </w:tc>
      </w:tr>
      <w:tr>
        <w:trPr>
          <w:trHeight w:hRule="atLeast"/>
        </w:trPr>
        <w:tc>
          <w:tcPr>
            <w:tcW w:type="dxa" w:w="1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Configure</w:t>
            </w:r>
          </w:p>
        </w:tc>
        <w:tc>
          <w:tcPr>
            <w:tcW w:type="dxa" w:w="3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Build the card, rewards, QR, location settings and notification experience.</w:t>
            </w:r>
          </w:p>
        </w:tc>
        <w:tc>
          <w:tcPr>
            <w:tcW w:type="dxa" w:w="16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Done for you</w:t>
            </w:r>
          </w:p>
        </w:tc>
        <w:tc>
          <w:tcPr>
            <w:tcW w:type="dxa" w:w="2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Live merchant preview</w:t>
            </w:r>
          </w:p>
        </w:tc>
      </w:tr>
      <w:tr>
        <w:trPr>
          <w:trHeight w:hRule="atLeast"/>
        </w:trPr>
        <w:tc>
          <w:tcPr>
            <w:tcW w:type="dxa" w:w="1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Launch</w:t>
            </w:r>
          </w:p>
        </w:tc>
        <w:tc>
          <w:tcPr>
            <w:tcW w:type="dxa" w:w="3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Prepare posters, QR placement, staff briefing and launch messaging.</w:t>
            </w:r>
          </w:p>
        </w:tc>
        <w:tc>
          <w:tcPr>
            <w:tcW w:type="dxa" w:w="16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Done for you</w:t>
            </w:r>
          </w:p>
        </w:tc>
        <w:tc>
          <w:tcPr>
            <w:tcW w:type="dxa" w:w="2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QR live and first test stamp</w:t>
            </w:r>
          </w:p>
        </w:tc>
      </w:tr>
      <w:tr>
        <w:trPr>
          <w:trHeight w:hRule="atLeast"/>
        </w:trPr>
        <w:tc>
          <w:tcPr>
            <w:tcW w:type="dxa" w:w="1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Activate</w:t>
            </w:r>
          </w:p>
        </w:tc>
        <w:tc>
          <w:tcPr>
            <w:tcW w:type="dxa" w:w="3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Run the 90-day calendar and approved member announcements.</w:t>
            </w:r>
          </w:p>
        </w:tc>
        <w:tc>
          <w:tcPr>
            <w:tcW w:type="dxa" w:w="16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Managed service</w:t>
            </w:r>
          </w:p>
        </w:tc>
        <w:tc>
          <w:tcPr>
            <w:tcW w:type="dxa" w:w="2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Campaign and activity log</w:t>
            </w:r>
          </w:p>
        </w:tc>
      </w:tr>
      <w:tr>
        <w:trPr>
          <w:trHeight w:hRule="atLeast"/>
        </w:trPr>
        <w:tc>
          <w:tcPr>
            <w:tcW w:type="dxa" w:w="1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Optimise</w:t>
            </w:r>
          </w:p>
        </w:tc>
        <w:tc>
          <w:tcPr>
            <w:tcW w:type="dxa" w:w="3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Review 30/60/90-day progress and adjust rewards or placement.</w:t>
            </w:r>
          </w:p>
        </w:tc>
        <w:tc>
          <w:tcPr>
            <w:tcW w:type="dxa" w:w="16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Done with you</w:t>
            </w:r>
          </w:p>
        </w:tc>
        <w:tc>
          <w:tcPr>
            <w:tcW w:type="dxa" w:w="26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Documented review decisions</w:t>
            </w:r>
          </w:p>
        </w:tc>
      </w:tr>
    </w:tbl>
    <w:p>
      <w:pPr>
        <w:spacing w:after="40"/>
      </w:pPr>
    </w:p>
    <w:p>
      <w:pPr>
        <w:pStyle w:val="Heading2"/>
        <w:keepNext/>
      </w:pPr>
      <w:r>
        <w:t>High-value, low-fulfilment-cost bonuses</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2850"/>
        <w:gridCol w:w="3500"/>
        <w:gridCol w:w="3010"/>
      </w:tblGrid>
      <w:tr>
        <w:trPr>
          <w:trHeight w:hRule="atLeast"/>
          <w:tblHeader w:val="true"/>
        </w:trPr>
        <w:tc>
          <w:tcPr>
            <w:tcW w:type="dxa" w:w="2850"/>
            <w:shd w:fill="E8EEF5"/>
            <w:tcMar>
              <w:top w:w="80" w:type="dxa"/>
              <w:start w:w="120" w:type="dxa"/>
              <w:bottom w:w="80" w:type="dxa"/>
              <w:end w:w="120" w:type="dxa"/>
            </w:tcMar>
            <w:vAlign w:val="center"/>
          </w:tcPr>
          <w:p>
            <w:pPr>
              <w:jc w:val="left"/>
            </w:pPr>
            <w:r>
              <w:rPr>
                <w:rFonts w:ascii="Calibri" w:hAnsi="Calibri"/>
                <w:b/>
                <w:i w:val="0"/>
                <w:color w:val="0B2545"/>
                <w:sz w:val="19"/>
              </w:rPr>
              <w:t>Bonus</w:t>
            </w:r>
          </w:p>
        </w:tc>
        <w:tc>
          <w:tcPr>
            <w:tcW w:type="dxa" w:w="3500"/>
            <w:shd w:fill="E8EEF5"/>
            <w:tcMar>
              <w:top w:w="80" w:type="dxa"/>
              <w:start w:w="120" w:type="dxa"/>
              <w:bottom w:w="80" w:type="dxa"/>
              <w:end w:w="120" w:type="dxa"/>
            </w:tcMar>
            <w:vAlign w:val="center"/>
          </w:tcPr>
          <w:p>
            <w:pPr>
              <w:jc w:val="left"/>
            </w:pPr>
            <w:r>
              <w:rPr>
                <w:rFonts w:ascii="Calibri" w:hAnsi="Calibri"/>
                <w:b/>
                <w:i w:val="0"/>
                <w:color w:val="0B2545"/>
                <w:sz w:val="19"/>
              </w:rPr>
              <w:t>Obstacle removed</w:t>
            </w:r>
          </w:p>
        </w:tc>
        <w:tc>
          <w:tcPr>
            <w:tcW w:type="dxa" w:w="3010"/>
            <w:shd w:fill="E8EEF5"/>
            <w:tcMar>
              <w:top w:w="80" w:type="dxa"/>
              <w:start w:w="120" w:type="dxa"/>
              <w:bottom w:w="80" w:type="dxa"/>
              <w:end w:w="120" w:type="dxa"/>
            </w:tcMar>
            <w:vAlign w:val="center"/>
          </w:tcPr>
          <w:p>
            <w:pPr>
              <w:jc w:val="left"/>
            </w:pPr>
            <w:r>
              <w:rPr>
                <w:rFonts w:ascii="Calibri" w:hAnsi="Calibri"/>
                <w:b/>
                <w:i w:val="0"/>
                <w:color w:val="0B2545"/>
                <w:sz w:val="19"/>
              </w:rPr>
              <w:t>Fulfilment model</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Midweek Reward Economics Calculator</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Fear of creating an unprofitable reward</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Reusable calculator with venue inputs</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First 100 Members Playbook</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Uncertainty about initial adoption</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Reusable launch sequence</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Paper-to-QR Migration Kit</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Fear of upsetting existing regulars</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Reusable scripts and transition rules</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Gastropub Campaign Swipe File</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No time to write messages</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Reusable, editable copy library</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QR Placement Audit</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Poor visibility at the customer moment</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Repeatable photo review checklist</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15-Minute Staff Briefing</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Concern that the team will not use it</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Recorded module plus live Q&amp;A</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Twelve-Month Occasion Calendar</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Inconsistent promotion planning</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Reusable seasonal calendar</w:t>
            </w:r>
          </w:p>
        </w:tc>
      </w:tr>
      <w:tr>
        <w:trPr>
          <w:trHeight w:hRule="atLeast"/>
        </w:trPr>
        <w:tc>
          <w:tcPr>
            <w:tcW w:type="dxa" w:w="28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Quarterly Reward Refresh</w:t>
            </w:r>
          </w:p>
        </w:tc>
        <w:tc>
          <w:tcPr>
            <w:tcW w:type="dxa" w:w="35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Programme fatigue</w:t>
            </w:r>
          </w:p>
        </w:tc>
        <w:tc>
          <w:tcPr>
            <w:tcW w:type="dxa" w:w="30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Templated review and recommendation</w:t>
            </w:r>
          </w:p>
        </w:tc>
      </w:tr>
    </w:tbl>
    <w:p>
      <w:pPr>
        <w:spacing w:after="40"/>
      </w:pPr>
    </w:p>
    <w:p>
      <w:pPr>
        <w:pStyle w:val="Heading2"/>
        <w:keepNext/>
      </w:pPr>
      <w:r>
        <w:t>Guarantee architecture</w:t>
      </w:r>
    </w:p>
    <w:p>
      <w:pPr>
        <w:shd w:val="clear" w:color="auto" w:fill="E8EEF5"/>
        <w:pBdr>
          <w:top w:val="single" w:sz="8" w:space="4" w:color="E8EEF5"/>
          <w:left w:val="single" w:sz="8" w:space="4" w:color="E8EEF5"/>
          <w:bottom w:val="single" w:sz="8" w:space="4" w:color="E8EEF5"/>
          <w:right w:val="single" w:sz="8" w:space="4" w:color="E8EEF5"/>
        </w:pBdr>
        <w:spacing w:before="80" w:after="160" w:line="288" w:lineRule="auto"/>
        <w:ind w:left="58" w:right="58"/>
      </w:pPr>
      <w:r>
        <w:rPr>
          <w:rFonts w:ascii="Calibri" w:hAnsi="Calibri"/>
          <w:b/>
          <w:i w:val="0"/>
          <w:color w:val="1F4D78"/>
          <w:sz w:val="19"/>
        </w:rPr>
        <w:t xml:space="preserve">IMPLEMENTATION GUARANTEE  </w:t>
      </w:r>
      <w:r>
        <w:rPr>
          <w:rFonts w:ascii="Calibri" w:hAnsi="Calibri"/>
          <w:b/>
          <w:i w:val="0"/>
          <w:color w:val="0B2545"/>
          <w:sz w:val="21"/>
        </w:rPr>
        <w:t>If the agreed launch materials are not ready within 14 days of receiving the required venue information, credit the implementation fee.</w:t>
      </w:r>
    </w:p>
    <w:p>
      <w:pPr>
        <w:shd w:val="clear" w:color="auto" w:fill="FFF4CE"/>
        <w:pBdr>
          <w:top w:val="single" w:sz="8" w:space="4" w:color="FFF4CE"/>
          <w:left w:val="single" w:sz="8" w:space="4" w:color="FFF4CE"/>
          <w:bottom w:val="single" w:sz="8" w:space="4" w:color="FFF4CE"/>
          <w:right w:val="single" w:sz="8" w:space="4" w:color="FFF4CE"/>
        </w:pBdr>
        <w:spacing w:before="80" w:after="160" w:line="288" w:lineRule="auto"/>
        <w:ind w:left="58" w:right="58"/>
      </w:pPr>
      <w:r>
        <w:rPr>
          <w:rFonts w:ascii="Calibri" w:hAnsi="Calibri"/>
          <w:b/>
          <w:i w:val="0"/>
          <w:color w:val="7A5A00"/>
          <w:sz w:val="19"/>
        </w:rPr>
        <w:t xml:space="preserve">CONDITIONAL OUTCOME GUARANTEE  </w:t>
      </w:r>
      <w:r>
        <w:rPr>
          <w:rFonts w:ascii="Calibri" w:hAnsi="Calibri"/>
          <w:b/>
          <w:i w:val="0"/>
          <w:color w:val="0B2545"/>
          <w:sz w:val="21"/>
        </w:rPr>
        <w:t>If the venue completes the launch checklist, displays the QR in the agreed locations, funds the approved rewards and reaches the agreed minimum membership, but Nabaperks records fewer than ten returning members within 90 days, continue managing the programme without a subscription fee until the agreed extension limit.</w:t>
      </w:r>
    </w:p>
    <w:p>
      <w:pPr>
        <w:keepLines w:val="0"/>
        <w:spacing w:before="0" w:after="120" w:line="300" w:lineRule="auto"/>
      </w:pPr>
      <w:r>
        <w:rPr>
          <w:rFonts w:ascii="Calibri" w:hAnsi="Calibri"/>
          <w:b w:val="0"/>
          <w:i w:val="0"/>
          <w:color w:val="1A1A1A"/>
          <w:sz w:val="22"/>
        </w:rPr>
        <w:t>Before publication, define the minimum member count, the meaning of returning member, excluded closures or service interruptions, the evidence source and the maximum extension. Obtain legal review of the final commercial terms.</w:t>
      </w:r>
    </w:p>
    <w:p>
      <w:r>
        <w:br w:type="page"/>
      </w:r>
    </w:p>
    <w:p>
      <w:pPr>
        <w:pStyle w:val="Heading2"/>
        <w:keepNext/>
      </w:pPr>
      <w:r>
        <w:t>Risk and claims guardrails</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1800"/>
        <w:gridCol w:w="3700"/>
        <w:gridCol w:w="3860"/>
      </w:tblGrid>
      <w:tr>
        <w:trPr>
          <w:trHeight w:hRule="atLeast"/>
          <w:tblHeader w:val="true"/>
        </w:trPr>
        <w:tc>
          <w:tcPr>
            <w:tcW w:type="dxa" w:w="1800"/>
            <w:shd w:fill="E8EEF5"/>
            <w:tcMar>
              <w:top w:w="80" w:type="dxa"/>
              <w:start w:w="120" w:type="dxa"/>
              <w:bottom w:w="80" w:type="dxa"/>
              <w:end w:w="120" w:type="dxa"/>
            </w:tcMar>
            <w:vAlign w:val="center"/>
          </w:tcPr>
          <w:p>
            <w:pPr>
              <w:jc w:val="left"/>
            </w:pPr>
            <w:r>
              <w:rPr>
                <w:rFonts w:ascii="Calibri" w:hAnsi="Calibri"/>
                <w:b/>
                <w:i w:val="0"/>
                <w:color w:val="0B2545"/>
                <w:sz w:val="19"/>
              </w:rPr>
              <w:t>Claim area</w:t>
            </w:r>
          </w:p>
        </w:tc>
        <w:tc>
          <w:tcPr>
            <w:tcW w:type="dxa" w:w="3700"/>
            <w:shd w:fill="E8EEF5"/>
            <w:tcMar>
              <w:top w:w="80" w:type="dxa"/>
              <w:start w:w="120" w:type="dxa"/>
              <w:bottom w:w="80" w:type="dxa"/>
              <w:end w:w="120" w:type="dxa"/>
            </w:tcMar>
            <w:vAlign w:val="center"/>
          </w:tcPr>
          <w:p>
            <w:pPr>
              <w:jc w:val="left"/>
            </w:pPr>
            <w:r>
              <w:rPr>
                <w:rFonts w:ascii="Calibri" w:hAnsi="Calibri"/>
                <w:b/>
                <w:i w:val="0"/>
                <w:color w:val="0B2545"/>
                <w:sz w:val="19"/>
              </w:rPr>
              <w:t>Allowed</w:t>
            </w:r>
          </w:p>
        </w:tc>
        <w:tc>
          <w:tcPr>
            <w:tcW w:type="dxa" w:w="3860"/>
            <w:shd w:fill="E8EEF5"/>
            <w:tcMar>
              <w:top w:w="80" w:type="dxa"/>
              <w:start w:w="120" w:type="dxa"/>
              <w:bottom w:w="80" w:type="dxa"/>
              <w:end w:w="120" w:type="dxa"/>
            </w:tcMar>
            <w:vAlign w:val="center"/>
          </w:tcPr>
          <w:p>
            <w:pPr>
              <w:jc w:val="left"/>
            </w:pPr>
            <w:r>
              <w:rPr>
                <w:rFonts w:ascii="Calibri" w:hAnsi="Calibri"/>
                <w:b/>
                <w:i w:val="0"/>
                <w:color w:val="0B2545"/>
                <w:sz w:val="19"/>
              </w:rPr>
              <w:t>Do not claim</w:t>
            </w:r>
          </w:p>
        </w:tc>
      </w:tr>
      <w:tr>
        <w:trPr>
          <w:trHeight w:hRule="atLeast"/>
        </w:trPr>
        <w:tc>
          <w:tcPr>
            <w:tcW w:type="dxa" w:w="18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Visits</w:t>
            </w:r>
          </w:p>
        </w:tc>
        <w:tc>
          <w:tcPr>
            <w:tcW w:type="dxa" w:w="3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Measured joins, stamps, returning members and redemptions</w:t>
            </w:r>
          </w:p>
        </w:tc>
        <w:tc>
          <w:tcPr>
            <w:tcW w:type="dxa" w:w="38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Every recorded visit is incremental</w:t>
            </w:r>
          </w:p>
        </w:tc>
      </w:tr>
      <w:tr>
        <w:trPr>
          <w:trHeight w:hRule="atLeast"/>
        </w:trPr>
        <w:tc>
          <w:tcPr>
            <w:tcW w:type="dxa" w:w="18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Revenue</w:t>
            </w:r>
          </w:p>
        </w:tc>
        <w:tc>
          <w:tcPr>
            <w:tcW w:type="dxa" w:w="3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Operator-supplied break-even estimates</w:t>
            </w:r>
          </w:p>
        </w:tc>
        <w:tc>
          <w:tcPr>
            <w:tcW w:type="dxa" w:w="38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Guaranteed revenue, profit or table bookings</w:t>
            </w:r>
          </w:p>
        </w:tc>
      </w:tr>
      <w:tr>
        <w:trPr>
          <w:trHeight w:hRule="atLeast"/>
        </w:trPr>
        <w:tc>
          <w:tcPr>
            <w:tcW w:type="dxa" w:w="18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Proof</w:t>
            </w:r>
          </w:p>
        </w:tc>
        <w:tc>
          <w:tcPr>
            <w:tcW w:type="dxa" w:w="3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Approved first-party snapshot and methodology</w:t>
            </w:r>
          </w:p>
        </w:tc>
        <w:tc>
          <w:tcPr>
            <w:tcW w:type="dxa" w:w="38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Results are typical or guaranteed</w:t>
            </w:r>
          </w:p>
        </w:tc>
      </w:tr>
      <w:tr>
        <w:trPr>
          <w:trHeight w:hRule="atLeast"/>
        </w:trPr>
        <w:tc>
          <w:tcPr>
            <w:tcW w:type="dxa" w:w="18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Automation</w:t>
            </w:r>
          </w:p>
        </w:tc>
        <w:tc>
          <w:tcPr>
            <w:tcW w:type="dxa" w:w="3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Specified notifications and reports</w:t>
            </w:r>
          </w:p>
        </w:tc>
        <w:tc>
          <w:tcPr>
            <w:tcW w:type="dxa" w:w="38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The venue has no work or responsibility</w:t>
            </w:r>
          </w:p>
        </w:tc>
      </w:tr>
      <w:tr>
        <w:trPr>
          <w:trHeight w:hRule="atLeast"/>
        </w:trPr>
        <w:tc>
          <w:tcPr>
            <w:tcW w:type="dxa" w:w="18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Location</w:t>
            </w:r>
          </w:p>
        </w:tc>
        <w:tc>
          <w:tcPr>
            <w:tcW w:type="dxa" w:w="3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Optional checks that flag unusual activity</w:t>
            </w:r>
          </w:p>
        </w:tc>
        <w:tc>
          <w:tcPr>
            <w:tcW w:type="dxa" w:w="38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Fraud prevention or guaranteed physical presence</w:t>
            </w:r>
          </w:p>
        </w:tc>
      </w:tr>
      <w:tr>
        <w:trPr>
          <w:trHeight w:hRule="atLeast"/>
        </w:trPr>
        <w:tc>
          <w:tcPr>
            <w:tcW w:type="dxa" w:w="18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Data</w:t>
            </w:r>
          </w:p>
        </w:tc>
        <w:tc>
          <w:tcPr>
            <w:tcW w:type="dxa" w:w="3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Mechanisms such as consent separation and masked contacts</w:t>
            </w:r>
          </w:p>
        </w:tc>
        <w:tc>
          <w:tcPr>
            <w:tcW w:type="dxa" w:w="38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Blanket compliance assurances</w:t>
            </w:r>
          </w:p>
        </w:tc>
      </w:tr>
    </w:tbl>
    <w:p>
      <w:pPr>
        <w:spacing w:after="40"/>
      </w:pPr>
    </w:p>
    <w:p>
      <w:pPr>
        <w:pStyle w:val="Heading1"/>
        <w:keepNext/>
      </w:pPr>
      <w:r>
        <w:t>4. The 10x delivery test</w:t>
      </w:r>
    </w:p>
    <w:p>
      <w:pPr>
        <w:keepLines w:val="0"/>
        <w:spacing w:before="0" w:after="120" w:line="300" w:lineRule="auto"/>
      </w:pPr>
      <w:r>
        <w:rPr>
          <w:rFonts w:ascii="Calibri" w:hAnsi="Calibri"/>
          <w:b w:val="0"/>
          <w:i w:val="0"/>
          <w:color w:val="1A1A1A"/>
          <w:sz w:val="22"/>
        </w:rPr>
        <w:t>Assume the customer pays £2,500 per month. The expected experience exposes what the premium offer should eventually approximate through templates, automation and selective human support.</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3350"/>
        <w:gridCol w:w="4310"/>
        <w:gridCol w:w="1700"/>
      </w:tblGrid>
      <w:tr>
        <w:trPr>
          <w:trHeight w:hRule="atLeast"/>
          <w:tblHeader w:val="true"/>
        </w:trPr>
        <w:tc>
          <w:tcPr>
            <w:tcW w:type="dxa" w:w="3350"/>
            <w:shd w:fill="E8EEF5"/>
            <w:tcMar>
              <w:top w:w="80" w:type="dxa"/>
              <w:start w:w="120" w:type="dxa"/>
              <w:bottom w:w="80" w:type="dxa"/>
              <w:end w:w="120" w:type="dxa"/>
            </w:tcMar>
            <w:vAlign w:val="center"/>
          </w:tcPr>
          <w:p>
            <w:pPr>
              <w:jc w:val="left"/>
            </w:pPr>
            <w:r>
              <w:rPr>
                <w:rFonts w:ascii="Calibri" w:hAnsi="Calibri"/>
                <w:b/>
                <w:i w:val="0"/>
                <w:color w:val="0B2545"/>
                <w:sz w:val="19"/>
              </w:rPr>
              <w:t>Expected 10x experience</w:t>
            </w:r>
          </w:p>
        </w:tc>
        <w:tc>
          <w:tcPr>
            <w:tcW w:type="dxa" w:w="4310"/>
            <w:shd w:fill="E8EEF5"/>
            <w:tcMar>
              <w:top w:w="80" w:type="dxa"/>
              <w:start w:w="120" w:type="dxa"/>
              <w:bottom w:w="80" w:type="dxa"/>
              <w:end w:w="120" w:type="dxa"/>
            </w:tcMar>
            <w:vAlign w:val="center"/>
          </w:tcPr>
          <w:p>
            <w:pPr>
              <w:jc w:val="left"/>
            </w:pPr>
            <w:r>
              <w:rPr>
                <w:rFonts w:ascii="Calibri" w:hAnsi="Calibri"/>
                <w:b/>
                <w:i w:val="0"/>
                <w:color w:val="0B2545"/>
                <w:sz w:val="19"/>
              </w:rPr>
              <w:t>Low-cost scalable version</w:t>
            </w:r>
          </w:p>
        </w:tc>
        <w:tc>
          <w:tcPr>
            <w:tcW w:type="dxa" w:w="1700"/>
            <w:shd w:fill="E8EEF5"/>
            <w:tcMar>
              <w:top w:w="80" w:type="dxa"/>
              <w:start w:w="120" w:type="dxa"/>
              <w:bottom w:w="80" w:type="dxa"/>
              <w:end w:w="120" w:type="dxa"/>
            </w:tcMar>
            <w:vAlign w:val="center"/>
          </w:tcPr>
          <w:p>
            <w:pPr>
              <w:jc w:val="center"/>
            </w:pPr>
            <w:r>
              <w:rPr>
                <w:rFonts w:ascii="Calibri" w:hAnsi="Calibri"/>
                <w:b/>
                <w:i w:val="0"/>
                <w:color w:val="0B2545"/>
                <w:sz w:val="19"/>
              </w:rPr>
              <w:t>Status</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Full retention audit</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Structured intake plus a 60-minute review</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Ready to design</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Programme configured before the meeting</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Prefill venue, card and rewards from intake</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Mostly supported</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Staff training</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Recorded 15-minute module plus live launch Q&amp;A</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Service gap</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Custom campaign calendar</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Gastropub templates selected from venue attributes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Service gap</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Proactive regulars management</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Automated lists for one-away, quiet and reward-ready members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Data exists; workflow needed</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Executive monthly report</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Automated report with narrative recommendations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Product gap</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Peer benchmarking</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Anonymised cohort benchmarks with minimum cohort sizes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Future; privacy review required</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Named success contact</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Scheduled office hours and priority support</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Operational decision</w:t>
            </w:r>
          </w:p>
        </w:tc>
      </w:tr>
      <w:tr>
        <w:trPr>
          <w:trHeight w:hRule="atLeast"/>
        </w:trPr>
        <w:tc>
          <w:tcPr>
            <w:tcW w:type="dxa" w:w="335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Quarterly reward refresh</w:t>
            </w:r>
          </w:p>
        </w:tc>
        <w:tc>
          <w:tcPr>
            <w:tcW w:type="dxa" w:w="431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Templated review based on redemptions and margin inputs</w:t>
            </w:r>
          </w:p>
        </w:tc>
        <w:tc>
          <w:tcPr>
            <w:tcW w:type="dxa" w:w="1700"/>
            <w:tcMar>
              <w:top w:w="80" w:type="dxa"/>
              <w:start w:w="120" w:type="dxa"/>
              <w:bottom w:w="80" w:type="dxa"/>
              <w:end w:w="120" w:type="dxa"/>
            </w:tcMar>
            <w:vAlign w:val="center"/>
          </w:tcPr>
          <w:p>
            <w:pPr>
              <w:spacing w:after="0" w:line="269" w:lineRule="auto"/>
              <w:jc w:val="center"/>
            </w:pPr>
            <w:r>
              <w:rPr>
                <w:rFonts w:ascii="Calibri" w:hAnsi="Calibri"/>
                <w:b/>
                <w:i w:val="0"/>
                <w:color w:val="1A1A1A"/>
                <w:sz w:val="18"/>
              </w:rPr>
              <w:t>Service gap</w:t>
            </w:r>
          </w:p>
        </w:tc>
      </w:tr>
    </w:tbl>
    <w:p>
      <w:pPr>
        <w:spacing w:after="40"/>
      </w:pPr>
    </w:p>
    <w:p>
      <w:pPr>
        <w:pStyle w:val="Heading2"/>
        <w:keepNext/>
      </w:pPr>
      <w:r>
        <w:t>What the higher margin must fund</w:t>
      </w:r>
    </w:p>
    <w:p>
      <w:pPr>
        <w:spacing w:after="100" w:line="300" w:lineRule="auto"/>
      </w:pPr>
      <w:r>
        <w:rPr>
          <w:rFonts w:ascii="Calibri" w:hAnsi="Calibri"/>
          <w:b/>
          <w:i w:val="0"/>
          <w:color w:val="1F4D78"/>
          <w:sz w:val="22"/>
        </w:rPr>
        <w:t xml:space="preserve">Qualification: </w:t>
      </w:r>
      <w:r>
        <w:rPr>
          <w:rFonts w:ascii="Calibri" w:hAnsi="Calibri"/>
          <w:b w:val="0"/>
          <w:i w:val="0"/>
          <w:color w:val="1A1A1A"/>
          <w:sz w:val="22"/>
        </w:rPr>
        <w:t>Reject venues without authority, adequate footfall, viable reward economics or capacity to implement.</w:t>
      </w:r>
    </w:p>
    <w:p>
      <w:pPr>
        <w:spacing w:after="100" w:line="300" w:lineRule="auto"/>
      </w:pPr>
      <w:r>
        <w:rPr>
          <w:rFonts w:ascii="Calibri" w:hAnsi="Calibri"/>
          <w:b/>
          <w:i w:val="0"/>
          <w:color w:val="1F4D78"/>
          <w:sz w:val="22"/>
        </w:rPr>
        <w:t xml:space="preserve">Implementation: </w:t>
      </w:r>
      <w:r>
        <w:rPr>
          <w:rFonts w:ascii="Calibri" w:hAnsi="Calibri"/>
          <w:b w:val="0"/>
          <w:i w:val="0"/>
          <w:color w:val="1A1A1A"/>
          <w:sz w:val="22"/>
        </w:rPr>
        <w:t>Configure the programme and launch assets instead of sending the merchant to a blank dashboard.</w:t>
      </w:r>
    </w:p>
    <w:p>
      <w:pPr>
        <w:spacing w:after="100" w:line="300" w:lineRule="auto"/>
      </w:pPr>
      <w:r>
        <w:rPr>
          <w:rFonts w:ascii="Calibri" w:hAnsi="Calibri"/>
          <w:b/>
          <w:i w:val="0"/>
          <w:color w:val="1F4D78"/>
          <w:sz w:val="22"/>
        </w:rPr>
        <w:t xml:space="preserve">Accountability: </w:t>
      </w:r>
      <w:r>
        <w:rPr>
          <w:rFonts w:ascii="Calibri" w:hAnsi="Calibri"/>
          <w:b w:val="0"/>
          <w:i w:val="0"/>
          <w:color w:val="1A1A1A"/>
          <w:sz w:val="22"/>
        </w:rPr>
        <w:t>Agree targets, owners, QR placements and review dates.</w:t>
      </w:r>
    </w:p>
    <w:p>
      <w:pPr>
        <w:spacing w:after="100" w:line="300" w:lineRule="auto"/>
      </w:pPr>
      <w:r>
        <w:rPr>
          <w:rFonts w:ascii="Calibri" w:hAnsi="Calibri"/>
          <w:b/>
          <w:i w:val="0"/>
          <w:color w:val="1F4D78"/>
          <w:sz w:val="22"/>
        </w:rPr>
        <w:t xml:space="preserve">Interpretation: </w:t>
      </w:r>
      <w:r>
        <w:rPr>
          <w:rFonts w:ascii="Calibri" w:hAnsi="Calibri"/>
          <w:b w:val="0"/>
          <w:i w:val="0"/>
          <w:color w:val="1A1A1A"/>
          <w:sz w:val="22"/>
        </w:rPr>
        <w:t>Explain what the data means and recommend the next action.</w:t>
      </w:r>
    </w:p>
    <w:p>
      <w:pPr>
        <w:spacing w:after="100" w:line="300" w:lineRule="auto"/>
      </w:pPr>
      <w:r>
        <w:rPr>
          <w:rFonts w:ascii="Calibri" w:hAnsi="Calibri"/>
          <w:b/>
          <w:i w:val="0"/>
          <w:color w:val="1F4D78"/>
          <w:sz w:val="22"/>
        </w:rPr>
        <w:t xml:space="preserve">Optimisation: </w:t>
      </w:r>
      <w:r>
        <w:rPr>
          <w:rFonts w:ascii="Calibri" w:hAnsi="Calibri"/>
          <w:b w:val="0"/>
          <w:i w:val="0"/>
          <w:color w:val="1A1A1A"/>
          <w:sz w:val="22"/>
        </w:rPr>
        <w:t>Refresh underperforming rewards, placement and campaign timing.</w:t>
      </w:r>
    </w:p>
    <w:p>
      <w:pPr>
        <w:spacing w:after="100" w:line="300" w:lineRule="auto"/>
      </w:pPr>
      <w:r>
        <w:rPr>
          <w:rFonts w:ascii="Calibri" w:hAnsi="Calibri"/>
          <w:b/>
          <w:i w:val="0"/>
          <w:color w:val="1F4D78"/>
          <w:sz w:val="22"/>
        </w:rPr>
        <w:t xml:space="preserve">Support: </w:t>
      </w:r>
      <w:r>
        <w:rPr>
          <w:rFonts w:ascii="Calibri" w:hAnsi="Calibri"/>
          <w:b w:val="0"/>
          <w:i w:val="0"/>
          <w:color w:val="1A1A1A"/>
          <w:sz w:val="22"/>
        </w:rPr>
        <w:t>Provide a faster, proactive experience that the £49 tier cannot economically support.</w:t>
      </w:r>
    </w:p>
    <w:p>
      <w:pPr>
        <w:shd w:val="clear" w:color="auto" w:fill="FFF4CE"/>
        <w:pBdr>
          <w:top w:val="single" w:sz="8" w:space="4" w:color="FFF4CE"/>
          <w:left w:val="single" w:sz="8" w:space="4" w:color="FFF4CE"/>
          <w:bottom w:val="single" w:sz="8" w:space="4" w:color="FFF4CE"/>
          <w:right w:val="single" w:sz="8" w:space="4" w:color="FFF4CE"/>
        </w:pBdr>
        <w:spacing w:before="80" w:after="160" w:line="288" w:lineRule="auto"/>
        <w:ind w:left="58" w:right="58"/>
      </w:pPr>
      <w:r>
        <w:rPr>
          <w:rFonts w:ascii="Calibri" w:hAnsi="Calibri"/>
          <w:b/>
          <w:i w:val="0"/>
          <w:color w:val="7A5A00"/>
          <w:sz w:val="19"/>
        </w:rPr>
        <w:t xml:space="preserve">PRICE PRINCIPLE  </w:t>
      </w:r>
      <w:r>
        <w:rPr>
          <w:rFonts w:ascii="Calibri" w:hAnsi="Calibri"/>
          <w:b/>
          <w:i w:val="0"/>
          <w:color w:val="0B2545"/>
          <w:sz w:val="21"/>
        </w:rPr>
        <w:t>A high price may improve commitment only when it buys qualification, implementation, accountability and support. Price alone does not create value or customer success.</w:t>
      </w:r>
    </w:p>
    <w:p>
      <w:pPr>
        <w:pStyle w:val="Heading1"/>
        <w:keepNext/>
      </w:pPr>
      <w:r>
        <w:t>5. Launch readiness and next actions</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1000"/>
        <w:gridCol w:w="3560"/>
        <w:gridCol w:w="1700"/>
        <w:gridCol w:w="3100"/>
      </w:tblGrid>
      <w:tr>
        <w:trPr>
          <w:trHeight w:hRule="atLeast"/>
          <w:tblHeader w:val="true"/>
        </w:trPr>
        <w:tc>
          <w:tcPr>
            <w:tcW w:type="dxa" w:w="1000"/>
            <w:shd w:fill="E8EEF5"/>
            <w:tcMar>
              <w:top w:w="80" w:type="dxa"/>
              <w:start w:w="120" w:type="dxa"/>
              <w:bottom w:w="80" w:type="dxa"/>
              <w:end w:w="120" w:type="dxa"/>
            </w:tcMar>
            <w:vAlign w:val="center"/>
          </w:tcPr>
          <w:p>
            <w:pPr>
              <w:jc w:val="left"/>
            </w:pPr>
            <w:r>
              <w:rPr>
                <w:rFonts w:ascii="Calibri" w:hAnsi="Calibri"/>
                <w:b/>
                <w:i w:val="0"/>
                <w:color w:val="0B2545"/>
                <w:sz w:val="19"/>
              </w:rPr>
              <w:t>Sequence</w:t>
            </w:r>
          </w:p>
        </w:tc>
        <w:tc>
          <w:tcPr>
            <w:tcW w:type="dxa" w:w="3560"/>
            <w:shd w:fill="E8EEF5"/>
            <w:tcMar>
              <w:top w:w="80" w:type="dxa"/>
              <w:start w:w="120" w:type="dxa"/>
              <w:bottom w:w="80" w:type="dxa"/>
              <w:end w:w="120" w:type="dxa"/>
            </w:tcMar>
            <w:vAlign w:val="center"/>
          </w:tcPr>
          <w:p>
            <w:pPr>
              <w:jc w:val="left"/>
            </w:pPr>
            <w:r>
              <w:rPr>
                <w:rFonts w:ascii="Calibri" w:hAnsi="Calibri"/>
                <w:b/>
                <w:i w:val="0"/>
                <w:color w:val="0B2545"/>
                <w:sz w:val="19"/>
              </w:rPr>
              <w:t>Action</w:t>
            </w:r>
          </w:p>
        </w:tc>
        <w:tc>
          <w:tcPr>
            <w:tcW w:type="dxa" w:w="1700"/>
            <w:shd w:fill="E8EEF5"/>
            <w:tcMar>
              <w:top w:w="80" w:type="dxa"/>
              <w:start w:w="120" w:type="dxa"/>
              <w:bottom w:w="80" w:type="dxa"/>
              <w:end w:w="120" w:type="dxa"/>
            </w:tcMar>
            <w:vAlign w:val="center"/>
          </w:tcPr>
          <w:p>
            <w:pPr>
              <w:jc w:val="left"/>
            </w:pPr>
            <w:r>
              <w:rPr>
                <w:rFonts w:ascii="Calibri" w:hAnsi="Calibri"/>
                <w:b/>
                <w:i w:val="0"/>
                <w:color w:val="0B2545"/>
                <w:sz w:val="19"/>
              </w:rPr>
              <w:t>Owner</w:t>
            </w:r>
          </w:p>
        </w:tc>
        <w:tc>
          <w:tcPr>
            <w:tcW w:type="dxa" w:w="3100"/>
            <w:shd w:fill="E8EEF5"/>
            <w:tcMar>
              <w:top w:w="80" w:type="dxa"/>
              <w:start w:w="120" w:type="dxa"/>
              <w:bottom w:w="80" w:type="dxa"/>
              <w:end w:w="120" w:type="dxa"/>
            </w:tcMar>
            <w:vAlign w:val="center"/>
          </w:tcPr>
          <w:p>
            <w:pPr>
              <w:jc w:val="left"/>
            </w:pPr>
            <w:r>
              <w:rPr>
                <w:rFonts w:ascii="Calibri" w:hAnsi="Calibri"/>
                <w:b/>
                <w:i w:val="0"/>
                <w:color w:val="0B2545"/>
                <w:sz w:val="19"/>
              </w:rPr>
              <w:t>Pass condition</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Now</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Document the premium delivery SOP and qualification criteria.</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Commercial lead</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 second operator can run the process consistently.</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Now</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Create the reward economics calculator and 90-day campaign templates.</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Commercial + product</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Outputs can be personalised in under 30 minutes.</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Now</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Sell three paid design-partner launches manually.</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Founder/sales</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At least three qualified venues pay a deposit.</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Next</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Build the Midweek Return Dashboard.</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New and returning members are filterable by day of week.</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Next</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Add baseline, goals and 30/60/90-day progress.</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Every premium venue has visible target progress.</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Next</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Add campaign attribution and outcome reporting.</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Each campaign can be linked to subsequent member activity.</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Later</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Add group dashboards and permissions.</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Product</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Regional pub groups can operate without manual consolidation.</w:t>
            </w:r>
          </w:p>
        </w:tc>
      </w:tr>
      <w:tr>
        <w:trPr>
          <w:trHeight w:hRule="atLeast"/>
        </w:trPr>
        <w:tc>
          <w:tcPr>
            <w:tcW w:type="dxa" w:w="10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Later</w:t>
            </w:r>
          </w:p>
        </w:tc>
        <w:tc>
          <w:tcPr>
            <w:tcW w:type="dxa" w:w="35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Introduce anonymised benchmark reporting.</w:t>
            </w:r>
          </w:p>
        </w:tc>
        <w:tc>
          <w:tcPr>
            <w:tcW w:type="dxa" w:w="17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Data/privacy</w:t>
            </w:r>
          </w:p>
        </w:tc>
        <w:tc>
          <w:tcPr>
            <w:tcW w:type="dxa" w:w="31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Cohort thresholds and privacy review are complete.</w:t>
            </w:r>
          </w:p>
        </w:tc>
      </w:tr>
    </w:tbl>
    <w:p>
      <w:pPr>
        <w:spacing w:after="40"/>
      </w:pPr>
    </w:p>
    <w:p>
      <w:pPr>
        <w:pStyle w:val="Heading2"/>
        <w:keepNext/>
      </w:pPr>
      <w:r>
        <w:t>Paid validation gate</w:t>
      </w:r>
    </w:p>
    <w:p>
      <w:pPr>
        <w:shd w:val="clear" w:color="auto" w:fill="E7F2EC"/>
        <w:pBdr>
          <w:top w:val="single" w:sz="8" w:space="4" w:color="E7F2EC"/>
          <w:left w:val="single" w:sz="8" w:space="4" w:color="E7F2EC"/>
          <w:bottom w:val="single" w:sz="8" w:space="4" w:color="E7F2EC"/>
          <w:right w:val="single" w:sz="8" w:space="4" w:color="E7F2EC"/>
        </w:pBdr>
        <w:spacing w:before="80" w:after="160" w:line="288" w:lineRule="auto"/>
        <w:ind w:left="58" w:right="58"/>
      </w:pPr>
      <w:r>
        <w:rPr>
          <w:rFonts w:ascii="Calibri" w:hAnsi="Calibri"/>
          <w:b/>
          <w:i w:val="0"/>
          <w:color w:val="1F6B4A"/>
          <w:sz w:val="19"/>
        </w:rPr>
        <w:t xml:space="preserve">GO  </w:t>
      </w:r>
      <w:r>
        <w:rPr>
          <w:rFonts w:ascii="Calibri" w:hAnsi="Calibri"/>
          <w:b/>
          <w:i w:val="0"/>
          <w:color w:val="0B2545"/>
          <w:sz w:val="21"/>
        </w:rPr>
        <w:t>Proceed if at least three of twenty qualified gastropubs pay a deposit for the £1,500 launch and complete onboarding.</w:t>
      </w:r>
    </w:p>
    <w:p>
      <w:pPr>
        <w:shd w:val="clear" w:color="auto" w:fill="FFF4CE"/>
        <w:pBdr>
          <w:top w:val="single" w:sz="8" w:space="4" w:color="FFF4CE"/>
          <w:left w:val="single" w:sz="8" w:space="4" w:color="FFF4CE"/>
          <w:bottom w:val="single" w:sz="8" w:space="4" w:color="FFF4CE"/>
          <w:right w:val="single" w:sz="8" w:space="4" w:color="FFF4CE"/>
        </w:pBdr>
        <w:spacing w:before="80" w:after="160" w:line="288" w:lineRule="auto"/>
        <w:ind w:left="58" w:right="58"/>
      </w:pPr>
      <w:r>
        <w:rPr>
          <w:rFonts w:ascii="Calibri" w:hAnsi="Calibri"/>
          <w:b/>
          <w:i w:val="0"/>
          <w:color w:val="7A5A00"/>
          <w:sz w:val="19"/>
        </w:rPr>
        <w:t xml:space="preserve">REVISE  </w:t>
      </w:r>
      <w:r>
        <w:rPr>
          <w:rFonts w:ascii="Calibri" w:hAnsi="Calibri"/>
          <w:b/>
          <w:i w:val="0"/>
          <w:color w:val="0B2545"/>
          <w:sz w:val="21"/>
        </w:rPr>
        <w:t>If prospects value the result but reject the delivery, change the service scope or proof before changing the niche.</w:t>
      </w:r>
    </w:p>
    <w:p>
      <w:pPr>
        <w:shd w:val="clear" w:color="auto" w:fill="FDECEC"/>
        <w:pBdr>
          <w:top w:val="single" w:sz="8" w:space="4" w:color="FDECEC"/>
          <w:left w:val="single" w:sz="8" w:space="4" w:color="FDECEC"/>
          <w:bottom w:val="single" w:sz="8" w:space="4" w:color="FDECEC"/>
          <w:right w:val="single" w:sz="8" w:space="4" w:color="FDECEC"/>
        </w:pBdr>
        <w:spacing w:before="80" w:after="160" w:line="288" w:lineRule="auto"/>
        <w:ind w:left="58" w:right="58"/>
      </w:pPr>
      <w:r>
        <w:rPr>
          <w:rFonts w:ascii="Calibri" w:hAnsi="Calibri"/>
          <w:b/>
          <w:i w:val="0"/>
          <w:color w:val="9B1C1C"/>
          <w:sz w:val="19"/>
        </w:rPr>
        <w:t xml:space="preserve">STOP  </w:t>
      </w:r>
      <w:r>
        <w:rPr>
          <w:rFonts w:ascii="Calibri" w:hAnsi="Calibri"/>
          <w:b/>
          <w:i w:val="0"/>
          <w:color w:val="0B2545"/>
          <w:sz w:val="21"/>
        </w:rPr>
        <w:t>If qualified prospects praise the idea but only buy the £49 plan, the premium value stack has not been validated.</w:t>
      </w:r>
    </w:p>
    <w:p>
      <w:pPr>
        <w:pStyle w:val="Heading1"/>
        <w:keepNext/>
      </w:pPr>
      <w:r>
        <w:t>Final audit conclusion</w:t>
      </w:r>
    </w:p>
    <w:p>
      <w:pPr>
        <w:keepLines w:val="0"/>
        <w:spacing w:before="0" w:after="120" w:line="300" w:lineRule="auto"/>
      </w:pPr>
      <w:r>
        <w:rPr>
          <w:rFonts w:ascii="Calibri" w:hAnsi="Calibri"/>
          <w:b w:val="0"/>
          <w:i w:val="0"/>
          <w:color w:val="1A1A1A"/>
          <w:sz w:val="22"/>
        </w:rPr>
        <w:t>Nabaperks can credibly charge more when it stops behaving like a software licence and becomes an installed retention programme. The current codebase already supplies the core loyalty journey, controls, automations, assets and behavioural proof. The main commercial gaps are weekday-specific outcome reporting, campaign attribution and a repeatable done-for-you delivery operation.</w:t>
      </w:r>
    </w:p>
    <w:p>
      <w:pPr>
        <w:keepLines w:val="0"/>
        <w:spacing w:before="0" w:after="120" w:line="300" w:lineRule="auto"/>
      </w:pPr>
      <w:r>
        <w:rPr>
          <w:rFonts w:ascii="Calibri" w:hAnsi="Calibri"/>
          <w:b w:val="0"/>
          <w:i w:val="0"/>
          <w:color w:val="1A1A1A"/>
          <w:sz w:val="22"/>
        </w:rPr>
        <w:t>The premium offer should be piloted manually before significant development. Manual delivery will reveal which reports, campaigns and onboarding actions customers actually value, reducing the risk of building an expensive premium tier around assumptions.</w:t>
      </w:r>
    </w:p>
    <w:p>
      <w:pPr>
        <w:pStyle w:val="Heading2"/>
        <w:keepNext/>
      </w:pPr>
      <w:r>
        <w:t>Evidence map</w:t>
      </w:r>
    </w:p>
    <w:tbl>
      <w:tblPr>
        <w:tblStyle w:val="TableGrid"/>
        <w:tblW w:type="dxa" w:w="9360"/>
        <w:tblLayout w:type="fixed"/>
        <w:tblLook w:firstColumn="1" w:firstRow="1" w:lastColumn="0" w:lastRow="0" w:noHBand="0" w:noVBand="1" w:val="04A0"/>
        <w:tblInd w:w="120" w:type="dxa"/>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Pr>
      <w:tblGrid>
        <w:gridCol w:w="4200"/>
        <w:gridCol w:w="5160"/>
      </w:tblGrid>
      <w:tr>
        <w:trPr>
          <w:trHeight w:hRule="atLeast"/>
          <w:tblHeader w:val="true"/>
        </w:trPr>
        <w:tc>
          <w:tcPr>
            <w:tcW w:type="dxa" w:w="4200"/>
            <w:shd w:fill="E8EEF5"/>
            <w:tcMar>
              <w:top w:w="80" w:type="dxa"/>
              <w:start w:w="120" w:type="dxa"/>
              <w:bottom w:w="80" w:type="dxa"/>
              <w:end w:w="120" w:type="dxa"/>
            </w:tcMar>
            <w:vAlign w:val="center"/>
          </w:tcPr>
          <w:p>
            <w:pPr>
              <w:jc w:val="left"/>
            </w:pPr>
            <w:r>
              <w:rPr>
                <w:rFonts w:ascii="Calibri" w:hAnsi="Calibri"/>
                <w:b/>
                <w:i w:val="0"/>
                <w:color w:val="0B2545"/>
                <w:sz w:val="19"/>
              </w:rPr>
              <w:t>Evidence</w:t>
            </w:r>
          </w:p>
        </w:tc>
        <w:tc>
          <w:tcPr>
            <w:tcW w:type="dxa" w:w="5160"/>
            <w:shd w:fill="E8EEF5"/>
            <w:tcMar>
              <w:top w:w="80" w:type="dxa"/>
              <w:start w:w="120" w:type="dxa"/>
              <w:bottom w:w="80" w:type="dxa"/>
              <w:end w:w="120" w:type="dxa"/>
            </w:tcMar>
            <w:vAlign w:val="center"/>
          </w:tcPr>
          <w:p>
            <w:pPr>
              <w:jc w:val="left"/>
            </w:pPr>
            <w:r>
              <w:rPr>
                <w:rFonts w:ascii="Calibri" w:hAnsi="Calibri"/>
                <w:b/>
                <w:i w:val="0"/>
                <w:color w:val="0B2545"/>
                <w:sz w:val="19"/>
              </w:rPr>
              <w:t>Repository source</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Approved product claims, pricing, guarantee, offer stack and first-party proof</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lib/marketing/facts.ts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Weekly new-member, stamp, reward and QR-download trends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lib/merchant/dashboard-trends.ts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Member history and operational customer states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lib/merchant/customer-readback.ts and lib/merchant/dashboard.ts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Stamp, reward, birthday, referral and announcement notification events</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lib/notifications/catalog.ts and lib/notifications/events.ts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Weekly merchant reporting</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lib/notifications/merchant-digest.ts and merchant-digest-email.ts</w:t>
            </w:r>
          </w:p>
        </w:tc>
      </w:tr>
      <w:tr>
        <w:trPr>
          <w:trHeight w:hRule="atLeast"/>
        </w:trPr>
        <w:tc>
          <w:tcPr>
            <w:tcW w:type="dxa" w:w="420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Guided launch readiness and poster generation</w:t>
            </w:r>
          </w:p>
        </w:tc>
        <w:tc>
          <w:tcPr>
            <w:tcW w:type="dxa" w:w="5160"/>
            <w:tcMar>
              <w:top w:w="80" w:type="dxa"/>
              <w:start w:w="120" w:type="dxa"/>
              <w:bottom w:w="80" w:type="dxa"/>
              <w:end w:w="120" w:type="dxa"/>
            </w:tcMar>
            <w:vAlign w:val="center"/>
          </w:tcPr>
          <w:p>
            <w:pPr>
              <w:spacing w:after="0" w:line="269" w:lineRule="auto"/>
              <w:jc w:val="left"/>
            </w:pPr>
            <w:r>
              <w:rPr>
                <w:rFonts w:ascii="Calibri" w:hAnsi="Calibri"/>
                <w:b w:val="0"/>
                <w:i w:val="0"/>
                <w:color w:val="1A1A1A"/>
                <w:sz w:val="18"/>
              </w:rPr>
              <w:t>lib/merchant/launch-readiness-core.ts; components/merchant/qr-poster; lib/notifications/poster-pdf*</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NABAPERKS  |  PREMIUM OFFER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Charge Its Worth - The Value Equation Audit for Nabaperks</dc:title>
  <dc:subject>Premium offer audit for the 90-Day Gastropub Midweek Regulars Launch</dc:subject>
  <dc:creator>Nabaperks</dc:creator>
  <cp:keywords>Nabaperks, Value Equation, premium offer, gastropub, audit</cp:keywords>
  <dc:description>generated by python-docx</dc:description>
  <cp:lastModifiedBy/>
  <cp:revision>1</cp:revision>
  <dcterms:created xsi:type="dcterms:W3CDTF">2013-12-23T23:15:00Z</dcterms:created>
  <dcterms:modified xsi:type="dcterms:W3CDTF">2013-12-23T23:15:00Z</dcterms:modified>
  <cp:category/>
</cp:coreProperties>
</file>