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数据来源说明与表格</w:t>
      </w:r>
    </w:p>
    <w:p>
      <w:pPr>
        <w:spacing w:line="360" w:lineRule="auto" w:before="0" w:after="120"/>
        <w:ind w:firstLine="420"/>
        <w:jc w:val="both"/>
      </w:pPr>
      <w:r>
        <w:rPr>
          <w:rFonts w:ascii="宋体" w:hAnsi="宋体" w:eastAsia="宋体"/>
          <w:b w:val="0"/>
          <w:sz w:val="24"/>
        </w:rPr>
        <w:t>本研究的数据获取以人工智能辅助的信息采集与初步归类为基础，在此基础上再由研究者进行筛选、核查与整合，最终形成可用于分析的样本资料。在数据来源选择上，本文遵循“平台规则文本为主、商家经验材料为辅、法律政策资料用于校验”的思路，力求同时覆盖制度供给、市场实践与外部监管三个层面。其中，平台规则、新闻报道、学术文献和行业报告主要用于识别跨境电商平台治理的正式要求及其制度变化；知乎经验分享、新闻采访、自媒体内容以及合规指南和论坛资料，则主要用于补充商家在实际经营中的应对逻辑、合规困境与操作经验，从而增强研究材料的现实性与场景感。</w:t>
      </w:r>
    </w:p>
    <w:p>
      <w:pPr>
        <w:spacing w:line="360" w:lineRule="auto" w:before="0" w:after="120"/>
        <w:ind w:firstLine="420"/>
        <w:jc w:val="both"/>
      </w:pPr>
      <w:r>
        <w:rPr>
          <w:rFonts w:ascii="宋体" w:hAnsi="宋体" w:eastAsia="宋体"/>
          <w:b w:val="0"/>
          <w:sz w:val="24"/>
        </w:rPr>
        <w:t>经整理后，本文共获得有效样本316条，其中平台数据178条，主要包括速卖通规则31条、亚马逊规则30条、新兴平台规则25条、国内外相关新闻55条、学术文献30条及行业自律报告7条；商家数据138条，主要包括知乎经验分享25条、新闻采访25条、自媒体内容23条以及合规指南、行业论坛和服务商资料65条。从结构上看，平台数据占比较高，有助于把握平台治理规则与制度要求的总体框架；商家数据则能够补充规则落地过程中的实际反馈，使研究不局限于规范文本本身。此外，本文还参考了《电子商务法》等相关法律法规、典型司法案例、海关及市场监管执法报告、知识产权政策文件等政府与法律资料，用于对研究结论进行规范性对照与交叉验证。</w:t>
      </w:r>
    </w:p>
    <w:p>
      <w:pPr>
        <w:spacing w:line="360" w:lineRule="auto" w:before="0" w:after="240"/>
        <w:ind w:firstLine="420"/>
        <w:jc w:val="both"/>
      </w:pPr>
      <w:r>
        <w:rPr>
          <w:rFonts w:ascii="宋体" w:hAnsi="宋体" w:eastAsia="宋体"/>
          <w:b w:val="0"/>
          <w:sz w:val="24"/>
        </w:rPr>
        <w:t>为保证资料质量，本文在数据整理过程中对采集结果进行了重复项剔除、主题相关性筛查、来源可信度核验和内容交叉比对，尽可能减少无关信息、重复信息和低可信度信息对分析结果的干扰。对于同一议题的不同来源材料，本文注重相互印证，以提高事实判断的稳健性；对于具有明显时效性的规则文本和政策信息，则优先保留正式发布版本及具有代表性的更新版本。通过上述处理，本文所构建的数据体系不仅能够较为全面地反映研究对象的制度环境与实践状态，也为后续的分类分析和论文论证提供了较为扎实的资料基础。</w:t>
      </w:r>
    </w:p>
    <w:p>
      <w:pPr>
        <w:spacing w:after="120"/>
        <w:jc w:val="center"/>
      </w:pPr>
      <w:r>
        <w:rPr>
          <w:rFonts w:ascii="黑体" w:hAnsi="黑体" w:eastAsia="黑体"/>
          <w:b w:val="0"/>
          <w:sz w:val="24"/>
        </w:rPr>
        <w:t>表3-1 数据来源构成</w:t>
      </w:r>
    </w:p>
    <w:tbl>
      <w:tblPr>
        <w:tblW w:type="auto" w:w="0"/>
        <w:jc w:val="center"/>
        <w:tblLayout w:type="fixed"/>
        <w:tblLook w:firstColumn="1" w:firstRow="1" w:lastColumn="0" w:lastRow="0" w:noHBand="0" w:noVBand="1" w:val="04A0"/>
      </w:tblPr>
      <w:tblGrid>
        <w:gridCol w:w="2158"/>
        <w:gridCol w:w="2158"/>
        <w:gridCol w:w="2158"/>
        <w:gridCol w:w="2158"/>
      </w:tblGrid>
      <w:tr>
        <w:tc>
          <w:tcPr>
            <w:tcW w:type="dxa" w:w="1701"/>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一级类别</w:t>
            </w:r>
          </w:p>
        </w:tc>
        <w:tc>
          <w:tcPr>
            <w:tcW w:type="dxa" w:w="3969"/>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二级来源</w:t>
            </w:r>
          </w:p>
        </w:tc>
        <w:tc>
          <w:tcPr>
            <w:tcW w:type="dxa" w:w="1701"/>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数量（条）</w:t>
            </w:r>
          </w:p>
        </w:tc>
        <w:tc>
          <w:tcPr>
            <w:tcW w:type="dxa" w:w="1701"/>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小计（条）</w:t>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平台数据</w:t>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速卖通规则</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31</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亚马逊规则</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30</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新兴平台规则</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25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国内外新闻</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55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学术文献</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30</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自律报告</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7</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178</w:t>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商家数据</w:t>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知乎经验分享</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25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新闻采访</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25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自媒体内容</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23</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r>
      <w:tr>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合规指南/论坛/服务商</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65</w:t>
            </w:r>
          </w:p>
        </w:tc>
        <w:tc>
          <w:tcPr>
            <w:tcW w:type="dxa" w:w="2158"/>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138</w:t>
            </w:r>
          </w:p>
        </w:tc>
      </w:tr>
      <w:tr>
        <w:tc>
          <w:tcPr>
            <w:tcW w:type="dxa" w:w="2158"/>
            <w:vAlign w:val="center"/>
            <w:tcBorders>
              <w:left w:val="nil"/>
              <w:top w:val="nil"/>
              <w:right w:val="nil"/>
              <w:bottom w:val="single" w:sz="12" w:color="000000"/>
            </w:tcBorders>
          </w:tcPr>
          <w:p>
            <w:pPr>
              <w:spacing w:line="360" w:lineRule="auto"/>
              <w:jc w:val="center"/>
            </w:pPr>
            <w:r>
              <w:rPr>
                <w:rFonts w:ascii="宋体" w:hAnsi="宋体" w:eastAsia="宋体"/>
                <w:b w:val="0"/>
                <w:sz w:val="24"/>
              </w:rPr>
            </w:r>
            <w:r>
              <w:rPr>
                <w:rFonts w:ascii="宋体" w:hAnsi="宋体" w:eastAsia="宋体"/>
                <w:b w:val="0"/>
                <w:sz w:val="24"/>
              </w:rPr>
              <w:t>合计</w:t>
            </w:r>
          </w:p>
        </w:tc>
        <w:tc>
          <w:tcPr>
            <w:tcW w:type="dxa" w:w="2158"/>
            <w:vAlign w:val="center"/>
            <w:tcBorders>
              <w:left w:val="nil"/>
              <w:top w:val="nil"/>
              <w:right w:val="nil"/>
              <w:bottom w:val="single" w:sz="12" w:color="000000"/>
            </w:tcBorders>
          </w:tcPr>
          <w:p>
            <w:pPr>
              <w:spacing w:line="360" w:lineRule="auto"/>
              <w:jc w:val="left"/>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single" w:sz="12" w:color="000000"/>
            </w:tcBorders>
          </w:tcPr>
          <w:p>
            <w:pPr>
              <w:spacing w:line="360" w:lineRule="auto"/>
              <w:jc w:val="center"/>
            </w:pPr>
            <w:r>
              <w:rPr>
                <w:rFonts w:ascii="宋体" w:hAnsi="宋体" w:eastAsia="宋体"/>
                <w:b w:val="0"/>
                <w:sz w:val="24"/>
              </w:rPr>
            </w:r>
            <w:r>
              <w:rPr>
                <w:rFonts w:ascii="宋体" w:hAnsi="宋体" w:eastAsia="宋体"/>
                <w:b w:val="0"/>
                <w:sz w:val="24"/>
              </w:rPr>
            </w:r>
          </w:p>
        </w:tc>
        <w:tc>
          <w:tcPr>
            <w:tcW w:type="dxa" w:w="2158"/>
            <w:vAlign w:val="center"/>
            <w:tcBorders>
              <w:left w:val="nil"/>
              <w:top w:val="nil"/>
              <w:right w:val="nil"/>
              <w:bottom w:val="single" w:sz="12" w:color="000000"/>
            </w:tcBorders>
          </w:tcPr>
          <w:p>
            <w:pPr>
              <w:spacing w:line="360" w:lineRule="auto"/>
              <w:jc w:val="center"/>
            </w:pPr>
            <w:r>
              <w:rPr>
                <w:rFonts w:ascii="宋体" w:hAnsi="宋体" w:eastAsia="宋体"/>
                <w:b w:val="0"/>
                <w:sz w:val="24"/>
              </w:rPr>
            </w:r>
            <w:r>
              <w:rPr>
                <w:rFonts w:ascii="宋体" w:hAnsi="宋体" w:eastAsia="宋体"/>
                <w:b w:val="0"/>
                <w:sz w:val="24"/>
              </w:rPr>
              <w:t>316</w:t>
            </w:r>
          </w:p>
        </w:tc>
      </w:tr>
    </w:tbl>
    <w:p>
      <w:pPr>
        <w:spacing w:line="360" w:lineRule="auto" w:after="240"/>
        <w:jc w:val="left"/>
      </w:pPr>
      <w:r>
        <w:rPr>
          <w:rFonts w:ascii="宋体" w:hAnsi="宋体" w:eastAsia="宋体"/>
          <w:b w:val="0"/>
          <w:sz w:val="21"/>
        </w:rPr>
        <w:t>注：数据来源共316条，其中平台数据178条，商家数据138条。</w:t>
      </w:r>
    </w:p>
    <w:p>
      <w:pPr>
        <w:spacing w:after="120"/>
        <w:jc w:val="center"/>
      </w:pPr>
      <w:r>
        <w:rPr>
          <w:rFonts w:ascii="黑体" w:hAnsi="黑体" w:eastAsia="黑体"/>
          <w:b w:val="0"/>
          <w:sz w:val="24"/>
        </w:rPr>
        <w:t>表3-2 政府/法律数据与资料核查方式</w:t>
      </w:r>
    </w:p>
    <w:tbl>
      <w:tblPr>
        <w:tblW w:type="auto" w:w="0"/>
        <w:jc w:val="center"/>
        <w:tblLayout w:type="fixed"/>
        <w:tblLook w:firstColumn="1" w:firstRow="1" w:lastColumn="0" w:lastRow="0" w:noHBand="0" w:noVBand="1" w:val="04A0"/>
      </w:tblPr>
      <w:tblGrid>
        <w:gridCol w:w="4317"/>
        <w:gridCol w:w="4317"/>
      </w:tblGrid>
      <w:tr>
        <w:tc>
          <w:tcPr>
            <w:tcW w:type="dxa" w:w="2268"/>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模块</w:t>
            </w:r>
          </w:p>
        </w:tc>
        <w:tc>
          <w:tcPr>
            <w:tcW w:type="dxa" w:w="6803"/>
            <w:vAlign w:val="center"/>
            <w:tcBorders>
              <w:left w:val="nil"/>
              <w:top w:val="single" w:sz="12" w:color="000000"/>
              <w:right w:val="nil"/>
              <w:bottom w:val="single" w:sz="8" w:color="000000"/>
            </w:tcBorders>
          </w:tcPr>
          <w:p>
            <w:pPr>
              <w:spacing w:line="360" w:lineRule="auto"/>
              <w:jc w:val="center"/>
            </w:pPr>
            <w:r>
              <w:rPr>
                <w:rFonts w:ascii="宋体" w:hAnsi="宋体" w:eastAsia="宋体"/>
                <w:b w:val="0"/>
                <w:sz w:val="24"/>
              </w:rPr>
            </w:r>
            <w:r>
              <w:rPr>
                <w:rFonts w:ascii="宋体" w:hAnsi="宋体" w:eastAsia="宋体"/>
                <w:b/>
                <w:sz w:val="24"/>
              </w:rPr>
              <w:t>具体内容</w:t>
            </w:r>
          </w:p>
        </w:tc>
      </w:tr>
      <w:tr>
        <w:tc>
          <w:tcPr>
            <w:tcW w:type="dxa" w:w="4317"/>
            <w:vAlign w:val="center"/>
            <w:tcBorders>
              <w:left w:val="nil"/>
              <w:top w:val="nil"/>
              <w:right w:val="nil"/>
              <w:bottom w:val="nil"/>
            </w:tcBorders>
          </w:tcPr>
          <w:p>
            <w:pPr>
              <w:spacing w:line="360" w:lineRule="auto"/>
              <w:jc w:val="center"/>
            </w:pPr>
            <w:r>
              <w:rPr>
                <w:rFonts w:ascii="宋体" w:hAnsi="宋体" w:eastAsia="宋体"/>
                <w:b w:val="0"/>
                <w:sz w:val="24"/>
              </w:rPr>
            </w:r>
            <w:r>
              <w:rPr>
                <w:rFonts w:ascii="宋体" w:hAnsi="宋体" w:eastAsia="宋体"/>
                <w:b w:val="0"/>
                <w:sz w:val="24"/>
              </w:rPr>
              <w:t>政府/法律数据</w:t>
            </w:r>
          </w:p>
        </w:tc>
        <w:tc>
          <w:tcPr>
            <w:tcW w:type="dxa" w:w="4317"/>
            <w:vAlign w:val="center"/>
            <w:tcBorders>
              <w:left w:val="nil"/>
              <w:top w:val="nil"/>
              <w:right w:val="nil"/>
              <w:bottom w:val="nil"/>
            </w:tcBorders>
          </w:tcPr>
          <w:p>
            <w:pPr>
              <w:spacing w:line="360" w:lineRule="auto"/>
              <w:jc w:val="left"/>
            </w:pPr>
            <w:r>
              <w:rPr>
                <w:rFonts w:ascii="宋体" w:hAnsi="宋体" w:eastAsia="宋体"/>
                <w:b w:val="0"/>
                <w:sz w:val="24"/>
              </w:rPr>
            </w:r>
            <w:r>
              <w:rPr>
                <w:rFonts w:ascii="宋体" w:hAnsi="宋体" w:eastAsia="宋体"/>
                <w:b w:val="0"/>
                <w:sz w:val="24"/>
              </w:rPr>
              <w:t>《电子商务法》等法律法规；典型司法案例；海关及市场监管执法报告；知识产权政策文件</w:t>
            </w:r>
          </w:p>
        </w:tc>
      </w:tr>
      <w:tr>
        <w:tc>
          <w:tcPr>
            <w:tcW w:type="dxa" w:w="4317"/>
            <w:vAlign w:val="center"/>
            <w:tcBorders>
              <w:left w:val="nil"/>
              <w:top w:val="nil"/>
              <w:right w:val="nil"/>
              <w:bottom w:val="single" w:sz="12" w:color="000000"/>
            </w:tcBorders>
          </w:tcPr>
          <w:p>
            <w:pPr>
              <w:spacing w:line="360" w:lineRule="auto"/>
              <w:jc w:val="center"/>
            </w:pPr>
            <w:r>
              <w:rPr>
                <w:rFonts w:ascii="宋体" w:hAnsi="宋体" w:eastAsia="宋体"/>
                <w:b w:val="0"/>
                <w:sz w:val="24"/>
              </w:rPr>
            </w:r>
            <w:r>
              <w:rPr>
                <w:rFonts w:ascii="宋体" w:hAnsi="宋体" w:eastAsia="宋体"/>
                <w:b w:val="0"/>
                <w:sz w:val="24"/>
              </w:rPr>
              <w:t>资料核查方式</w:t>
            </w:r>
          </w:p>
        </w:tc>
        <w:tc>
          <w:tcPr>
            <w:tcW w:type="dxa" w:w="4317"/>
            <w:vAlign w:val="center"/>
            <w:tcBorders>
              <w:left w:val="nil"/>
              <w:top w:val="nil"/>
              <w:right w:val="nil"/>
              <w:bottom w:val="single" w:sz="12" w:color="000000"/>
            </w:tcBorders>
          </w:tcPr>
          <w:p>
            <w:pPr>
              <w:spacing w:line="360" w:lineRule="auto"/>
              <w:jc w:val="left"/>
            </w:pPr>
            <w:r>
              <w:rPr>
                <w:rFonts w:ascii="宋体" w:hAnsi="宋体" w:eastAsia="宋体"/>
                <w:b w:val="0"/>
                <w:sz w:val="24"/>
              </w:rPr>
            </w:r>
            <w:r>
              <w:rPr>
                <w:rFonts w:ascii="宋体" w:hAnsi="宋体" w:eastAsia="宋体"/>
                <w:b w:val="0"/>
                <w:sz w:val="24"/>
              </w:rPr>
              <w:t>重复项剔除；交叉比对；内容核查；分类整理</w:t>
            </w:r>
          </w:p>
        </w:tc>
      </w:tr>
    </w:tbl>
    <w:p>
      <w:pPr>
        <w:spacing w:line="360" w:lineRule="auto"/>
        <w:jc w:val="left"/>
      </w:pPr>
      <w:r>
        <w:rPr>
          <w:rFonts w:ascii="宋体" w:hAnsi="宋体" w:eastAsia="宋体"/>
          <w:b w:val="0"/>
          <w:sz w:val="21"/>
        </w:rPr>
        <w:t>注：政府/法律数据主要用于研究论证与交叉验证，不纳入316条样本总量统计。</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