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数据来源说明与表格</w:t>
      </w:r>
    </w:p>
    <w:p>
      <w:pPr>
        <w:spacing w:line="360" w:lineRule="auto" w:before="0" w:after="120"/>
        <w:ind w:firstLine="420"/>
        <w:jc w:val="both"/>
      </w:pPr>
      <w:r>
        <w:rPr>
          <w:rFonts w:ascii="宋体" w:hAnsi="宋体" w:eastAsia="宋体"/>
          <w:b w:val="0"/>
          <w:sz w:val="24"/>
        </w:rPr>
        <w:t>本研究围绕跨境电商平台治理与商家合规实践展开，在资料收集过程中坚持“多源获取、分类整理、交叉印证”的原则，尽可能从不同层面呈现研究对象的制度环境与现实运行状态。就数据构成而言，本文并未局限于单一类型文本，而是将平台规则、商家经验材料、学术研究成果以及政府和法律资料纳入同一分析框架，以增强研究资料的完整性与解释力。</w:t>
      </w:r>
    </w:p>
    <w:p>
      <w:pPr>
        <w:spacing w:line="360" w:lineRule="auto" w:before="0" w:after="120"/>
        <w:ind w:firstLine="420"/>
        <w:jc w:val="both"/>
      </w:pPr>
      <w:r>
        <w:rPr>
          <w:rFonts w:ascii="宋体" w:hAnsi="宋体" w:eastAsia="宋体"/>
          <w:b w:val="0"/>
          <w:sz w:val="24"/>
        </w:rPr>
        <w:t>在具体来源上，本文共整理形成有效样本316条。其中，平台数据178条，主要包括速卖通规则31条、亚马逊规则30条、新兴平台规则25条、国内外相关新闻55条、学术文献30条及行业自律报告7条。该部分资料主要用于梳理平台治理规则的制度逻辑、识别重点合规要求，并观察相关议题在不同平台与不同时间阶段中的变化特点。与此同时，本文共收集商家数据138条，包括知乎经验分享25条、新闻采访25条、自媒体内容23条以及合规指南、行业论坛和服务商资料65条。此类资料能够在规则文本之外补充商家在经营实践中的真实感受、应对方式与操作经验，从而使研究分析更贴近实际经营场景。</w:t>
      </w:r>
    </w:p>
    <w:p>
      <w:pPr>
        <w:spacing w:line="360" w:lineRule="auto" w:before="0" w:after="120"/>
        <w:ind w:firstLine="420"/>
        <w:jc w:val="both"/>
      </w:pPr>
      <w:r>
        <w:rPr>
          <w:rFonts w:ascii="宋体" w:hAnsi="宋体" w:eastAsia="宋体"/>
          <w:b w:val="0"/>
          <w:sz w:val="24"/>
        </w:rPr>
        <w:t>除上述样本外，本文还参考了《电子商务法》等相关法律法规、典型司法案例、海关及市场监管执法报告、知识产权政策文件等政府与法律资料。这部分资料虽然不纳入316条样本的总量统计，但在研究中具有重要的规范参照意义，一方面可用于对平台规则与商家实践进行外部校验，另一方面也有助于从法律与监管视角进一步理解平台治理机制及其边界。</w:t>
      </w:r>
    </w:p>
    <w:p>
      <w:pPr>
        <w:spacing w:line="360" w:lineRule="auto" w:before="0" w:after="240"/>
        <w:ind w:firstLine="420"/>
        <w:jc w:val="both"/>
      </w:pPr>
      <w:r>
        <w:rPr>
          <w:rFonts w:ascii="宋体" w:hAnsi="宋体" w:eastAsia="宋体"/>
          <w:b w:val="0"/>
          <w:sz w:val="24"/>
        </w:rPr>
        <w:t>为提高数据质量与研究结论的可靠性，本文在资料整理过程中对相关内容进行了主题相关性筛查、重复项剔除、来源可信度核验和内容交叉比对。对于同一问题，尽量结合不同类型资料进行相互印证；对于具有较强时效性的规则与政策文本，则优先保留正式发布版本及具有代表性的更新版本。通过上述处理，本文构建的数据体系既能够较为系统地反映跨境电商领域的平台规则、商家实践与外部监管要求，也为后续的分类分析、案例讨论和论文论证提供了较为扎实的资料基础。</w:t>
      </w:r>
    </w:p>
    <w:p>
      <w:pPr>
        <w:spacing w:after="120"/>
        <w:jc w:val="center"/>
      </w:pPr>
      <w:r>
        <w:rPr>
          <w:rFonts w:ascii="黑体" w:hAnsi="黑体" w:eastAsia="黑体"/>
          <w:b w:val="0"/>
          <w:sz w:val="24"/>
        </w:rPr>
        <w:t>表3-1 数据来源构成</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701"/>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一级类别</w:t>
            </w:r>
          </w:p>
        </w:tc>
        <w:tc>
          <w:tcPr>
            <w:tcW w:type="dxa" w:w="3969"/>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二级来源</w:t>
            </w:r>
          </w:p>
        </w:tc>
        <w:tc>
          <w:tcPr>
            <w:tcW w:type="dxa" w:w="1701"/>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数量（条）</w:t>
            </w:r>
          </w:p>
        </w:tc>
        <w:tc>
          <w:tcPr>
            <w:tcW w:type="dxa" w:w="1701"/>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小计（条）</w:t>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平台数据</w:t>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速卖通规则</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31</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亚马逊规则</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30</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新兴平台规则</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国内外新闻</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55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学术文献</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30</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自律报告</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7</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178</w:t>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商家数据</w:t>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知乎经验分享</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新闻采访</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自媒体内容</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23</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合规指南/论坛/服务商</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65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138</w:t>
            </w:r>
          </w:p>
        </w:tc>
      </w:tr>
      <w:tr>
        <w:tc>
          <w:tcPr>
            <w:tcW w:type="dxa" w:w="2158"/>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t>合计</w:t>
            </w:r>
          </w:p>
        </w:tc>
        <w:tc>
          <w:tcPr>
            <w:tcW w:type="dxa" w:w="2158"/>
            <w:vAlign w:val="center"/>
            <w:tcBorders>
              <w:left w:val="nil"/>
              <w:top w:val="nil"/>
              <w:right w:val="nil"/>
              <w:bottom w:val="single" w:sz="12" w:color="000000"/>
            </w:tcBorders>
          </w:tcPr>
          <w:p>
            <w:pPr>
              <w:spacing w:line="360" w:lineRule="auto"/>
              <w:jc w:val="left"/>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t>316</w:t>
            </w:r>
          </w:p>
        </w:tc>
      </w:tr>
    </w:tbl>
    <w:p>
      <w:pPr>
        <w:spacing w:line="360" w:lineRule="auto" w:after="240"/>
        <w:jc w:val="left"/>
      </w:pPr>
      <w:r>
        <w:rPr>
          <w:rFonts w:ascii="宋体" w:hAnsi="宋体" w:eastAsia="宋体"/>
          <w:b w:val="0"/>
          <w:sz w:val="21"/>
        </w:rPr>
        <w:t>注：数据来源共316条，其中平台数据178条，商家数据138条。</w:t>
      </w:r>
    </w:p>
    <w:p>
      <w:pPr>
        <w:spacing w:after="120"/>
        <w:jc w:val="center"/>
      </w:pPr>
      <w:r>
        <w:rPr>
          <w:rFonts w:ascii="黑体" w:hAnsi="黑体" w:eastAsia="黑体"/>
          <w:b w:val="0"/>
          <w:sz w:val="24"/>
        </w:rPr>
        <w:t>表3-2 政府/法律数据与资料核查方式</w:t>
      </w:r>
    </w:p>
    <w:tbl>
      <w:tblPr>
        <w:tblW w:type="auto" w:w="0"/>
        <w:jc w:val="center"/>
        <w:tblLayout w:type="fixed"/>
        <w:tblLook w:firstColumn="1" w:firstRow="1" w:lastColumn="0" w:lastRow="0" w:noHBand="0" w:noVBand="1" w:val="04A0"/>
      </w:tblPr>
      <w:tblGrid>
        <w:gridCol w:w="4317"/>
        <w:gridCol w:w="4317"/>
      </w:tblGrid>
      <w:tr>
        <w:tc>
          <w:tcPr>
            <w:tcW w:type="dxa" w:w="2268"/>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模块</w:t>
            </w:r>
          </w:p>
        </w:tc>
        <w:tc>
          <w:tcPr>
            <w:tcW w:type="dxa" w:w="6803"/>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具体内容</w:t>
            </w:r>
          </w:p>
        </w:tc>
      </w:tr>
      <w:tr>
        <w:tc>
          <w:tcPr>
            <w:tcW w:type="dxa" w:w="4317"/>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政府/法律数据</w:t>
            </w:r>
          </w:p>
        </w:tc>
        <w:tc>
          <w:tcPr>
            <w:tcW w:type="dxa" w:w="4317"/>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《电子商务法》等法律法规；典型司法案例；海关及市场监管执法报告；知识产权政策文件</w:t>
            </w:r>
          </w:p>
        </w:tc>
      </w:tr>
      <w:tr>
        <w:tc>
          <w:tcPr>
            <w:tcW w:type="dxa" w:w="4317"/>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t>资料核查方式</w:t>
            </w:r>
          </w:p>
        </w:tc>
        <w:tc>
          <w:tcPr>
            <w:tcW w:type="dxa" w:w="4317"/>
            <w:vAlign w:val="center"/>
            <w:tcBorders>
              <w:left w:val="nil"/>
              <w:top w:val="nil"/>
              <w:right w:val="nil"/>
              <w:bottom w:val="single" w:sz="12" w:color="000000"/>
            </w:tcBorders>
          </w:tcPr>
          <w:p>
            <w:pPr>
              <w:spacing w:line="360" w:lineRule="auto"/>
              <w:jc w:val="left"/>
            </w:pPr>
            <w:r>
              <w:rPr>
                <w:rFonts w:ascii="宋体" w:hAnsi="宋体" w:eastAsia="宋体"/>
                <w:b w:val="0"/>
                <w:sz w:val="24"/>
              </w:rPr>
            </w:r>
            <w:r>
              <w:rPr>
                <w:rFonts w:ascii="宋体" w:hAnsi="宋体" w:eastAsia="宋体"/>
                <w:b w:val="0"/>
                <w:sz w:val="24"/>
              </w:rPr>
              <w:t>主题筛查；重复项剔除；来源核验；交叉比对；分类整理</w:t>
            </w:r>
          </w:p>
        </w:tc>
      </w:tr>
    </w:tbl>
    <w:p>
      <w:pPr>
        <w:spacing w:line="360" w:lineRule="auto"/>
        <w:jc w:val="left"/>
      </w:pPr>
      <w:r>
        <w:rPr>
          <w:rFonts w:ascii="宋体" w:hAnsi="宋体" w:eastAsia="宋体"/>
          <w:b w:val="0"/>
          <w:sz w:val="21"/>
        </w:rPr>
        <w:t>注：政府/法律数据主要用于研究论证与交叉验证，不纳入316条样本总量统计。</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