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Noto Sans CJK SC" w:cs="Noto Sans"/>
          <w:b/>
          <w:i w:val="0"/>
          <w:sz w:val="40"/>
        </w:rPr>
        <w:t>基于博弈论与多智能体通信的 AI Agent 虚拟股票市场实验平台</w:t>
      </w:r>
    </w:p>
    <w:p>
      <w:pPr>
        <w:jc w:val="center"/>
      </w:pPr>
      <w:r>
        <w:rPr>
          <w:rFonts w:ascii="Noto Sans" w:hAnsi="Noto Sans" w:eastAsia="Noto Sans CJK SC" w:cs="Noto Sans"/>
          <w:b/>
          <w:i w:val="0"/>
          <w:sz w:val="25"/>
        </w:rPr>
        <w:t>信息聚合、策略性聊天与约束 LLM 决策的课程项目报告（修改版）</w:t>
      </w:r>
    </w:p>
    <w:p>
      <w:pPr>
        <w:jc w:val="center"/>
      </w:pPr>
      <w:r>
        <w:rPr>
          <w:rFonts w:ascii="Noto Sans" w:hAnsi="Noto Sans" w:eastAsia="Noto Sans CJK SC" w:cs="Noto Sans"/>
          <w:b w:val="0"/>
          <w:i w:val="0"/>
          <w:sz w:val="20"/>
        </w:rPr>
        <w:t>项目类型：AI agent 经济行为仿真 / 多智能体博弈 / 虚拟股票市场 / 纸面交易实验</w:t>
      </w:r>
    </w:p>
    <w:p>
      <w:pPr>
        <w:jc w:val="center"/>
      </w:pPr>
      <w:r>
        <w:rPr>
          <w:rFonts w:ascii="Noto Sans" w:hAnsi="Noto Sans" w:eastAsia="Noto Sans CJK SC" w:cs="Noto Sans"/>
          <w:b w:val="0"/>
          <w:i w:val="0"/>
          <w:sz w:val="20"/>
        </w:rPr>
        <w:t>成果形式：研究报告 + Python 代码 + 数据处理脚本 + Streamlit 可视化展示平台</w:t>
      </w:r>
    </w:p>
    <w:p>
      <w:pPr>
        <w:jc w:val="center"/>
      </w:pPr>
      <w:r>
        <w:rPr>
          <w:rFonts w:ascii="Noto Sans" w:hAnsi="Noto Sans" w:eastAsia="Noto Sans CJK SC" w:cs="Noto Sans"/>
          <w:b w:val="0"/>
          <w:i w:val="0"/>
          <w:sz w:val="20"/>
        </w:rPr>
        <w:t>重要声明：所有交易均为模拟纸面交易，结果仅用于课程研究与方法展示，不构成投资建议。</w:t>
      </w:r>
    </w:p>
    <w:p/>
    <w:p>
      <w:pPr>
        <w:pStyle w:val="Heading1"/>
        <w:spacing w:before="200" w:after="120"/>
      </w:pPr>
      <w:r>
        <w:t>摘要</w:t>
      </w:r>
    </w:p>
    <w:p>
      <w:pPr>
        <w:spacing w:line="276" w:lineRule="auto" w:after="100"/>
        <w:ind w:firstLine="420"/>
      </w:pPr>
      <w:r>
        <w:rPr>
          <w:rFonts w:ascii="Noto Sans" w:hAnsi="Noto Sans" w:eastAsia="Noto Sans CJK SC" w:cs="Noto Sans"/>
          <w:b w:val="0"/>
          <w:i w:val="0"/>
          <w:sz w:val="21"/>
        </w:rPr>
        <w:t>本文在原有“多策略 AI agent 虚拟股票市场”项目基础上，将研究重心从单纯策略回测进一步改写为具有博弈论含义的多智能体信息互动实验。新的系统不只比较动量、均值回归、低波动和随机基准等 agent 的收益差异，还把 agent 明确定义为有限期随机博弈中的参与者：每个 agent 拥有私有信号、公开信息、风险偏好、通信策略和交易行动；它既可以买卖股票，也可以通过公聊、私聊和朋友圈式动态发布信息，影响其他 agent 的信念与组合选择。</w:t>
      </w:r>
    </w:p>
    <w:p>
      <w:pPr>
        <w:spacing w:line="276" w:lineRule="auto" w:after="100"/>
        <w:ind w:firstLine="420"/>
      </w:pPr>
      <w:r>
        <w:rPr>
          <w:rFonts w:ascii="Noto Sans" w:hAnsi="Noto Sans" w:eastAsia="Noto Sans CJK SC" w:cs="Noto Sans"/>
          <w:b w:val="0"/>
          <w:i w:val="0"/>
          <w:sz w:val="21"/>
        </w:rPr>
        <w:t>报告新增三类关键机制。第一，加入多频道聊天界面：公聊用于全体广播，私聊用于点对点信息传递，朋友圈用于半公开扩散；这些渠道使 cheap talk、选择性披露、声誉积累、信息不对称和群体跟随等博弈现象可以被观测。第二，为每个 agent 设计信息聚合函数：agent 将自身量化信号、LLM 文本判断、其他 agent 的消息、发送者声誉和消息可信度映射为预期收益向量，再通过 DeGroot 加权共识、Black-Litterman 观点融合或在线专家加权机制生成目标仓位。第三，引入约束 LLM 决策：LLM 只允许输出符合 JSON Schema 的结构化消息和组合建议，系统再执行风险约束、仓位约束、交易费用和反泄漏检查，以保证实验可复现、可审计。</w:t>
      </w:r>
    </w:p>
    <w:p>
      <w:pPr>
        <w:spacing w:line="276" w:lineRule="auto" w:after="100"/>
        <w:ind w:firstLine="420"/>
      </w:pPr>
      <w:r>
        <w:rPr>
          <w:rFonts w:ascii="Noto Sans" w:hAnsi="Noto Sans" w:eastAsia="Noto Sans CJK SC" w:cs="Noto Sans"/>
          <w:b w:val="0"/>
          <w:i w:val="0"/>
          <w:sz w:val="21"/>
        </w:rPr>
        <w:t>本项目的核心研究问题因此变为：在相同市场数据和资金约束下，通信是否提高团队绩效？私聊是否导致信息优势或策略性操纵？朋友圈式半公开传播是否加剧羊群效应？动态声誉加权是否优于简单委员会投票？约束 LLM 是否能在保留自然语言解释能力的同时提高交易系统的稳定性？通过该改写，项目的博弈论知识、金融 agent 文献和工程实现路径会更加清晰。</w:t>
      </w:r>
    </w:p>
    <w:p>
      <w:pPr>
        <w:spacing w:line="276" w:lineRule="auto" w:after="100"/>
        <w:ind w:firstLine="420"/>
      </w:pPr>
      <w:r>
        <w:rPr>
          <w:rFonts w:ascii="Noto Sans" w:hAnsi="Noto Sans" w:eastAsia="Noto Sans CJK SC" w:cs="Noto Sans"/>
          <w:b w:val="0"/>
          <w:i w:val="0"/>
          <w:sz w:val="21"/>
        </w:rPr>
        <w:t>关键词：博弈论；AI agent；多智能体仿真；虚拟股票市场；cheap talk；信息聚合；约束 LLM；量化金融 agent；纸面交易</w:t>
      </w:r>
    </w:p>
    <w:p>
      <w:pPr>
        <w:pStyle w:val="Heading1"/>
        <w:spacing w:before="200" w:after="120"/>
      </w:pPr>
      <w:r>
        <w:t>本次修改说明：从“策略回测项目”改为“博弈论通信实验项目”</w:t>
      </w:r>
    </w:p>
    <w:p>
      <w:pPr>
        <w:spacing w:line="276" w:lineRule="auto" w:after="100"/>
        <w:ind w:firstLine="420"/>
      </w:pPr>
      <w:r>
        <w:rPr>
          <w:rFonts w:ascii="Noto Sans" w:hAnsi="Noto Sans" w:eastAsia="Noto Sans CJK SC" w:cs="Noto Sans"/>
          <w:b w:val="0"/>
          <w:i w:val="0"/>
          <w:sz w:val="21"/>
        </w:rPr>
        <w:t>原报告已经具备真实股票数据、规则型 agent、团队型 agent、绩效指标和 Streamlit 展示平台等基础，因此本次修改不是推翻原设计，而是在其上增加“信息—互动—信念—行动—收益”的博弈论闭环。这样做可以让项目更像一个小型金融市场实验室：agent 不只是按照规则买卖，而是在通信网络中形成信念、影响他人、调整声誉并在风险约束下行动。</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757"/>
            <w:vAlign w:val="center"/>
            <w:shd w:fill="D9EAF7"/>
          </w:tcPr>
          <w:p>
            <w:pPr>
              <w:spacing w:after="0" w:line="252" w:lineRule="auto"/>
            </w:pPr>
            <w:r/>
            <w:r>
              <w:rPr>
                <w:rFonts w:ascii="Noto Sans" w:hAnsi="Noto Sans" w:eastAsia="Noto Sans CJK SC" w:cs="Noto Sans"/>
                <w:b/>
                <w:i w:val="0"/>
                <w:sz w:val="17"/>
              </w:rPr>
              <w:t>原报告模块</w:t>
            </w:r>
          </w:p>
        </w:tc>
        <w:tc>
          <w:tcPr>
            <w:tcW w:type="dxa" w:w="1814"/>
            <w:vAlign w:val="center"/>
            <w:shd w:fill="D9EAF7"/>
          </w:tcPr>
          <w:p>
            <w:pPr>
              <w:spacing w:after="0" w:line="252" w:lineRule="auto"/>
            </w:pPr>
            <w:r/>
            <w:r>
              <w:rPr>
                <w:rFonts w:ascii="Noto Sans" w:hAnsi="Noto Sans" w:eastAsia="Noto Sans CJK SC" w:cs="Noto Sans"/>
                <w:b/>
                <w:i w:val="0"/>
                <w:sz w:val="17"/>
              </w:rPr>
              <w:t>保留内容</w:t>
            </w:r>
          </w:p>
        </w:tc>
        <w:tc>
          <w:tcPr>
            <w:tcW w:type="dxa" w:w="2948"/>
            <w:vAlign w:val="center"/>
            <w:shd w:fill="D9EAF7"/>
          </w:tcPr>
          <w:p>
            <w:pPr>
              <w:spacing w:after="0" w:line="252" w:lineRule="auto"/>
            </w:pPr>
            <w:r/>
            <w:r>
              <w:rPr>
                <w:rFonts w:ascii="Noto Sans" w:hAnsi="Noto Sans" w:eastAsia="Noto Sans CJK SC" w:cs="Noto Sans"/>
                <w:b/>
                <w:i w:val="0"/>
                <w:sz w:val="17"/>
              </w:rPr>
              <w:t>本次增强方向</w:t>
            </w:r>
          </w:p>
        </w:tc>
        <w:tc>
          <w:tcPr>
            <w:tcW w:type="dxa" w:w="2551"/>
            <w:vAlign w:val="center"/>
            <w:shd w:fill="D9EAF7"/>
          </w:tcPr>
          <w:p>
            <w:pPr>
              <w:spacing w:after="0" w:line="252" w:lineRule="auto"/>
            </w:pPr>
            <w:r/>
            <w:r>
              <w:rPr>
                <w:rFonts w:ascii="Noto Sans" w:hAnsi="Noto Sans" w:eastAsia="Noto Sans CJK SC" w:cs="Noto Sans"/>
                <w:b/>
                <w:i w:val="0"/>
                <w:sz w:val="17"/>
              </w:rPr>
              <w:t>博弈论含义</w:t>
            </w:r>
          </w:p>
        </w:tc>
      </w:tr>
      <w:tr>
        <w:tc>
          <w:tcPr>
            <w:tcW w:type="dxa" w:w="1757"/>
            <w:vAlign w:val="center"/>
          </w:tcPr>
          <w:p>
            <w:pPr>
              <w:spacing w:after="0" w:line="252" w:lineRule="auto"/>
            </w:pPr>
            <w:r/>
            <w:r>
              <w:rPr>
                <w:rFonts w:ascii="Noto Sans" w:hAnsi="Noto Sans" w:eastAsia="Noto Sans CJK SC" w:cs="Noto Sans"/>
                <w:b w:val="0"/>
                <w:i w:val="0"/>
                <w:sz w:val="17"/>
              </w:rPr>
              <w:t>数据层</w:t>
            </w:r>
          </w:p>
        </w:tc>
        <w:tc>
          <w:tcPr>
            <w:tcW w:type="dxa" w:w="1814"/>
            <w:vAlign w:val="center"/>
          </w:tcPr>
          <w:p>
            <w:pPr>
              <w:spacing w:after="0" w:line="252" w:lineRule="auto"/>
            </w:pPr>
            <w:r/>
            <w:r>
              <w:rPr>
                <w:rFonts w:ascii="Noto Sans" w:hAnsi="Noto Sans" w:eastAsia="Noto Sans CJK SC" w:cs="Noto Sans"/>
                <w:b w:val="0"/>
                <w:i w:val="0"/>
                <w:sz w:val="17"/>
              </w:rPr>
              <w:t>股票日频价格、成交量、纸面资金</w:t>
            </w:r>
          </w:p>
        </w:tc>
        <w:tc>
          <w:tcPr>
            <w:tcW w:type="dxa" w:w="2948"/>
            <w:vAlign w:val="center"/>
          </w:tcPr>
          <w:p>
            <w:pPr>
              <w:spacing w:after="0" w:line="252" w:lineRule="auto"/>
            </w:pPr>
            <w:r/>
            <w:r>
              <w:rPr>
                <w:rFonts w:ascii="Noto Sans" w:hAnsi="Noto Sans" w:eastAsia="Noto Sans CJK SC" w:cs="Noto Sans"/>
                <w:b w:val="0"/>
                <w:i w:val="0"/>
                <w:sz w:val="17"/>
              </w:rPr>
              <w:t>增加新闻/事件文本接口与消息日志</w:t>
            </w:r>
          </w:p>
        </w:tc>
        <w:tc>
          <w:tcPr>
            <w:tcW w:type="dxa" w:w="2551"/>
            <w:vAlign w:val="center"/>
          </w:tcPr>
          <w:p>
            <w:pPr>
              <w:spacing w:after="0" w:line="252" w:lineRule="auto"/>
            </w:pPr>
            <w:r/>
            <w:r>
              <w:rPr>
                <w:rFonts w:ascii="Noto Sans" w:hAnsi="Noto Sans" w:eastAsia="Noto Sans CJK SC" w:cs="Noto Sans"/>
                <w:b w:val="0"/>
                <w:i w:val="0"/>
                <w:sz w:val="17"/>
              </w:rPr>
              <w:t>公共状态与私有信号共同决定博弈状态</w:t>
            </w:r>
          </w:p>
        </w:tc>
      </w:tr>
      <w:tr>
        <w:tc>
          <w:tcPr>
            <w:tcW w:type="dxa" w:w="1757"/>
            <w:vAlign w:val="center"/>
          </w:tcPr>
          <w:p>
            <w:pPr>
              <w:spacing w:after="0" w:line="252" w:lineRule="auto"/>
            </w:pPr>
            <w:r/>
            <w:r>
              <w:rPr>
                <w:rFonts w:ascii="Noto Sans" w:hAnsi="Noto Sans" w:eastAsia="Noto Sans CJK SC" w:cs="Noto Sans"/>
                <w:b w:val="0"/>
                <w:i w:val="0"/>
                <w:sz w:val="17"/>
              </w:rPr>
              <w:t>Agent 层</w:t>
            </w:r>
          </w:p>
        </w:tc>
        <w:tc>
          <w:tcPr>
            <w:tcW w:type="dxa" w:w="1814"/>
            <w:vAlign w:val="center"/>
          </w:tcPr>
          <w:p>
            <w:pPr>
              <w:spacing w:after="0" w:line="252" w:lineRule="auto"/>
            </w:pPr>
            <w:r/>
            <w:r>
              <w:rPr>
                <w:rFonts w:ascii="Noto Sans" w:hAnsi="Noto Sans" w:eastAsia="Noto Sans CJK SC" w:cs="Noto Sans"/>
                <w:b w:val="0"/>
                <w:i w:val="0"/>
                <w:sz w:val="17"/>
              </w:rPr>
              <w:t>动量、均值回归、低波动、逢低、随机、团队型</w:t>
            </w:r>
          </w:p>
        </w:tc>
        <w:tc>
          <w:tcPr>
            <w:tcW w:type="dxa" w:w="2948"/>
            <w:vAlign w:val="center"/>
          </w:tcPr>
          <w:p>
            <w:pPr>
              <w:spacing w:after="0" w:line="252" w:lineRule="auto"/>
            </w:pPr>
            <w:r/>
            <w:r>
              <w:rPr>
                <w:rFonts w:ascii="Noto Sans" w:hAnsi="Noto Sans" w:eastAsia="Noto Sans CJK SC" w:cs="Noto Sans"/>
                <w:b w:val="0"/>
                <w:i w:val="0"/>
                <w:sz w:val="17"/>
              </w:rPr>
              <w:t>增加沟通策略、声誉、信念更新、LLM 解释</w:t>
            </w:r>
          </w:p>
        </w:tc>
        <w:tc>
          <w:tcPr>
            <w:tcW w:type="dxa" w:w="2551"/>
            <w:vAlign w:val="center"/>
          </w:tcPr>
          <w:p>
            <w:pPr>
              <w:spacing w:after="0" w:line="252" w:lineRule="auto"/>
            </w:pPr>
            <w:r/>
            <w:r>
              <w:rPr>
                <w:rFonts w:ascii="Noto Sans" w:hAnsi="Noto Sans" w:eastAsia="Noto Sans CJK SC" w:cs="Noto Sans"/>
                <w:b w:val="0"/>
                <w:i w:val="0"/>
                <w:sz w:val="17"/>
              </w:rPr>
              <w:t>参与者具有异质偏好、信息集和策略空间</w:t>
            </w:r>
          </w:p>
        </w:tc>
      </w:tr>
      <w:tr>
        <w:tc>
          <w:tcPr>
            <w:tcW w:type="dxa" w:w="1757"/>
            <w:vAlign w:val="center"/>
          </w:tcPr>
          <w:p>
            <w:pPr>
              <w:spacing w:after="0" w:line="252" w:lineRule="auto"/>
            </w:pPr>
            <w:r/>
            <w:r>
              <w:rPr>
                <w:rFonts w:ascii="Noto Sans" w:hAnsi="Noto Sans" w:eastAsia="Noto Sans CJK SC" w:cs="Noto Sans"/>
                <w:b w:val="0"/>
                <w:i w:val="0"/>
                <w:sz w:val="17"/>
              </w:rPr>
              <w:t>团队层</w:t>
            </w:r>
          </w:p>
        </w:tc>
        <w:tc>
          <w:tcPr>
            <w:tcW w:type="dxa" w:w="1814"/>
            <w:vAlign w:val="center"/>
          </w:tcPr>
          <w:p>
            <w:pPr>
              <w:spacing w:after="0" w:line="252" w:lineRule="auto"/>
            </w:pPr>
            <w:r/>
            <w:r>
              <w:rPr>
                <w:rFonts w:ascii="Noto Sans" w:hAnsi="Noto Sans" w:eastAsia="Noto Sans CJK SC" w:cs="Noto Sans"/>
                <w:b w:val="0"/>
                <w:i w:val="0"/>
                <w:sz w:val="17"/>
              </w:rPr>
              <w:t>委员会平均、动态团队权重</w:t>
            </w:r>
          </w:p>
        </w:tc>
        <w:tc>
          <w:tcPr>
            <w:tcW w:type="dxa" w:w="2948"/>
            <w:vAlign w:val="center"/>
          </w:tcPr>
          <w:p>
            <w:pPr>
              <w:spacing w:after="0" w:line="252" w:lineRule="auto"/>
            </w:pPr>
            <w:r/>
            <w:r>
              <w:rPr>
                <w:rFonts w:ascii="Noto Sans" w:hAnsi="Noto Sans" w:eastAsia="Noto Sans CJK SC" w:cs="Noto Sans"/>
                <w:b w:val="0"/>
                <w:i w:val="0"/>
                <w:sz w:val="17"/>
              </w:rPr>
              <w:t>增加公聊/私聊/朋友圈和信息聚合函数</w:t>
            </w:r>
          </w:p>
        </w:tc>
        <w:tc>
          <w:tcPr>
            <w:tcW w:type="dxa" w:w="2551"/>
            <w:vAlign w:val="center"/>
          </w:tcPr>
          <w:p>
            <w:pPr>
              <w:spacing w:after="0" w:line="252" w:lineRule="auto"/>
            </w:pPr>
            <w:r/>
            <w:r>
              <w:rPr>
                <w:rFonts w:ascii="Noto Sans" w:hAnsi="Noto Sans" w:eastAsia="Noto Sans CJK SC" w:cs="Noto Sans"/>
                <w:b w:val="0"/>
                <w:i w:val="0"/>
                <w:sz w:val="17"/>
              </w:rPr>
              <w:t>从投票机制扩展为信息传递与组织决策博弈</w:t>
            </w:r>
          </w:p>
        </w:tc>
      </w:tr>
      <w:tr>
        <w:tc>
          <w:tcPr>
            <w:tcW w:type="dxa" w:w="1757"/>
            <w:vAlign w:val="center"/>
          </w:tcPr>
          <w:p>
            <w:pPr>
              <w:spacing w:after="0" w:line="252" w:lineRule="auto"/>
            </w:pPr>
            <w:r/>
            <w:r>
              <w:rPr>
                <w:rFonts w:ascii="Noto Sans" w:hAnsi="Noto Sans" w:eastAsia="Noto Sans CJK SC" w:cs="Noto Sans"/>
                <w:b w:val="0"/>
                <w:i w:val="0"/>
                <w:sz w:val="17"/>
              </w:rPr>
              <w:t>交易层</w:t>
            </w:r>
          </w:p>
        </w:tc>
        <w:tc>
          <w:tcPr>
            <w:tcW w:type="dxa" w:w="1814"/>
            <w:vAlign w:val="center"/>
          </w:tcPr>
          <w:p>
            <w:pPr>
              <w:spacing w:after="0" w:line="252" w:lineRule="auto"/>
            </w:pPr>
            <w:r/>
            <w:r>
              <w:rPr>
                <w:rFonts w:ascii="Noto Sans" w:hAnsi="Noto Sans" w:eastAsia="Noto Sans CJK SC" w:cs="Noto Sans"/>
                <w:b w:val="0"/>
                <w:i w:val="0"/>
                <w:sz w:val="17"/>
              </w:rPr>
              <w:t>再平衡、交易费、仓位上限</w:t>
            </w:r>
          </w:p>
        </w:tc>
        <w:tc>
          <w:tcPr>
            <w:tcW w:type="dxa" w:w="2948"/>
            <w:vAlign w:val="center"/>
          </w:tcPr>
          <w:p>
            <w:pPr>
              <w:spacing w:after="0" w:line="252" w:lineRule="auto"/>
            </w:pPr>
            <w:r/>
            <w:r>
              <w:rPr>
                <w:rFonts w:ascii="Noto Sans" w:hAnsi="Noto Sans" w:eastAsia="Noto Sans CJK SC" w:cs="Noto Sans"/>
                <w:b w:val="0"/>
                <w:i w:val="0"/>
                <w:sz w:val="17"/>
              </w:rPr>
              <w:t>加入约束 LLM 输出、风险审查和反泄漏验证</w:t>
            </w:r>
          </w:p>
        </w:tc>
        <w:tc>
          <w:tcPr>
            <w:tcW w:type="dxa" w:w="2551"/>
            <w:vAlign w:val="center"/>
          </w:tcPr>
          <w:p>
            <w:pPr>
              <w:spacing w:after="0" w:line="252" w:lineRule="auto"/>
            </w:pPr>
            <w:r/>
            <w:r>
              <w:rPr>
                <w:rFonts w:ascii="Noto Sans" w:hAnsi="Noto Sans" w:eastAsia="Noto Sans CJK SC" w:cs="Noto Sans"/>
                <w:b w:val="0"/>
                <w:i w:val="0"/>
                <w:sz w:val="17"/>
              </w:rPr>
              <w:t>行动空间受预算、风险和制度约束限制</w:t>
            </w:r>
          </w:p>
        </w:tc>
      </w:tr>
      <w:tr>
        <w:tc>
          <w:tcPr>
            <w:tcW w:type="dxa" w:w="1757"/>
            <w:vAlign w:val="center"/>
          </w:tcPr>
          <w:p>
            <w:pPr>
              <w:spacing w:after="0" w:line="252" w:lineRule="auto"/>
            </w:pPr>
            <w:r/>
            <w:r>
              <w:rPr>
                <w:rFonts w:ascii="Noto Sans" w:hAnsi="Noto Sans" w:eastAsia="Noto Sans CJK SC" w:cs="Noto Sans"/>
                <w:b w:val="0"/>
                <w:i w:val="0"/>
                <w:sz w:val="17"/>
              </w:rPr>
              <w:t>评价层</w:t>
            </w:r>
          </w:p>
        </w:tc>
        <w:tc>
          <w:tcPr>
            <w:tcW w:type="dxa" w:w="1814"/>
            <w:vAlign w:val="center"/>
          </w:tcPr>
          <w:p>
            <w:pPr>
              <w:spacing w:after="0" w:line="252" w:lineRule="auto"/>
            </w:pPr>
            <w:r/>
            <w:r>
              <w:rPr>
                <w:rFonts w:ascii="Noto Sans" w:hAnsi="Noto Sans" w:eastAsia="Noto Sans CJK SC" w:cs="Noto Sans"/>
                <w:b w:val="0"/>
                <w:i w:val="0"/>
                <w:sz w:val="17"/>
              </w:rPr>
              <w:t>收益率、夏普、回撤、交易次数</w:t>
            </w:r>
          </w:p>
        </w:tc>
        <w:tc>
          <w:tcPr>
            <w:tcW w:type="dxa" w:w="2948"/>
            <w:vAlign w:val="center"/>
          </w:tcPr>
          <w:p>
            <w:pPr>
              <w:spacing w:after="0" w:line="252" w:lineRule="auto"/>
            </w:pPr>
            <w:r/>
            <w:r>
              <w:rPr>
                <w:rFonts w:ascii="Noto Sans" w:hAnsi="Noto Sans" w:eastAsia="Noto Sans CJK SC" w:cs="Noto Sans"/>
                <w:b w:val="0"/>
                <w:i w:val="0"/>
                <w:sz w:val="17"/>
              </w:rPr>
              <w:t>增加影响力、可信度、羊群效应、信息扩散速度</w:t>
            </w:r>
          </w:p>
        </w:tc>
        <w:tc>
          <w:tcPr>
            <w:tcW w:type="dxa" w:w="2551"/>
            <w:vAlign w:val="center"/>
          </w:tcPr>
          <w:p>
            <w:pPr>
              <w:spacing w:after="0" w:line="252" w:lineRule="auto"/>
            </w:pPr>
            <w:r/>
            <w:r>
              <w:rPr>
                <w:rFonts w:ascii="Noto Sans" w:hAnsi="Noto Sans" w:eastAsia="Noto Sans CJK SC" w:cs="Noto Sans"/>
                <w:b w:val="0"/>
                <w:i w:val="0"/>
                <w:sz w:val="17"/>
              </w:rPr>
              <w:t>同时评价金融收益与策略互动结果</w:t>
            </w:r>
          </w:p>
        </w:tc>
      </w:tr>
      <w:tr>
        <w:tc>
          <w:tcPr>
            <w:tcW w:type="dxa" w:w="1757"/>
            <w:vAlign w:val="center"/>
          </w:tcPr>
          <w:p>
            <w:pPr>
              <w:spacing w:after="0" w:line="252" w:lineRule="auto"/>
            </w:pPr>
            <w:r/>
            <w:r>
              <w:rPr>
                <w:rFonts w:ascii="Noto Sans" w:hAnsi="Noto Sans" w:eastAsia="Noto Sans CJK SC" w:cs="Noto Sans"/>
                <w:b w:val="0"/>
                <w:i w:val="0"/>
                <w:sz w:val="17"/>
              </w:rPr>
              <w:t>展示层</w:t>
            </w:r>
          </w:p>
        </w:tc>
        <w:tc>
          <w:tcPr>
            <w:tcW w:type="dxa" w:w="1814"/>
            <w:vAlign w:val="center"/>
          </w:tcPr>
          <w:p>
            <w:pPr>
              <w:spacing w:after="0" w:line="252" w:lineRule="auto"/>
            </w:pPr>
            <w:r/>
            <w:r>
              <w:rPr>
                <w:rFonts w:ascii="Noto Sans" w:hAnsi="Noto Sans" w:eastAsia="Noto Sans CJK SC" w:cs="Noto Sans"/>
                <w:b w:val="0"/>
                <w:i w:val="0"/>
                <w:sz w:val="17"/>
              </w:rPr>
              <w:t>资金曲线、绩效表、交易记录</w:t>
            </w:r>
          </w:p>
        </w:tc>
        <w:tc>
          <w:tcPr>
            <w:tcW w:type="dxa" w:w="2948"/>
            <w:vAlign w:val="center"/>
          </w:tcPr>
          <w:p>
            <w:pPr>
              <w:spacing w:after="0" w:line="252" w:lineRule="auto"/>
            </w:pPr>
            <w:r/>
            <w:r>
              <w:rPr>
                <w:rFonts w:ascii="Noto Sans" w:hAnsi="Noto Sans" w:eastAsia="Noto Sans CJK SC" w:cs="Noto Sans"/>
                <w:b w:val="0"/>
                <w:i w:val="0"/>
                <w:sz w:val="17"/>
              </w:rPr>
              <w:t>增加聊天界面、社交网络图、消息-交易联动视图</w:t>
            </w:r>
          </w:p>
        </w:tc>
        <w:tc>
          <w:tcPr>
            <w:tcW w:type="dxa" w:w="2551"/>
            <w:vAlign w:val="center"/>
          </w:tcPr>
          <w:p>
            <w:pPr>
              <w:spacing w:after="0" w:line="252" w:lineRule="auto"/>
            </w:pPr>
            <w:r/>
            <w:r>
              <w:rPr>
                <w:rFonts w:ascii="Noto Sans" w:hAnsi="Noto Sans" w:eastAsia="Noto Sans CJK SC" w:cs="Noto Sans"/>
                <w:b w:val="0"/>
                <w:i w:val="0"/>
                <w:sz w:val="17"/>
              </w:rPr>
              <w:t>直观看到信息如何改变信念和行动</w:t>
            </w:r>
          </w:p>
        </w:tc>
      </w:tr>
    </w:tbl>
    <w:p/>
    <w:p>
      <w:pPr>
        <w:pStyle w:val="Heading1"/>
        <w:spacing w:before="200" w:after="120"/>
      </w:pPr>
      <w:r>
        <w:t>1 研究背景与项目定位</w:t>
      </w:r>
    </w:p>
    <w:p>
      <w:pPr>
        <w:spacing w:line="276" w:lineRule="auto" w:after="100"/>
        <w:ind w:firstLine="420"/>
      </w:pPr>
      <w:r>
        <w:rPr>
          <w:rFonts w:ascii="Noto Sans" w:hAnsi="Noto Sans" w:eastAsia="Noto Sans CJK SC" w:cs="Noto Sans"/>
          <w:b w:val="0"/>
          <w:i w:val="0"/>
          <w:sz w:val="21"/>
        </w:rPr>
        <w:t>金融市场天然具有博弈论属性。交易者面对同一价格序列，但拥有不同信息、不同风险承受能力和不同目标函数；他们的交易和发言不仅反映自身判断，也可能影响他人的判断。传统回测通常把策略视为固定函数，即“输入历史价格，输出仓位”。本项目则进一步把策略主体视为 agent：它们观察市场、解释信息、与其他 agent 交流、聚合信号、形成信念并执行交易。</w:t>
      </w:r>
    </w:p>
    <w:p>
      <w:pPr>
        <w:spacing w:line="276" w:lineRule="auto" w:after="100"/>
        <w:ind w:firstLine="420"/>
      </w:pPr>
      <w:r>
        <w:rPr>
          <w:rFonts w:ascii="Noto Sans" w:hAnsi="Noto Sans" w:eastAsia="Noto Sans CJK SC" w:cs="Noto Sans"/>
          <w:b w:val="0"/>
          <w:i w:val="0"/>
          <w:sz w:val="21"/>
        </w:rPr>
        <w:t>这种定位与 agent-based computational economics 一致。ACE 强调从自治主体的互动出发研究经济系统，而不是把市场简化为一个代表性个体 [R1]。Gode 和 Sunder 的零智能交易者研究进一步说明，即使主体规则很简单，只要市场机制和预算约束明确，市场也可能出现可分析的宏观结果 [R2]。因此，本项目可以先从可复现的规则型 agent 开始，再逐步加入 LLM agent 和通信机制。</w:t>
      </w:r>
    </w:p>
    <w:p>
      <w:pPr>
        <w:spacing w:line="276" w:lineRule="auto" w:after="100"/>
        <w:ind w:firstLine="420"/>
      </w:pPr>
      <w:r>
        <w:rPr>
          <w:rFonts w:ascii="Noto Sans" w:hAnsi="Noto Sans" w:eastAsia="Noto Sans CJK SC" w:cs="Noto Sans"/>
          <w:b w:val="0"/>
          <w:i w:val="0"/>
          <w:sz w:val="21"/>
        </w:rPr>
        <w:t>与普通舆情分析相比，本项目的研究对象不是“人类社交媒体评论如何预测股价”，而是“AI agent 如何在虚拟金融市场中战略性地使用信息”。公聊、私聊和朋友圈式动态会让信息在 agent 网络中扩散，同时也会带来选择性披露、误导、跟随、声誉和信任问题。于是项目不再只是一个量化策略比较，而是一个可计算的金融信息博弈。</w:t>
      </w:r>
    </w:p>
    <w:p>
      <w:pPr>
        <w:pStyle w:val="Heading1"/>
        <w:spacing w:before="200" w:after="120"/>
      </w:pPr>
      <w:r>
        <w:t>2 文献与理论基础</w:t>
      </w:r>
    </w:p>
    <w:p>
      <w:pPr>
        <w:pStyle w:val="Heading2"/>
        <w:spacing w:before="160" w:after="80"/>
      </w:pPr>
      <w:r>
        <w:t>2.1 多智能体经济学与零智能市场</w:t>
      </w:r>
    </w:p>
    <w:p>
      <w:pPr>
        <w:spacing w:line="276" w:lineRule="auto" w:after="100"/>
        <w:ind w:firstLine="420"/>
      </w:pPr>
      <w:r>
        <w:rPr>
          <w:rFonts w:ascii="Noto Sans" w:hAnsi="Noto Sans" w:eastAsia="Noto Sans CJK SC" w:cs="Noto Sans"/>
          <w:b w:val="0"/>
          <w:i w:val="0"/>
          <w:sz w:val="21"/>
        </w:rPr>
        <w:t>多智能体经济学强调底层主体、互动规则和宏观结果之间的生成关系。与代表性个体模型相比，它更适合表达异质性、局部信息、有限理性、学习和制度变化。对本项目而言，市场价格是外部给定的历史环境，但 agent 的组合净值、交易记录、消息网络和团队决策是仿真生成的。</w:t>
      </w:r>
    </w:p>
    <w:p>
      <w:pPr>
        <w:spacing w:line="276" w:lineRule="auto" w:after="100"/>
        <w:ind w:firstLine="420"/>
      </w:pPr>
      <w:r>
        <w:rPr>
          <w:rFonts w:ascii="Noto Sans" w:hAnsi="Noto Sans" w:eastAsia="Noto Sans CJK SC" w:cs="Noto Sans"/>
          <w:b w:val="0"/>
          <w:i w:val="0"/>
          <w:sz w:val="21"/>
        </w:rPr>
        <w:t>零智能交易者实验的启发在于：课程项目不必一开始就构造完全真实的人类交易者。只要明确约束、行动和评价指标，简单 agent 也能产生可比较的行为结果 [R2]。因此，项目采用“规则型 agent 保底、LLM agent 扩展、通信博弈增强”的路线。</w:t>
      </w:r>
    </w:p>
    <w:p>
      <w:pPr>
        <w:pStyle w:val="Heading2"/>
        <w:spacing w:before="160" w:after="80"/>
      </w:pPr>
      <w:r>
        <w:t>2.2 LLM 作为经济主体与生成式 agent</w:t>
      </w:r>
    </w:p>
    <w:p>
      <w:pPr>
        <w:spacing w:line="276" w:lineRule="auto" w:after="100"/>
        <w:ind w:firstLine="420"/>
      </w:pPr>
      <w:r>
        <w:rPr>
          <w:rFonts w:ascii="Noto Sans" w:hAnsi="Noto Sans" w:eastAsia="Noto Sans CJK SC" w:cs="Noto Sans"/>
          <w:b w:val="0"/>
          <w:i w:val="0"/>
          <w:sz w:val="21"/>
        </w:rPr>
        <w:t>Horton 提出可以把大语言模型视作模拟经济主体使用：给定资源、信息、偏好和情境后，观察其在经济场景中的行为输出 [R9]。Park 等人的 generative agents 则展示了 agent 可以拥有记忆、反思和计划能力，并通过自然语言互动产生社会行为 [R10]。本项目吸收这一路线，但把场景从日常社会模拟改为虚拟股票市场。</w:t>
      </w:r>
    </w:p>
    <w:p>
      <w:pPr>
        <w:spacing w:line="276" w:lineRule="auto" w:after="100"/>
        <w:ind w:firstLine="420"/>
      </w:pPr>
      <w:r>
        <w:rPr>
          <w:rFonts w:ascii="Noto Sans" w:hAnsi="Noto Sans" w:eastAsia="Noto Sans CJK SC" w:cs="Noto Sans"/>
          <w:b w:val="0"/>
          <w:i w:val="0"/>
          <w:sz w:val="21"/>
        </w:rPr>
        <w:t>在工程层面，多 agent 对话框架为本项目提供实现参考。CAMEL 使用角色扮演研究沟通 agent 的协作能力 [R11]；AutoGen 将多个可对话 agent 组合成可编程的任务求解系统 [R12]。这些工作启发本项目把“交易团队”设计为一组可以讨论、争论、发布动态并接受风险管理约束的 agent。</w:t>
      </w:r>
    </w:p>
    <w:p>
      <w:pPr>
        <w:pStyle w:val="Heading2"/>
        <w:spacing w:before="160" w:after="80"/>
      </w:pPr>
      <w:r>
        <w:t>2.3 量化金融与 LLM agent 文献</w:t>
      </w:r>
    </w:p>
    <w:p>
      <w:pPr>
        <w:spacing w:line="276" w:lineRule="auto" w:after="100"/>
        <w:ind w:firstLine="420"/>
      </w:pPr>
      <w:r>
        <w:rPr>
          <w:rFonts w:ascii="Noto Sans" w:hAnsi="Noto Sans" w:eastAsia="Noto Sans CJK SC" w:cs="Noto Sans"/>
          <w:b w:val="0"/>
          <w:i w:val="0"/>
          <w:sz w:val="21"/>
        </w:rPr>
        <w:t>近期金融 agent 研究已经从单一文本情绪分析走向交易仿真和投资团队模拟。StockAgent 使用 LLM 驱动的多 agent 系统模拟投资者在接近真实市场条件下的交易行为，并关注宏观、政策、公司基本面和全球事件等外部因素 [R13]。TradingAgents 进一步把金融机构中的基本面分析、情绪分析、技术分析、牛熊研究员、交易员和风险管理等角色组织成多 agent 框架 [R14]。</w:t>
      </w:r>
    </w:p>
    <w:p>
      <w:pPr>
        <w:spacing w:line="276" w:lineRule="auto" w:after="100"/>
        <w:ind w:firstLine="420"/>
      </w:pPr>
      <w:r>
        <w:rPr>
          <w:rFonts w:ascii="Noto Sans" w:hAnsi="Noto Sans" w:eastAsia="Noto Sans CJK SC" w:cs="Noto Sans"/>
          <w:b w:val="0"/>
          <w:i w:val="0"/>
          <w:sz w:val="21"/>
        </w:rPr>
        <w:t>金融交易 agent 综述指出，LLM trading agents 的常见问题包括数据输入、回测设置、工具使用、可解释性、稳定性和未来信息泄漏 [R15]。CryptoTrade 在加密货币交易中引入反思机制，用过去交易结果修正每日决策 [R16]；LLMFactor 使用提示流程从新闻中抽取与股价变化更直接相关的因子 [R17]；AlphaAgents 和 ContestTrade 则分别探索角色化投资团队与内部竞赛/排名机制 [R18][R19]。本项目不直接复制这些系统，而是提取其中与课程可实现性相关的思想：角色分工、沟通、反思、团队聚合和风险审查。</w:t>
      </w:r>
    </w:p>
    <w:p>
      <w:pPr>
        <w:pStyle w:val="Heading2"/>
        <w:spacing w:before="160" w:after="80"/>
      </w:pPr>
      <w:r>
        <w:t>2.4 博弈论通信：cheap talk、劝说与共识</w:t>
      </w:r>
    </w:p>
    <w:p>
      <w:pPr>
        <w:spacing w:line="276" w:lineRule="auto" w:after="100"/>
        <w:ind w:firstLine="420"/>
      </w:pPr>
      <w:r>
        <w:rPr>
          <w:rFonts w:ascii="Noto Sans" w:hAnsi="Noto Sans" w:eastAsia="Noto Sans CJK SC" w:cs="Noto Sans"/>
          <w:b w:val="0"/>
          <w:i w:val="0"/>
          <w:sz w:val="21"/>
        </w:rPr>
        <w:t>如果 agent 可以聊天，聊天本身就是策略空间的一部分。Crawford 和 Sobel 的 cheap talk 模型说明，当发送者和接收者目标不完全一致时，低成本信息传递不一定完全可信，消息可能只部分揭示真实信号 [R4]。Kamenica 和 Gentzkow 的 Bayesian persuasion 则强调发送者可以设计信号结构，使接收者在更新信念后采取有利于发送者的行动 [R5]。</w:t>
      </w:r>
    </w:p>
    <w:p>
      <w:pPr>
        <w:spacing w:line="276" w:lineRule="auto" w:after="100"/>
        <w:ind w:firstLine="420"/>
      </w:pPr>
      <w:r>
        <w:rPr>
          <w:rFonts w:ascii="Noto Sans" w:hAnsi="Noto Sans" w:eastAsia="Noto Sans CJK SC" w:cs="Noto Sans"/>
          <w:b w:val="0"/>
          <w:i w:val="0"/>
          <w:sz w:val="21"/>
        </w:rPr>
        <w:t>本项目中的公聊、私聊和朋友圈可以对应不同信息结构：公聊是公开 cheap talk，私聊允许选择性披露，朋友圈是半公开但带社交影响的信号渠道。接收方并不简单相信消息，而是根据发送者历史准确率、置信度、证据质量和利益冲突进行加权。DeGroot 共识模型提供了一个可计算的信念更新方式：agent 反复对自己和邻居的意见做加权平均，最终可能形成共识 [R3]。</w:t>
      </w:r>
    </w:p>
    <w:p>
      <w:pPr>
        <w:pStyle w:val="Heading2"/>
        <w:spacing w:before="160" w:after="80"/>
      </w:pPr>
      <w:r>
        <w:t>2.5 信息聚合、观点融合与约束 LLM</w:t>
      </w:r>
    </w:p>
    <w:p>
      <w:pPr>
        <w:spacing w:line="276" w:lineRule="auto" w:after="100"/>
        <w:ind w:firstLine="420"/>
      </w:pPr>
      <w:r>
        <w:rPr>
          <w:rFonts w:ascii="Noto Sans" w:hAnsi="Noto Sans" w:eastAsia="Noto Sans CJK SC" w:cs="Noto Sans"/>
          <w:b w:val="0"/>
          <w:i w:val="0"/>
          <w:sz w:val="21"/>
        </w:rPr>
        <w:t>金融团队常常需要把多个观点合成可交易组合。Black-Litterman 模型从市场均衡先验出发，将投资者观点和置信度融合为后验预期收益 [R6]，适合作为“团队把多个 agent 观点转化为组合权重”的数学工具。在线专家加权和 Hedge 思想则适合动态调整 agent 话语权：过去表现更好、校准更稳定的 agent 在后续拥有更高权重 [R7][R8]。</w:t>
      </w:r>
    </w:p>
    <w:p>
      <w:pPr>
        <w:spacing w:line="276" w:lineRule="auto" w:after="100"/>
        <w:ind w:firstLine="420"/>
      </w:pPr>
      <w:r>
        <w:rPr>
          <w:rFonts w:ascii="Noto Sans" w:hAnsi="Noto Sans" w:eastAsia="Noto Sans CJK SC" w:cs="Noto Sans"/>
          <w:b w:val="0"/>
          <w:i w:val="0"/>
          <w:sz w:val="21"/>
        </w:rPr>
        <w:t>LLM agent 的自然语言输出存在格式不稳定、遗漏字段和违反约束等问题，因此本项目建议使用约束生成或结构化输出。LMQL 将提示、控制流和输出约束结合起来 [R20]；后续 constrained generation 研究强调约束必须与 tokenizer 和子词空间正确对齐 [R21]；JSONSchemaBench 则把 JSON Schema 作为结构化输出评测的重要对象 [R22]。本项目据此要求每个 LLM agent 的消息、观点和交易建议都必须通过 schema 验证，再进入仿真。</w:t>
      </w:r>
    </w:p>
    <w:p>
      <w:pPr>
        <w:pStyle w:val="Heading1"/>
        <w:spacing w:before="200" w:after="120"/>
      </w:pPr>
      <w:r>
        <w:t>3 研究问题与可检验假设</w:t>
      </w:r>
    </w:p>
    <w:p>
      <w:pPr>
        <w:spacing w:line="276" w:lineRule="auto" w:after="100"/>
        <w:ind w:firstLine="420"/>
      </w:pPr>
      <w:r>
        <w:rPr>
          <w:rFonts w:ascii="Noto Sans" w:hAnsi="Noto Sans" w:eastAsia="Noto Sans CJK SC" w:cs="Noto Sans"/>
          <w:b w:val="0"/>
          <w:i w:val="0"/>
          <w:sz w:val="21"/>
        </w:rPr>
        <w:t>新的研究问题不再局限于“哪个策略收益高”，而是围绕信息结构和组织机制展开。项目应设置若干可对照实验，让公聊、私聊、朋友圈、信息聚合公式和约束 LLM 的作用能够被量化。</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680"/>
            <w:vAlign w:val="center"/>
            <w:shd w:fill="D9EAF7"/>
          </w:tcPr>
          <w:p>
            <w:pPr>
              <w:spacing w:after="0" w:line="252" w:lineRule="auto"/>
            </w:pPr>
            <w:r/>
            <w:r>
              <w:rPr>
                <w:rFonts w:ascii="Noto Sans" w:hAnsi="Noto Sans" w:eastAsia="Noto Sans CJK SC" w:cs="Noto Sans"/>
                <w:b/>
                <w:i w:val="0"/>
                <w:sz w:val="17"/>
              </w:rPr>
              <w:t>编号</w:t>
            </w:r>
          </w:p>
        </w:tc>
        <w:tc>
          <w:tcPr>
            <w:tcW w:type="dxa" w:w="2268"/>
            <w:vAlign w:val="center"/>
            <w:shd w:fill="D9EAF7"/>
          </w:tcPr>
          <w:p>
            <w:pPr>
              <w:spacing w:after="0" w:line="252" w:lineRule="auto"/>
            </w:pPr>
            <w:r/>
            <w:r>
              <w:rPr>
                <w:rFonts w:ascii="Noto Sans" w:hAnsi="Noto Sans" w:eastAsia="Noto Sans CJK SC" w:cs="Noto Sans"/>
                <w:b/>
                <w:i w:val="0"/>
                <w:sz w:val="17"/>
              </w:rPr>
              <w:t>研究问题</w:t>
            </w:r>
          </w:p>
        </w:tc>
        <w:tc>
          <w:tcPr>
            <w:tcW w:type="dxa" w:w="4025"/>
            <w:vAlign w:val="center"/>
            <w:shd w:fill="D9EAF7"/>
          </w:tcPr>
          <w:p>
            <w:pPr>
              <w:spacing w:after="0" w:line="252" w:lineRule="auto"/>
            </w:pPr>
            <w:r/>
            <w:r>
              <w:rPr>
                <w:rFonts w:ascii="Noto Sans" w:hAnsi="Noto Sans" w:eastAsia="Noto Sans CJK SC" w:cs="Noto Sans"/>
                <w:b/>
                <w:i w:val="0"/>
                <w:sz w:val="17"/>
              </w:rPr>
              <w:t>可检验假设</w:t>
            </w:r>
          </w:p>
        </w:tc>
        <w:tc>
          <w:tcPr>
            <w:tcW w:type="dxa" w:w="2608"/>
            <w:vAlign w:val="center"/>
            <w:shd w:fill="D9EAF7"/>
          </w:tcPr>
          <w:p>
            <w:pPr>
              <w:spacing w:after="0" w:line="252" w:lineRule="auto"/>
            </w:pPr>
            <w:r/>
            <w:r>
              <w:rPr>
                <w:rFonts w:ascii="Noto Sans" w:hAnsi="Noto Sans" w:eastAsia="Noto Sans CJK SC" w:cs="Noto Sans"/>
                <w:b/>
                <w:i w:val="0"/>
                <w:sz w:val="17"/>
              </w:rPr>
              <w:t>主要指标</w:t>
            </w:r>
          </w:p>
        </w:tc>
      </w:tr>
      <w:tr>
        <w:tc>
          <w:tcPr>
            <w:tcW w:type="dxa" w:w="680"/>
            <w:vAlign w:val="center"/>
          </w:tcPr>
          <w:p>
            <w:pPr>
              <w:spacing w:after="0" w:line="252" w:lineRule="auto"/>
            </w:pPr>
            <w:r/>
            <w:r>
              <w:rPr>
                <w:rFonts w:ascii="Noto Sans" w:hAnsi="Noto Sans" w:eastAsia="Noto Sans CJK SC" w:cs="Noto Sans"/>
                <w:b w:val="0"/>
                <w:i w:val="0"/>
                <w:sz w:val="17"/>
              </w:rPr>
              <w:t>RQ1</w:t>
            </w:r>
          </w:p>
        </w:tc>
        <w:tc>
          <w:tcPr>
            <w:tcW w:type="dxa" w:w="2268"/>
            <w:vAlign w:val="center"/>
          </w:tcPr>
          <w:p>
            <w:pPr>
              <w:spacing w:after="0" w:line="252" w:lineRule="auto"/>
            </w:pPr>
            <w:r/>
            <w:r>
              <w:rPr>
                <w:rFonts w:ascii="Noto Sans" w:hAnsi="Noto Sans" w:eastAsia="Noto Sans CJK SC" w:cs="Noto Sans"/>
                <w:b w:val="0"/>
                <w:i w:val="0"/>
                <w:sz w:val="17"/>
              </w:rPr>
              <w:t>通信是否改善 agent 的风险调整收益？</w:t>
            </w:r>
          </w:p>
        </w:tc>
        <w:tc>
          <w:tcPr>
            <w:tcW w:type="dxa" w:w="4025"/>
            <w:vAlign w:val="center"/>
          </w:tcPr>
          <w:p>
            <w:pPr>
              <w:spacing w:after="0" w:line="252" w:lineRule="auto"/>
            </w:pPr>
            <w:r/>
            <w:r>
              <w:rPr>
                <w:rFonts w:ascii="Noto Sans" w:hAnsi="Noto Sans" w:eastAsia="Noto Sans CJK SC" w:cs="Noto Sans"/>
                <w:b w:val="0"/>
                <w:i w:val="0"/>
                <w:sz w:val="17"/>
              </w:rPr>
              <w:t>适度通信可以提高夏普比率；过度通信可能导致过度交易和羊群效应。</w:t>
            </w:r>
          </w:p>
        </w:tc>
        <w:tc>
          <w:tcPr>
            <w:tcW w:type="dxa" w:w="2608"/>
            <w:vAlign w:val="center"/>
          </w:tcPr>
          <w:p>
            <w:pPr>
              <w:spacing w:after="0" w:line="252" w:lineRule="auto"/>
            </w:pPr>
            <w:r/>
            <w:r>
              <w:rPr>
                <w:rFonts w:ascii="Noto Sans" w:hAnsi="Noto Sans" w:eastAsia="Noto Sans CJK SC" w:cs="Noto Sans"/>
                <w:b w:val="0"/>
                <w:i w:val="0"/>
                <w:sz w:val="17"/>
              </w:rPr>
              <w:t>Sharpe、最大回撤、换手率、消息数</w:t>
            </w:r>
          </w:p>
        </w:tc>
      </w:tr>
      <w:tr>
        <w:tc>
          <w:tcPr>
            <w:tcW w:type="dxa" w:w="680"/>
            <w:vAlign w:val="center"/>
          </w:tcPr>
          <w:p>
            <w:pPr>
              <w:spacing w:after="0" w:line="252" w:lineRule="auto"/>
            </w:pPr>
            <w:r/>
            <w:r>
              <w:rPr>
                <w:rFonts w:ascii="Noto Sans" w:hAnsi="Noto Sans" w:eastAsia="Noto Sans CJK SC" w:cs="Noto Sans"/>
                <w:b w:val="0"/>
                <w:i w:val="0"/>
                <w:sz w:val="17"/>
              </w:rPr>
              <w:t>RQ2</w:t>
            </w:r>
          </w:p>
        </w:tc>
        <w:tc>
          <w:tcPr>
            <w:tcW w:type="dxa" w:w="2268"/>
            <w:vAlign w:val="center"/>
          </w:tcPr>
          <w:p>
            <w:pPr>
              <w:spacing w:after="0" w:line="252" w:lineRule="auto"/>
            </w:pPr>
            <w:r/>
            <w:r>
              <w:rPr>
                <w:rFonts w:ascii="Noto Sans" w:hAnsi="Noto Sans" w:eastAsia="Noto Sans CJK SC" w:cs="Noto Sans"/>
                <w:b w:val="0"/>
                <w:i w:val="0"/>
                <w:sz w:val="17"/>
              </w:rPr>
              <w:t>私聊是否形成信息优势或策略性操纵？</w:t>
            </w:r>
          </w:p>
        </w:tc>
        <w:tc>
          <w:tcPr>
            <w:tcW w:type="dxa" w:w="4025"/>
            <w:vAlign w:val="center"/>
          </w:tcPr>
          <w:p>
            <w:pPr>
              <w:spacing w:after="0" w:line="252" w:lineRule="auto"/>
            </w:pPr>
            <w:r/>
            <w:r>
              <w:rPr>
                <w:rFonts w:ascii="Noto Sans" w:hAnsi="Noto Sans" w:eastAsia="Noto Sans CJK SC" w:cs="Noto Sans"/>
                <w:b w:val="0"/>
                <w:i w:val="0"/>
                <w:sz w:val="17"/>
              </w:rPr>
              <w:t>私聊提高部分 agent 的收益，但可能扩大收益不平等并降低整体透明度。</w:t>
            </w:r>
          </w:p>
        </w:tc>
        <w:tc>
          <w:tcPr>
            <w:tcW w:type="dxa" w:w="2608"/>
            <w:vAlign w:val="center"/>
          </w:tcPr>
          <w:p>
            <w:pPr>
              <w:spacing w:after="0" w:line="252" w:lineRule="auto"/>
            </w:pPr>
            <w:r/>
            <w:r>
              <w:rPr>
                <w:rFonts w:ascii="Noto Sans" w:hAnsi="Noto Sans" w:eastAsia="Noto Sans CJK SC" w:cs="Noto Sans"/>
                <w:b w:val="0"/>
                <w:i w:val="0"/>
                <w:sz w:val="17"/>
              </w:rPr>
              <w:t>收益 Gini、私聊中心性、接收方收益变化</w:t>
            </w:r>
          </w:p>
        </w:tc>
      </w:tr>
      <w:tr>
        <w:tc>
          <w:tcPr>
            <w:tcW w:type="dxa" w:w="680"/>
            <w:vAlign w:val="center"/>
          </w:tcPr>
          <w:p>
            <w:pPr>
              <w:spacing w:after="0" w:line="252" w:lineRule="auto"/>
            </w:pPr>
            <w:r/>
            <w:r>
              <w:rPr>
                <w:rFonts w:ascii="Noto Sans" w:hAnsi="Noto Sans" w:eastAsia="Noto Sans CJK SC" w:cs="Noto Sans"/>
                <w:b w:val="0"/>
                <w:i w:val="0"/>
                <w:sz w:val="17"/>
              </w:rPr>
              <w:t>RQ3</w:t>
            </w:r>
          </w:p>
        </w:tc>
        <w:tc>
          <w:tcPr>
            <w:tcW w:type="dxa" w:w="2268"/>
            <w:vAlign w:val="center"/>
          </w:tcPr>
          <w:p>
            <w:pPr>
              <w:spacing w:after="0" w:line="252" w:lineRule="auto"/>
            </w:pPr>
            <w:r/>
            <w:r>
              <w:rPr>
                <w:rFonts w:ascii="Noto Sans" w:hAnsi="Noto Sans" w:eastAsia="Noto Sans CJK SC" w:cs="Noto Sans"/>
                <w:b w:val="0"/>
                <w:i w:val="0"/>
                <w:sz w:val="17"/>
              </w:rPr>
              <w:t>朋友圈式半公开传播是否加剧跟随？</w:t>
            </w:r>
          </w:p>
        </w:tc>
        <w:tc>
          <w:tcPr>
            <w:tcW w:type="dxa" w:w="4025"/>
            <w:vAlign w:val="center"/>
          </w:tcPr>
          <w:p>
            <w:pPr>
              <w:spacing w:after="0" w:line="252" w:lineRule="auto"/>
            </w:pPr>
            <w:r/>
            <w:r>
              <w:rPr>
                <w:rFonts w:ascii="Noto Sans" w:hAnsi="Noto Sans" w:eastAsia="Noto Sans CJK SC" w:cs="Noto Sans"/>
                <w:b w:val="0"/>
                <w:i w:val="0"/>
                <w:sz w:val="17"/>
              </w:rPr>
              <w:t>朋友圈增加信息扩散速度，但也可能提高仓位相关性和同向交易比例。</w:t>
            </w:r>
          </w:p>
        </w:tc>
        <w:tc>
          <w:tcPr>
            <w:tcW w:type="dxa" w:w="2608"/>
            <w:vAlign w:val="center"/>
          </w:tcPr>
          <w:p>
            <w:pPr>
              <w:spacing w:after="0" w:line="252" w:lineRule="auto"/>
            </w:pPr>
            <w:r/>
            <w:r>
              <w:rPr>
                <w:rFonts w:ascii="Noto Sans" w:hAnsi="Noto Sans" w:eastAsia="Noto Sans CJK SC" w:cs="Noto Sans"/>
                <w:b w:val="0"/>
                <w:i w:val="0"/>
                <w:sz w:val="17"/>
              </w:rPr>
              <w:t>扩散速度、herding index、仓位相关性</w:t>
            </w:r>
          </w:p>
        </w:tc>
      </w:tr>
      <w:tr>
        <w:tc>
          <w:tcPr>
            <w:tcW w:type="dxa" w:w="680"/>
            <w:vAlign w:val="center"/>
          </w:tcPr>
          <w:p>
            <w:pPr>
              <w:spacing w:after="0" w:line="252" w:lineRule="auto"/>
            </w:pPr>
            <w:r/>
            <w:r>
              <w:rPr>
                <w:rFonts w:ascii="Noto Sans" w:hAnsi="Noto Sans" w:eastAsia="Noto Sans CJK SC" w:cs="Noto Sans"/>
                <w:b w:val="0"/>
                <w:i w:val="0"/>
                <w:sz w:val="17"/>
              </w:rPr>
              <w:t>RQ4</w:t>
            </w:r>
          </w:p>
        </w:tc>
        <w:tc>
          <w:tcPr>
            <w:tcW w:type="dxa" w:w="2268"/>
            <w:vAlign w:val="center"/>
          </w:tcPr>
          <w:p>
            <w:pPr>
              <w:spacing w:after="0" w:line="252" w:lineRule="auto"/>
            </w:pPr>
            <w:r/>
            <w:r>
              <w:rPr>
                <w:rFonts w:ascii="Noto Sans" w:hAnsi="Noto Sans" w:eastAsia="Noto Sans CJK SC" w:cs="Noto Sans"/>
                <w:b w:val="0"/>
                <w:i w:val="0"/>
                <w:sz w:val="17"/>
              </w:rPr>
              <w:t>不同信息聚合公式是否影响团队稳定性？</w:t>
            </w:r>
          </w:p>
        </w:tc>
        <w:tc>
          <w:tcPr>
            <w:tcW w:type="dxa" w:w="4025"/>
            <w:vAlign w:val="center"/>
          </w:tcPr>
          <w:p>
            <w:pPr>
              <w:spacing w:after="0" w:line="252" w:lineRule="auto"/>
            </w:pPr>
            <w:r/>
            <w:r>
              <w:rPr>
                <w:rFonts w:ascii="Noto Sans" w:hAnsi="Noto Sans" w:eastAsia="Noto Sans CJK SC" w:cs="Noto Sans"/>
                <w:b w:val="0"/>
                <w:i w:val="0"/>
                <w:sz w:val="17"/>
              </w:rPr>
              <w:t>Black-Litterman 更稳健，DeGroot 更易形成共识，在线专家加权更敏感。</w:t>
            </w:r>
          </w:p>
        </w:tc>
        <w:tc>
          <w:tcPr>
            <w:tcW w:type="dxa" w:w="2608"/>
            <w:vAlign w:val="center"/>
          </w:tcPr>
          <w:p>
            <w:pPr>
              <w:spacing w:after="0" w:line="252" w:lineRule="auto"/>
            </w:pPr>
            <w:r/>
            <w:r>
              <w:rPr>
                <w:rFonts w:ascii="Noto Sans" w:hAnsi="Noto Sans" w:eastAsia="Noto Sans CJK SC" w:cs="Noto Sans"/>
                <w:b w:val="0"/>
                <w:i w:val="0"/>
                <w:sz w:val="17"/>
              </w:rPr>
              <w:t>收益、波动、校准误差、权重集中度</w:t>
            </w:r>
          </w:p>
        </w:tc>
      </w:tr>
      <w:tr>
        <w:tc>
          <w:tcPr>
            <w:tcW w:type="dxa" w:w="680"/>
            <w:vAlign w:val="center"/>
          </w:tcPr>
          <w:p>
            <w:pPr>
              <w:spacing w:after="0" w:line="252" w:lineRule="auto"/>
            </w:pPr>
            <w:r/>
            <w:r>
              <w:rPr>
                <w:rFonts w:ascii="Noto Sans" w:hAnsi="Noto Sans" w:eastAsia="Noto Sans CJK SC" w:cs="Noto Sans"/>
                <w:b w:val="0"/>
                <w:i w:val="0"/>
                <w:sz w:val="17"/>
              </w:rPr>
              <w:t>RQ5</w:t>
            </w:r>
          </w:p>
        </w:tc>
        <w:tc>
          <w:tcPr>
            <w:tcW w:type="dxa" w:w="2268"/>
            <w:vAlign w:val="center"/>
          </w:tcPr>
          <w:p>
            <w:pPr>
              <w:spacing w:after="0" w:line="252" w:lineRule="auto"/>
            </w:pPr>
            <w:r/>
            <w:r>
              <w:rPr>
                <w:rFonts w:ascii="Noto Sans" w:hAnsi="Noto Sans" w:eastAsia="Noto Sans CJK SC" w:cs="Noto Sans"/>
                <w:b w:val="0"/>
                <w:i w:val="0"/>
                <w:sz w:val="17"/>
              </w:rPr>
              <w:t>约束 LLM 是否提高系统可复现性？</w:t>
            </w:r>
          </w:p>
        </w:tc>
        <w:tc>
          <w:tcPr>
            <w:tcW w:type="dxa" w:w="4025"/>
            <w:vAlign w:val="center"/>
          </w:tcPr>
          <w:p>
            <w:pPr>
              <w:spacing w:after="0" w:line="252" w:lineRule="auto"/>
            </w:pPr>
            <w:r/>
            <w:r>
              <w:rPr>
                <w:rFonts w:ascii="Noto Sans" w:hAnsi="Noto Sans" w:eastAsia="Noto Sans CJK SC" w:cs="Noto Sans"/>
                <w:b w:val="0"/>
                <w:i w:val="0"/>
                <w:sz w:val="17"/>
              </w:rPr>
              <w:t>结构化输出减少解析失败、越权交易和约束违规，但可能牺牲部分表达自由度。</w:t>
            </w:r>
          </w:p>
        </w:tc>
        <w:tc>
          <w:tcPr>
            <w:tcW w:type="dxa" w:w="2608"/>
            <w:vAlign w:val="center"/>
          </w:tcPr>
          <w:p>
            <w:pPr>
              <w:spacing w:after="0" w:line="252" w:lineRule="auto"/>
            </w:pPr>
            <w:r/>
            <w:r>
              <w:rPr>
                <w:rFonts w:ascii="Noto Sans" w:hAnsi="Noto Sans" w:eastAsia="Noto Sans CJK SC" w:cs="Noto Sans"/>
                <w:b w:val="0"/>
                <w:i w:val="0"/>
                <w:sz w:val="17"/>
              </w:rPr>
              <w:t>schema 通过率、违规率、回测中断次数</w:t>
            </w:r>
          </w:p>
        </w:tc>
      </w:tr>
      <w:tr>
        <w:tc>
          <w:tcPr>
            <w:tcW w:type="dxa" w:w="680"/>
            <w:vAlign w:val="center"/>
          </w:tcPr>
          <w:p>
            <w:pPr>
              <w:spacing w:after="0" w:line="252" w:lineRule="auto"/>
            </w:pPr>
            <w:r/>
            <w:r>
              <w:rPr>
                <w:rFonts w:ascii="Noto Sans" w:hAnsi="Noto Sans" w:eastAsia="Noto Sans CJK SC" w:cs="Noto Sans"/>
                <w:b w:val="0"/>
                <w:i w:val="0"/>
                <w:sz w:val="17"/>
              </w:rPr>
              <w:t>RQ6</w:t>
            </w:r>
          </w:p>
        </w:tc>
        <w:tc>
          <w:tcPr>
            <w:tcW w:type="dxa" w:w="2268"/>
            <w:vAlign w:val="center"/>
          </w:tcPr>
          <w:p>
            <w:pPr>
              <w:spacing w:after="0" w:line="252" w:lineRule="auto"/>
            </w:pPr>
            <w:r/>
            <w:r>
              <w:rPr>
                <w:rFonts w:ascii="Noto Sans" w:hAnsi="Noto Sans" w:eastAsia="Noto Sans CJK SC" w:cs="Noto Sans"/>
                <w:b w:val="0"/>
                <w:i w:val="0"/>
                <w:sz w:val="17"/>
              </w:rPr>
              <w:t>策略性发言是否改变市场行为？</w:t>
            </w:r>
          </w:p>
        </w:tc>
        <w:tc>
          <w:tcPr>
            <w:tcW w:type="dxa" w:w="4025"/>
            <w:vAlign w:val="center"/>
          </w:tcPr>
          <w:p>
            <w:pPr>
              <w:spacing w:after="0" w:line="252" w:lineRule="auto"/>
            </w:pPr>
            <w:r/>
            <w:r>
              <w:rPr>
                <w:rFonts w:ascii="Noto Sans" w:hAnsi="Noto Sans" w:eastAsia="Noto Sans CJK SC" w:cs="Noto Sans"/>
                <w:b w:val="0"/>
                <w:i w:val="0"/>
                <w:sz w:val="17"/>
              </w:rPr>
              <w:t>带声誉奖励的 truthful agent 更稳定；persuader agent 更可能提高影响力但带来信任损耗。</w:t>
            </w:r>
          </w:p>
        </w:tc>
        <w:tc>
          <w:tcPr>
            <w:tcW w:type="dxa" w:w="2608"/>
            <w:vAlign w:val="center"/>
          </w:tcPr>
          <w:p>
            <w:pPr>
              <w:spacing w:after="0" w:line="252" w:lineRule="auto"/>
            </w:pPr>
            <w:r/>
            <w:r>
              <w:rPr>
                <w:rFonts w:ascii="Noto Sans" w:hAnsi="Noto Sans" w:eastAsia="Noto Sans CJK SC" w:cs="Noto Sans"/>
                <w:b w:val="0"/>
                <w:i w:val="0"/>
                <w:sz w:val="17"/>
              </w:rPr>
              <w:t>影响力、可信度、Brier score、接收者仓位变化</w:t>
            </w:r>
          </w:p>
        </w:tc>
      </w:tr>
    </w:tbl>
    <w:p/>
    <w:p>
      <w:pPr>
        <w:pStyle w:val="Heading1"/>
        <w:spacing w:before="200" w:after="120"/>
      </w:pPr>
      <w:r>
        <w:t>4 博弈论模型设定</w:t>
      </w:r>
    </w:p>
    <w:p>
      <w:pPr>
        <w:pStyle w:val="Heading2"/>
        <w:spacing w:before="160" w:after="80"/>
      </w:pPr>
      <w:r>
        <w:t>4.1 参与者、状态、信息与行动</w:t>
      </w:r>
    </w:p>
    <w:p>
      <w:pPr>
        <w:spacing w:line="276" w:lineRule="auto" w:after="100"/>
        <w:ind w:firstLine="420"/>
      </w:pPr>
      <w:r>
        <w:rPr>
          <w:rFonts w:ascii="Noto Sans" w:hAnsi="Noto Sans" w:eastAsia="Noto Sans CJK SC" w:cs="Noto Sans"/>
          <w:b w:val="0"/>
          <w:i w:val="0"/>
          <w:sz w:val="21"/>
        </w:rPr>
        <w:t>设共有 N 个 agent，时间为 t = 1, 2, ..., T。每期市场状态 s_t 包括价格矩阵 P_t、历史收益 R_t、成交量、已有消息历史 H_t、各 agent 的资金和持仓。agent i 的信息集 I_i,t 包含公共市场数据、自己策略生成的私有信号 x_i,t、可见消息集合 M_i,t 和自己的记忆/声誉表。</w:t>
      </w:r>
    </w:p>
    <w:p>
      <w:pPr>
        <w:pStyle w:val="Formula"/>
        <w:spacing w:before="40" w:after="100"/>
        <w:jc w:val="center"/>
      </w:pPr>
      <w:r>
        <w:rPr>
          <w:rFonts w:ascii="Noto Sans" w:hAnsi="Noto Sans" w:eastAsia="Noto Sans CJK SC" w:cs="Noto Sans"/>
          <w:b w:val="0"/>
          <w:i w:val="0"/>
          <w:sz w:val="20"/>
        </w:rPr>
        <w:t>I_i,t = {P_1:t, R_1:t, H_i,t, x_i,t, portfolio_i,t, reputation_i,t}</w:t>
      </w:r>
    </w:p>
    <w:p>
      <w:pPr>
        <w:spacing w:line="276" w:lineRule="auto" w:after="100"/>
        <w:ind w:firstLine="420"/>
      </w:pPr>
      <w:r>
        <w:rPr>
          <w:rFonts w:ascii="Noto Sans" w:hAnsi="Noto Sans" w:eastAsia="Noto Sans CJK SC" w:cs="Noto Sans"/>
          <w:b w:val="0"/>
          <w:i w:val="0"/>
          <w:sz w:val="21"/>
        </w:rPr>
        <w:t>每期 agent 有两类行动。第一类是沟通行动 a_i,t^msg：选择是否发言、在哪个渠道发言、对谁发言、透露多少信号以及给出多高置信度。第二类是交易行动 a_i,t^trade：选择目标组合权重 w_i,t。完整行动为：</w:t>
      </w:r>
    </w:p>
    <w:p>
      <w:pPr>
        <w:pStyle w:val="Formula"/>
        <w:spacing w:before="40" w:after="100"/>
        <w:jc w:val="center"/>
      </w:pPr>
      <w:r>
        <w:rPr>
          <w:rFonts w:ascii="Noto Sans" w:hAnsi="Noto Sans" w:eastAsia="Noto Sans CJK SC" w:cs="Noto Sans"/>
          <w:b w:val="0"/>
          <w:i w:val="0"/>
          <w:sz w:val="20"/>
        </w:rPr>
        <w:t>a_i,t = (a_i,t^msg, a_i,t^trade) = (channel, message, receivers, w_i,t)</w:t>
      </w:r>
    </w:p>
    <w:p>
      <w:pPr>
        <w:spacing w:line="276" w:lineRule="auto" w:after="100"/>
        <w:ind w:firstLine="420"/>
      </w:pPr>
      <w:r>
        <w:rPr>
          <w:rFonts w:ascii="Noto Sans" w:hAnsi="Noto Sans" w:eastAsia="Noto Sans CJK SC" w:cs="Noto Sans"/>
          <w:b w:val="0"/>
          <w:i w:val="0"/>
          <w:sz w:val="21"/>
        </w:rPr>
        <w:t>这一定义使项目成为有限期随机博弈或 Markov game 的简化版本。不同 agent 观察到的消息集合不同，因此是非完全信息环境；消息可能有策略性偏误，因此也是信息传递博弈。</w:t>
      </w:r>
    </w:p>
    <w:p>
      <w:pPr>
        <w:pStyle w:val="Heading2"/>
        <w:spacing w:before="160" w:after="80"/>
      </w:pPr>
      <w:r>
        <w:t>4.2 收益函数：金融收益、风险、交易成本与声誉</w:t>
      </w:r>
    </w:p>
    <w:p>
      <w:pPr>
        <w:spacing w:line="276" w:lineRule="auto" w:after="100"/>
        <w:ind w:firstLine="420"/>
      </w:pPr>
      <w:r>
        <w:rPr>
          <w:rFonts w:ascii="Noto Sans" w:hAnsi="Noto Sans" w:eastAsia="Noto Sans CJK SC" w:cs="Noto Sans"/>
          <w:b w:val="0"/>
          <w:i w:val="0"/>
          <w:sz w:val="21"/>
        </w:rPr>
        <w:t>为了把交易和聊天统一起来，agent 的效用不只看收益，还考虑风险、换手、回撤、消息成本和声誉。可以使用如下单期效用：</w:t>
      </w:r>
    </w:p>
    <w:p>
      <w:pPr>
        <w:pStyle w:val="Formula"/>
        <w:spacing w:before="40" w:after="100"/>
        <w:jc w:val="center"/>
      </w:pPr>
      <w:r>
        <w:rPr>
          <w:rFonts w:ascii="Noto Sans" w:hAnsi="Noto Sans" w:eastAsia="Noto Sans CJK SC" w:cs="Noto Sans"/>
          <w:b w:val="0"/>
          <w:i w:val="0"/>
          <w:sz w:val="20"/>
        </w:rPr>
        <w:t>u_i,t = r_i,t+1 - λ_i · σ_i,t - κ · turnover_i,t - ψ · drawdown_i,t + ν_i · rep_i,t - c(channel_i,t) - penalty_i,t</w:t>
      </w:r>
    </w:p>
    <w:p>
      <w:pPr>
        <w:spacing w:line="276" w:lineRule="auto" w:after="100"/>
        <w:ind w:firstLine="420"/>
      </w:pPr>
      <w:r>
        <w:rPr>
          <w:rFonts w:ascii="Noto Sans" w:hAnsi="Noto Sans" w:eastAsia="Noto Sans CJK SC" w:cs="Noto Sans"/>
          <w:b w:val="0"/>
          <w:i w:val="0"/>
          <w:sz w:val="21"/>
        </w:rPr>
        <w:t>其中 r_i,t+1 表示下一期组合收益，λ_i 是风险厌恶系数，κ 是交易成本权重，ψ 是回撤惩罚，ν_i 是声誉偏好，c(channel) 是发言成本或注意力成本，penalty 用于惩罚 schema 违规、风险违规或明显虚假声明。不同类型 agent 的差异可以通过 λ、ν、消息策略和聚合函数体现。</w:t>
      </w:r>
    </w:p>
    <w:p>
      <w:pPr>
        <w:pStyle w:val="Heading2"/>
        <w:spacing w:before="160" w:after="80"/>
      </w:pPr>
      <w:r>
        <w:t>4.3 通信渠道：公聊、私聊与朋友圈</w:t>
      </w:r>
    </w:p>
    <w:p>
      <w:pPr>
        <w:spacing w:line="276" w:lineRule="auto" w:after="100"/>
        <w:ind w:firstLine="420"/>
      </w:pPr>
      <w:r>
        <w:rPr>
          <w:rFonts w:ascii="Noto Sans" w:hAnsi="Noto Sans" w:eastAsia="Noto Sans CJK SC" w:cs="Noto Sans"/>
          <w:b w:val="0"/>
          <w:i w:val="0"/>
          <w:sz w:val="21"/>
        </w:rPr>
        <w:t>聊天系统不是装饰性 UI，而是信息结构的一部分。每条消息都要进入可审计日志，并影响接收者信念。三类渠道如下。</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757"/>
            <w:vAlign w:val="center"/>
            <w:shd w:fill="D9EAF7"/>
          </w:tcPr>
          <w:p>
            <w:pPr>
              <w:spacing w:after="0" w:line="252" w:lineRule="auto"/>
            </w:pPr>
            <w:r/>
            <w:r>
              <w:rPr>
                <w:rFonts w:ascii="Noto Sans" w:hAnsi="Noto Sans" w:eastAsia="Noto Sans CJK SC" w:cs="Noto Sans"/>
                <w:b/>
                <w:i w:val="0"/>
                <w:sz w:val="17"/>
              </w:rPr>
              <w:t>渠道</w:t>
            </w:r>
          </w:p>
        </w:tc>
        <w:tc>
          <w:tcPr>
            <w:tcW w:type="dxa" w:w="1701"/>
            <w:vAlign w:val="center"/>
            <w:shd w:fill="D9EAF7"/>
          </w:tcPr>
          <w:p>
            <w:pPr>
              <w:spacing w:after="0" w:line="252" w:lineRule="auto"/>
            </w:pPr>
            <w:r/>
            <w:r>
              <w:rPr>
                <w:rFonts w:ascii="Noto Sans" w:hAnsi="Noto Sans" w:eastAsia="Noto Sans CJK SC" w:cs="Noto Sans"/>
                <w:b/>
                <w:i w:val="0"/>
                <w:sz w:val="17"/>
              </w:rPr>
              <w:t>可见性</w:t>
            </w:r>
          </w:p>
        </w:tc>
        <w:tc>
          <w:tcPr>
            <w:tcW w:type="dxa" w:w="2324"/>
            <w:vAlign w:val="center"/>
            <w:shd w:fill="D9EAF7"/>
          </w:tcPr>
          <w:p>
            <w:pPr>
              <w:spacing w:after="0" w:line="252" w:lineRule="auto"/>
            </w:pPr>
            <w:r/>
            <w:r>
              <w:rPr>
                <w:rFonts w:ascii="Noto Sans" w:hAnsi="Noto Sans" w:eastAsia="Noto Sans CJK SC" w:cs="Noto Sans"/>
                <w:b/>
                <w:i w:val="0"/>
                <w:sz w:val="17"/>
              </w:rPr>
              <w:t>典型内容</w:t>
            </w:r>
          </w:p>
        </w:tc>
        <w:tc>
          <w:tcPr>
            <w:tcW w:type="dxa" w:w="2324"/>
            <w:vAlign w:val="center"/>
            <w:shd w:fill="D9EAF7"/>
          </w:tcPr>
          <w:p>
            <w:pPr>
              <w:spacing w:after="0" w:line="252" w:lineRule="auto"/>
            </w:pPr>
            <w:r/>
            <w:r>
              <w:rPr>
                <w:rFonts w:ascii="Noto Sans" w:hAnsi="Noto Sans" w:eastAsia="Noto Sans CJK SC" w:cs="Noto Sans"/>
                <w:b/>
                <w:i w:val="0"/>
                <w:sz w:val="17"/>
              </w:rPr>
              <w:t>博弈论作用</w:t>
            </w:r>
          </w:p>
        </w:tc>
        <w:tc>
          <w:tcPr>
            <w:tcW w:type="dxa" w:w="1928"/>
            <w:vAlign w:val="center"/>
            <w:shd w:fill="D9EAF7"/>
          </w:tcPr>
          <w:p>
            <w:pPr>
              <w:spacing w:after="0" w:line="252" w:lineRule="auto"/>
            </w:pPr>
            <w:r/>
            <w:r>
              <w:rPr>
                <w:rFonts w:ascii="Noto Sans" w:hAnsi="Noto Sans" w:eastAsia="Noto Sans CJK SC" w:cs="Noto Sans"/>
                <w:b/>
                <w:i w:val="0"/>
                <w:sz w:val="17"/>
              </w:rPr>
              <w:t>实现建议</w:t>
            </w:r>
          </w:p>
        </w:tc>
      </w:tr>
      <w:tr>
        <w:tc>
          <w:tcPr>
            <w:tcW w:type="dxa" w:w="1757"/>
            <w:vAlign w:val="center"/>
          </w:tcPr>
          <w:p>
            <w:pPr>
              <w:spacing w:after="0" w:line="252" w:lineRule="auto"/>
            </w:pPr>
            <w:r/>
            <w:r>
              <w:rPr>
                <w:rFonts w:ascii="Noto Sans" w:hAnsi="Noto Sans" w:eastAsia="Noto Sans CJK SC" w:cs="Noto Sans"/>
                <w:b w:val="0"/>
                <w:i w:val="0"/>
                <w:sz w:val="17"/>
              </w:rPr>
              <w:t>公聊 Public Chat</w:t>
            </w:r>
          </w:p>
        </w:tc>
        <w:tc>
          <w:tcPr>
            <w:tcW w:type="dxa" w:w="1701"/>
            <w:vAlign w:val="center"/>
          </w:tcPr>
          <w:p>
            <w:pPr>
              <w:spacing w:after="0" w:line="252" w:lineRule="auto"/>
            </w:pPr>
            <w:r/>
            <w:r>
              <w:rPr>
                <w:rFonts w:ascii="Noto Sans" w:hAnsi="Noto Sans" w:eastAsia="Noto Sans CJK SC" w:cs="Noto Sans"/>
                <w:b w:val="0"/>
                <w:i w:val="0"/>
                <w:sz w:val="17"/>
              </w:rPr>
              <w:t>所有 agent 可见，展示给用户</w:t>
            </w:r>
          </w:p>
        </w:tc>
        <w:tc>
          <w:tcPr>
            <w:tcW w:type="dxa" w:w="2324"/>
            <w:vAlign w:val="center"/>
          </w:tcPr>
          <w:p>
            <w:pPr>
              <w:spacing w:after="0" w:line="252" w:lineRule="auto"/>
            </w:pPr>
            <w:r/>
            <w:r>
              <w:rPr>
                <w:rFonts w:ascii="Noto Sans" w:hAnsi="Noto Sans" w:eastAsia="Noto Sans CJK SC" w:cs="Noto Sans"/>
                <w:b w:val="0"/>
                <w:i w:val="0"/>
                <w:sz w:val="17"/>
              </w:rPr>
              <w:t>对市场趋势、某只股票、风险事件的公开观点</w:t>
            </w:r>
          </w:p>
        </w:tc>
        <w:tc>
          <w:tcPr>
            <w:tcW w:type="dxa" w:w="2324"/>
            <w:vAlign w:val="center"/>
          </w:tcPr>
          <w:p>
            <w:pPr>
              <w:spacing w:after="0" w:line="252" w:lineRule="auto"/>
            </w:pPr>
            <w:r/>
            <w:r>
              <w:rPr>
                <w:rFonts w:ascii="Noto Sans" w:hAnsi="Noto Sans" w:eastAsia="Noto Sans CJK SC" w:cs="Noto Sans"/>
                <w:b w:val="0"/>
                <w:i w:val="0"/>
                <w:sz w:val="17"/>
              </w:rPr>
              <w:t>公开 cheap talk；形成共同知识；容易引发羊群效应</w:t>
            </w:r>
          </w:p>
        </w:tc>
        <w:tc>
          <w:tcPr>
            <w:tcW w:type="dxa" w:w="1928"/>
            <w:vAlign w:val="center"/>
          </w:tcPr>
          <w:p>
            <w:pPr>
              <w:spacing w:after="0" w:line="252" w:lineRule="auto"/>
            </w:pPr>
            <w:r/>
            <w:r>
              <w:rPr>
                <w:rFonts w:ascii="Noto Sans" w:hAnsi="Noto Sans" w:eastAsia="Noto Sans CJK SC" w:cs="Noto Sans"/>
                <w:b w:val="0"/>
                <w:i w:val="0"/>
                <w:sz w:val="17"/>
              </w:rPr>
              <w:t>Streamlit 聊天流 + message_log 表</w:t>
            </w:r>
          </w:p>
        </w:tc>
      </w:tr>
      <w:tr>
        <w:tc>
          <w:tcPr>
            <w:tcW w:type="dxa" w:w="1757"/>
            <w:vAlign w:val="center"/>
          </w:tcPr>
          <w:p>
            <w:pPr>
              <w:spacing w:after="0" w:line="252" w:lineRule="auto"/>
            </w:pPr>
            <w:r/>
            <w:r>
              <w:rPr>
                <w:rFonts w:ascii="Noto Sans" w:hAnsi="Noto Sans" w:eastAsia="Noto Sans CJK SC" w:cs="Noto Sans"/>
                <w:b w:val="0"/>
                <w:i w:val="0"/>
                <w:sz w:val="17"/>
              </w:rPr>
              <w:t>私聊 Private DM</w:t>
            </w:r>
          </w:p>
        </w:tc>
        <w:tc>
          <w:tcPr>
            <w:tcW w:type="dxa" w:w="1701"/>
            <w:vAlign w:val="center"/>
          </w:tcPr>
          <w:p>
            <w:pPr>
              <w:spacing w:after="0" w:line="252" w:lineRule="auto"/>
            </w:pPr>
            <w:r/>
            <w:r>
              <w:rPr>
                <w:rFonts w:ascii="Noto Sans" w:hAnsi="Noto Sans" w:eastAsia="Noto Sans CJK SC" w:cs="Noto Sans"/>
                <w:b w:val="0"/>
                <w:i w:val="0"/>
                <w:sz w:val="17"/>
              </w:rPr>
              <w:t>指定接收者可见；实验者后台可审计</w:t>
            </w:r>
          </w:p>
        </w:tc>
        <w:tc>
          <w:tcPr>
            <w:tcW w:type="dxa" w:w="2324"/>
            <w:vAlign w:val="center"/>
          </w:tcPr>
          <w:p>
            <w:pPr>
              <w:spacing w:after="0" w:line="252" w:lineRule="auto"/>
            </w:pPr>
            <w:r/>
            <w:r>
              <w:rPr>
                <w:rFonts w:ascii="Noto Sans" w:hAnsi="Noto Sans" w:eastAsia="Noto Sans CJK SC" w:cs="Noto Sans"/>
                <w:b w:val="0"/>
                <w:i w:val="0"/>
                <w:sz w:val="17"/>
              </w:rPr>
              <w:t>选择性披露、联盟沟通、观点试探</w:t>
            </w:r>
          </w:p>
        </w:tc>
        <w:tc>
          <w:tcPr>
            <w:tcW w:type="dxa" w:w="2324"/>
            <w:vAlign w:val="center"/>
          </w:tcPr>
          <w:p>
            <w:pPr>
              <w:spacing w:after="0" w:line="252" w:lineRule="auto"/>
            </w:pPr>
            <w:r/>
            <w:r>
              <w:rPr>
                <w:rFonts w:ascii="Noto Sans" w:hAnsi="Noto Sans" w:eastAsia="Noto Sans CJK SC" w:cs="Noto Sans"/>
                <w:b w:val="0"/>
                <w:i w:val="0"/>
                <w:sz w:val="17"/>
              </w:rPr>
              <w:t>信息不对称、合谋、劝说、信任关系</w:t>
            </w:r>
          </w:p>
        </w:tc>
        <w:tc>
          <w:tcPr>
            <w:tcW w:type="dxa" w:w="1928"/>
            <w:vAlign w:val="center"/>
          </w:tcPr>
          <w:p>
            <w:pPr>
              <w:spacing w:after="0" w:line="252" w:lineRule="auto"/>
            </w:pPr>
            <w:r/>
            <w:r>
              <w:rPr>
                <w:rFonts w:ascii="Noto Sans" w:hAnsi="Noto Sans" w:eastAsia="Noto Sans CJK SC" w:cs="Noto Sans"/>
                <w:b w:val="0"/>
                <w:i w:val="0"/>
                <w:sz w:val="17"/>
              </w:rPr>
              <w:t>receiver_ids 字段 + 权限过滤</w:t>
            </w:r>
          </w:p>
        </w:tc>
      </w:tr>
      <w:tr>
        <w:tc>
          <w:tcPr>
            <w:tcW w:type="dxa" w:w="1757"/>
            <w:vAlign w:val="center"/>
          </w:tcPr>
          <w:p>
            <w:pPr>
              <w:spacing w:after="0" w:line="252" w:lineRule="auto"/>
            </w:pPr>
            <w:r/>
            <w:r>
              <w:rPr>
                <w:rFonts w:ascii="Noto Sans" w:hAnsi="Noto Sans" w:eastAsia="Noto Sans CJK SC" w:cs="Noto Sans"/>
                <w:b w:val="0"/>
                <w:i w:val="0"/>
                <w:sz w:val="17"/>
              </w:rPr>
              <w:t>朋友圈 Moments</w:t>
            </w:r>
          </w:p>
        </w:tc>
        <w:tc>
          <w:tcPr>
            <w:tcW w:type="dxa" w:w="1701"/>
            <w:vAlign w:val="center"/>
          </w:tcPr>
          <w:p>
            <w:pPr>
              <w:spacing w:after="0" w:line="252" w:lineRule="auto"/>
            </w:pPr>
            <w:r/>
            <w:r>
              <w:rPr>
                <w:rFonts w:ascii="Noto Sans" w:hAnsi="Noto Sans" w:eastAsia="Noto Sans CJK SC" w:cs="Noto Sans"/>
                <w:b w:val="0"/>
                <w:i w:val="0"/>
                <w:sz w:val="17"/>
              </w:rPr>
              <w:t>关注者或同组 agent 可见；半公开</w:t>
            </w:r>
          </w:p>
        </w:tc>
        <w:tc>
          <w:tcPr>
            <w:tcW w:type="dxa" w:w="2324"/>
            <w:vAlign w:val="center"/>
          </w:tcPr>
          <w:p>
            <w:pPr>
              <w:spacing w:after="0" w:line="252" w:lineRule="auto"/>
            </w:pPr>
            <w:r/>
            <w:r>
              <w:rPr>
                <w:rFonts w:ascii="Noto Sans" w:hAnsi="Noto Sans" w:eastAsia="Noto Sans CJK SC" w:cs="Noto Sans"/>
                <w:b w:val="0"/>
                <w:i w:val="0"/>
                <w:sz w:val="17"/>
              </w:rPr>
              <w:t>短观点、交易感想、事后反思、点赞/评论</w:t>
            </w:r>
          </w:p>
        </w:tc>
        <w:tc>
          <w:tcPr>
            <w:tcW w:type="dxa" w:w="2324"/>
            <w:vAlign w:val="center"/>
          </w:tcPr>
          <w:p>
            <w:pPr>
              <w:spacing w:after="0" w:line="252" w:lineRule="auto"/>
            </w:pPr>
            <w:r/>
            <w:r>
              <w:rPr>
                <w:rFonts w:ascii="Noto Sans" w:hAnsi="Noto Sans" w:eastAsia="Noto Sans CJK SC" w:cs="Noto Sans"/>
                <w:b w:val="0"/>
                <w:i w:val="0"/>
                <w:sz w:val="17"/>
              </w:rPr>
              <w:t>社交扩散、声誉积累、局部共识</w:t>
            </w:r>
          </w:p>
        </w:tc>
        <w:tc>
          <w:tcPr>
            <w:tcW w:type="dxa" w:w="1928"/>
            <w:vAlign w:val="center"/>
          </w:tcPr>
          <w:p>
            <w:pPr>
              <w:spacing w:after="0" w:line="252" w:lineRule="auto"/>
            </w:pPr>
            <w:r/>
            <w:r>
              <w:rPr>
                <w:rFonts w:ascii="Noto Sans" w:hAnsi="Noto Sans" w:eastAsia="Noto Sans CJK SC" w:cs="Noto Sans"/>
                <w:b w:val="0"/>
                <w:i w:val="0"/>
                <w:sz w:val="17"/>
              </w:rPr>
              <w:t>feed 排序 + visibility_scope + likes</w:t>
            </w:r>
          </w:p>
        </w:tc>
      </w:tr>
      <w:tr>
        <w:tc>
          <w:tcPr>
            <w:tcW w:type="dxa" w:w="1757"/>
            <w:vAlign w:val="center"/>
          </w:tcPr>
          <w:p>
            <w:pPr>
              <w:spacing w:after="0" w:line="252" w:lineRule="auto"/>
            </w:pPr>
            <w:r/>
            <w:r>
              <w:rPr>
                <w:rFonts w:ascii="Noto Sans" w:hAnsi="Noto Sans" w:eastAsia="Noto Sans CJK SC" w:cs="Noto Sans"/>
                <w:b w:val="0"/>
                <w:i w:val="0"/>
                <w:sz w:val="17"/>
              </w:rPr>
              <w:t>公告/风控板 Risk Board</w:t>
            </w:r>
          </w:p>
        </w:tc>
        <w:tc>
          <w:tcPr>
            <w:tcW w:type="dxa" w:w="1701"/>
            <w:vAlign w:val="center"/>
          </w:tcPr>
          <w:p>
            <w:pPr>
              <w:spacing w:after="0" w:line="252" w:lineRule="auto"/>
            </w:pPr>
            <w:r/>
            <w:r>
              <w:rPr>
                <w:rFonts w:ascii="Noto Sans" w:hAnsi="Noto Sans" w:eastAsia="Noto Sans CJK SC" w:cs="Noto Sans"/>
                <w:b w:val="0"/>
                <w:i w:val="0"/>
                <w:sz w:val="17"/>
              </w:rPr>
              <w:t>所有 agent 可见，风控 agent 发布</w:t>
            </w:r>
          </w:p>
        </w:tc>
        <w:tc>
          <w:tcPr>
            <w:tcW w:type="dxa" w:w="2324"/>
            <w:vAlign w:val="center"/>
          </w:tcPr>
          <w:p>
            <w:pPr>
              <w:spacing w:after="0" w:line="252" w:lineRule="auto"/>
            </w:pPr>
            <w:r/>
            <w:r>
              <w:rPr>
                <w:rFonts w:ascii="Noto Sans" w:hAnsi="Noto Sans" w:eastAsia="Noto Sans CJK SC" w:cs="Noto Sans"/>
                <w:b w:val="0"/>
                <w:i w:val="0"/>
                <w:sz w:val="17"/>
              </w:rPr>
              <w:t>仓位上限、异常波动、回撤预警</w:t>
            </w:r>
          </w:p>
        </w:tc>
        <w:tc>
          <w:tcPr>
            <w:tcW w:type="dxa" w:w="2324"/>
            <w:vAlign w:val="center"/>
          </w:tcPr>
          <w:p>
            <w:pPr>
              <w:spacing w:after="0" w:line="252" w:lineRule="auto"/>
            </w:pPr>
            <w:r/>
            <w:r>
              <w:rPr>
                <w:rFonts w:ascii="Noto Sans" w:hAnsi="Noto Sans" w:eastAsia="Noto Sans CJK SC" w:cs="Noto Sans"/>
                <w:b w:val="0"/>
                <w:i w:val="0"/>
                <w:sz w:val="17"/>
              </w:rPr>
              <w:t>制度约束和公共信号</w:t>
            </w:r>
          </w:p>
        </w:tc>
        <w:tc>
          <w:tcPr>
            <w:tcW w:type="dxa" w:w="1928"/>
            <w:vAlign w:val="center"/>
          </w:tcPr>
          <w:p>
            <w:pPr>
              <w:spacing w:after="0" w:line="252" w:lineRule="auto"/>
            </w:pPr>
            <w:r/>
            <w:r>
              <w:rPr>
                <w:rFonts w:ascii="Noto Sans" w:hAnsi="Noto Sans" w:eastAsia="Noto Sans CJK SC" w:cs="Noto Sans"/>
                <w:b w:val="0"/>
                <w:i w:val="0"/>
                <w:sz w:val="17"/>
              </w:rPr>
              <w:t>规则引擎自动生成</w:t>
            </w:r>
          </w:p>
        </w:tc>
      </w:tr>
    </w:tbl>
    <w:p/>
    <w:p>
      <w:pPr>
        <w:pStyle w:val="Heading2"/>
        <w:spacing w:before="160" w:after="80"/>
      </w:pPr>
      <w:r>
        <w:t>4.4 消息结构与策略类型</w:t>
      </w:r>
    </w:p>
    <w:p>
      <w:pPr>
        <w:spacing w:line="276" w:lineRule="auto" w:after="100"/>
        <w:ind w:firstLine="420"/>
      </w:pPr>
      <w:r>
        <w:rPr>
          <w:rFonts w:ascii="Noto Sans" w:hAnsi="Noto Sans" w:eastAsia="Noto Sans CJK SC" w:cs="Noto Sans"/>
          <w:b w:val="0"/>
          <w:i w:val="0"/>
          <w:sz w:val="21"/>
        </w:rPr>
        <w:t>每条消息需要结构化，不能只是自由文本。结构化字段既方便前端展示，也方便后续计算可信度、影响力和信息扩散。</w:t>
      </w:r>
    </w:p>
    <w:tbl>
      <w:tblPr>
        <w:tblStyle w:val="TableGrid"/>
        <w:tblW w:type="auto" w:w="0"/>
        <w:tblLook w:firstColumn="1" w:firstRow="1" w:lastColumn="0" w:lastRow="0" w:noHBand="0" w:noVBand="1" w:val="04A0"/>
      </w:tblPr>
      <w:tblGrid>
        <w:gridCol w:w="9524"/>
      </w:tblGrid>
      <w:tr>
        <w:tc>
          <w:tcPr>
            <w:tcW w:type="dxa" w:w="9524"/>
            <w:shd w:fill="F2F2F2"/>
          </w:tcPr>
          <w:p>
            <w:pPr>
              <w:spacing w:after="0"/>
            </w:pPr>
            <w:r/>
            <w:r>
              <w:rPr>
                <w:rFonts w:ascii="DejaVu Sans Mono" w:hAnsi="DejaVu Sans Mono" w:eastAsia="Noto Sans CJK SC"/>
                <w:sz w:val="16"/>
              </w:rPr>
              <w:t>Message = {</w:t>
            </w:r>
            <w:r>
              <w:br/>
            </w:r>
            <w:r>
              <w:rPr>
                <w:rFonts w:ascii="DejaVu Sans Mono" w:hAnsi="DejaVu Sans Mono" w:eastAsia="Noto Sans CJK SC"/>
                <w:sz w:val="16"/>
              </w:rPr>
              <w:t xml:space="preserve">  message_id: str,</w:t>
            </w:r>
            <w:r>
              <w:br/>
            </w:r>
            <w:r>
              <w:rPr>
                <w:rFonts w:ascii="DejaVu Sans Mono" w:hAnsi="DejaVu Sans Mono" w:eastAsia="Noto Sans CJK SC"/>
                <w:sz w:val="16"/>
              </w:rPr>
              <w:t xml:space="preserve">  t: int,</w:t>
            </w:r>
            <w:r>
              <w:br/>
            </w:r>
            <w:r>
              <w:rPr>
                <w:rFonts w:ascii="DejaVu Sans Mono" w:hAnsi="DejaVu Sans Mono" w:eastAsia="Noto Sans CJK SC"/>
                <w:sz w:val="16"/>
              </w:rPr>
              <w:t xml:space="preserve">  sender_id: str,</w:t>
            </w:r>
            <w:r>
              <w:br/>
            </w:r>
            <w:r>
              <w:rPr>
                <w:rFonts w:ascii="DejaVu Sans Mono" w:hAnsi="DejaVu Sans Mono" w:eastAsia="Noto Sans CJK SC"/>
                <w:sz w:val="16"/>
              </w:rPr>
              <w:t xml:space="preserve">  channel: enum[public, private, moments, risk_board],</w:t>
            </w:r>
            <w:r>
              <w:br/>
            </w:r>
            <w:r>
              <w:rPr>
                <w:rFonts w:ascii="DejaVu Sans Mono" w:hAnsi="DejaVu Sans Mono" w:eastAsia="Noto Sans CJK SC"/>
                <w:sz w:val="16"/>
              </w:rPr>
              <w:t xml:space="preserve">  receiver_ids: list[str],</w:t>
            </w:r>
            <w:r>
              <w:br/>
            </w:r>
            <w:r>
              <w:rPr>
                <w:rFonts w:ascii="DejaVu Sans Mono" w:hAnsi="DejaVu Sans Mono" w:eastAsia="Noto Sans CJK SC"/>
                <w:sz w:val="16"/>
              </w:rPr>
              <w:t xml:space="preserve">  tickers: list[str],</w:t>
            </w:r>
            <w:r>
              <w:br/>
            </w:r>
            <w:r>
              <w:rPr>
                <w:rFonts w:ascii="DejaVu Sans Mono" w:hAnsi="DejaVu Sans Mono" w:eastAsia="Noto Sans CJK SC"/>
                <w:sz w:val="16"/>
              </w:rPr>
              <w:t xml:space="preserve">  horizon: enum[short, medium, long],</w:t>
            </w:r>
            <w:r>
              <w:br/>
            </w:r>
            <w:r>
              <w:rPr>
                <w:rFonts w:ascii="DejaVu Sans Mono" w:hAnsi="DejaVu Sans Mono" w:eastAsia="Noto Sans CJK SC"/>
                <w:sz w:val="16"/>
              </w:rPr>
              <w:t xml:space="preserve">  claim_type: enum[trend, reversal, risk, valuation, sentiment, meta],</w:t>
            </w:r>
            <w:r>
              <w:br/>
            </w:r>
            <w:r>
              <w:rPr>
                <w:rFonts w:ascii="DejaVu Sans Mono" w:hAnsi="DejaVu Sans Mono" w:eastAsia="Noto Sans CJK SC"/>
                <w:sz w:val="16"/>
              </w:rPr>
              <w:t xml:space="preserve">  direction: enum[bullish, bearish, neutral],</w:t>
            </w:r>
            <w:r>
              <w:br/>
            </w:r>
            <w:r>
              <w:rPr>
                <w:rFonts w:ascii="DejaVu Sans Mono" w:hAnsi="DejaVu Sans Mono" w:eastAsia="Noto Sans CJK SC"/>
                <w:sz w:val="16"/>
              </w:rPr>
              <w:t xml:space="preserve">  confidence: float in [0, 1],</w:t>
            </w:r>
            <w:r>
              <w:br/>
            </w:r>
            <w:r>
              <w:rPr>
                <w:rFonts w:ascii="DejaVu Sans Mono" w:hAnsi="DejaVu Sans Mono" w:eastAsia="Noto Sans CJK SC"/>
                <w:sz w:val="16"/>
              </w:rPr>
              <w:t xml:space="preserve">  evidence: list[str],</w:t>
            </w:r>
            <w:r>
              <w:br/>
            </w:r>
            <w:r>
              <w:rPr>
                <w:rFonts w:ascii="DejaVu Sans Mono" w:hAnsi="DejaVu Sans Mono" w:eastAsia="Noto Sans CJK SC"/>
                <w:sz w:val="16"/>
              </w:rPr>
              <w:t xml:space="preserve">  position_intent: enum[increase, decrease, hold, unknown],</w:t>
            </w:r>
            <w:r>
              <w:br/>
            </w:r>
            <w:r>
              <w:rPr>
                <w:rFonts w:ascii="DejaVu Sans Mono" w:hAnsi="DejaVu Sans Mono" w:eastAsia="Noto Sans CJK SC"/>
                <w:sz w:val="16"/>
              </w:rPr>
              <w:t xml:space="preserve">  natural_language: str,</w:t>
            </w:r>
            <w:r>
              <w:br/>
            </w:r>
            <w:r>
              <w:rPr>
                <w:rFonts w:ascii="DejaVu Sans Mono" w:hAnsi="DejaVu Sans Mono" w:eastAsia="Noto Sans CJK SC"/>
                <w:sz w:val="16"/>
              </w:rPr>
              <w:t xml:space="preserve">  created_at: timestamp,</w:t>
            </w:r>
            <w:r>
              <w:br/>
            </w:r>
            <w:r>
              <w:rPr>
                <w:rFonts w:ascii="DejaVu Sans Mono" w:hAnsi="DejaVu Sans Mono" w:eastAsia="Noto Sans CJK SC"/>
                <w:sz w:val="16"/>
              </w:rPr>
              <w:t xml:space="preserve">  expires_at: timestamp</w:t>
            </w:r>
            <w:r>
              <w:br/>
            </w:r>
            <w:r>
              <w:rPr>
                <w:rFonts w:ascii="DejaVu Sans Mono" w:hAnsi="DejaVu Sans Mono" w:eastAsia="Noto Sans CJK SC"/>
                <w:sz w:val="16"/>
              </w:rPr>
              <w:t>}</w:t>
            </w:r>
            <w:r>
              <w:br/>
            </w:r>
          </w:p>
        </w:tc>
      </w:tr>
    </w:tbl>
    <w:p/>
    <w:p>
      <w:pPr>
        <w:spacing w:line="276" w:lineRule="auto" w:after="100"/>
        <w:ind w:firstLine="420"/>
      </w:pPr>
      <w:r>
        <w:rPr>
          <w:rFonts w:ascii="Noto Sans" w:hAnsi="Noto Sans" w:eastAsia="Noto Sans CJK SC" w:cs="Noto Sans"/>
          <w:b w:val="0"/>
          <w:i w:val="0"/>
          <w:sz w:val="21"/>
        </w:rPr>
        <w:t>在此基础上，可以设置不同沟通策略：TruthfulReporter 倾向于如实公开自身信号；Persuader 在不违反格式的情况下尝试影响别人；FreeRider 多读取少发言；Contrarian 系统性折扣热门消息；RiskManager 只发布风险警报；Colluder 主要通过私聊交换信息。需要强调的是，课程项目中不应鼓励真实市场操纵，这些角色仅用于模拟“信息是否可信”和“目标不一致时信息如何传递”的博弈机制。</w:t>
      </w:r>
    </w:p>
    <w:p>
      <w:pPr>
        <w:pStyle w:val="Heading1"/>
        <w:spacing w:before="200" w:after="120"/>
      </w:pPr>
      <w:r>
        <w:t>5 Agent 类型与信息聚合机制</w:t>
      </w:r>
    </w:p>
    <w:p>
      <w:pPr>
        <w:pStyle w:val="Heading2"/>
        <w:spacing w:before="160" w:after="80"/>
      </w:pPr>
      <w:r>
        <w:t>5.1 基础交易 agent</w:t>
      </w:r>
    </w:p>
    <w:p>
      <w:pPr>
        <w:spacing w:line="276" w:lineRule="auto" w:after="100"/>
        <w:ind w:firstLine="420"/>
      </w:pPr>
      <w:r>
        <w:rPr>
          <w:rFonts w:ascii="Noto Sans" w:hAnsi="Noto Sans" w:eastAsia="Noto Sans CJK SC" w:cs="Noto Sans"/>
          <w:b w:val="0"/>
          <w:i w:val="0"/>
          <w:sz w:val="21"/>
        </w:rPr>
        <w:t>保留原报告中的基础策略型 agent，但为每个 agent 增加信号向量、消息偏好和风险参数。</w:t>
      </w:r>
    </w:p>
    <w:tbl>
      <w:tblPr>
        <w:tblStyle w:val="TableGrid"/>
        <w:tblW w:type="auto" w:w="0"/>
        <w:jc w:val="center"/>
        <w:tblLook w:firstColumn="1" w:firstRow="1" w:lastColumn="0" w:lastRow="0" w:noHBand="0" w:noVBand="1" w:val="04A0"/>
      </w:tblPr>
      <w:tblGrid>
        <w:gridCol w:w="1905"/>
        <w:gridCol w:w="1905"/>
        <w:gridCol w:w="1905"/>
        <w:gridCol w:w="1905"/>
        <w:gridCol w:w="1905"/>
      </w:tblGrid>
      <w:tr>
        <w:tc>
          <w:tcPr>
            <w:tcW w:type="dxa" w:w="1928"/>
            <w:vAlign w:val="center"/>
            <w:shd w:fill="D9EAF7"/>
          </w:tcPr>
          <w:p>
            <w:pPr>
              <w:spacing w:after="0" w:line="252" w:lineRule="auto"/>
            </w:pPr>
            <w:r/>
            <w:r>
              <w:rPr>
                <w:rFonts w:ascii="Noto Sans" w:hAnsi="Noto Sans" w:eastAsia="Noto Sans CJK SC" w:cs="Noto Sans"/>
                <w:b/>
                <w:i w:val="0"/>
                <w:sz w:val="17"/>
              </w:rPr>
              <w:t>Agent</w:t>
            </w:r>
          </w:p>
        </w:tc>
        <w:tc>
          <w:tcPr>
            <w:tcW w:type="dxa" w:w="2268"/>
            <w:vAlign w:val="center"/>
            <w:shd w:fill="D9EAF7"/>
          </w:tcPr>
          <w:p>
            <w:pPr>
              <w:spacing w:after="0" w:line="252" w:lineRule="auto"/>
            </w:pPr>
            <w:r/>
            <w:r>
              <w:rPr>
                <w:rFonts w:ascii="Noto Sans" w:hAnsi="Noto Sans" w:eastAsia="Noto Sans CJK SC" w:cs="Noto Sans"/>
                <w:b/>
                <w:i w:val="0"/>
                <w:sz w:val="17"/>
              </w:rPr>
              <w:t>量化信号</w:t>
            </w:r>
          </w:p>
        </w:tc>
        <w:tc>
          <w:tcPr>
            <w:tcW w:type="dxa" w:w="2098"/>
            <w:vAlign w:val="center"/>
            <w:shd w:fill="D9EAF7"/>
          </w:tcPr>
          <w:p>
            <w:pPr>
              <w:spacing w:after="0" w:line="252" w:lineRule="auto"/>
            </w:pPr>
            <w:r/>
            <w:r>
              <w:rPr>
                <w:rFonts w:ascii="Noto Sans" w:hAnsi="Noto Sans" w:eastAsia="Noto Sans CJK SC" w:cs="Noto Sans"/>
                <w:b/>
                <w:i w:val="0"/>
                <w:sz w:val="17"/>
              </w:rPr>
              <w:t>沟通风格</w:t>
            </w:r>
          </w:p>
        </w:tc>
        <w:tc>
          <w:tcPr>
            <w:tcW w:type="dxa" w:w="1247"/>
            <w:vAlign w:val="center"/>
            <w:shd w:fill="D9EAF7"/>
          </w:tcPr>
          <w:p>
            <w:pPr>
              <w:spacing w:after="0" w:line="252" w:lineRule="auto"/>
            </w:pPr>
            <w:r/>
            <w:r>
              <w:rPr>
                <w:rFonts w:ascii="Noto Sans" w:hAnsi="Noto Sans" w:eastAsia="Noto Sans CJK SC" w:cs="Noto Sans"/>
                <w:b/>
                <w:i w:val="0"/>
                <w:sz w:val="17"/>
              </w:rPr>
              <w:t>风险偏好</w:t>
            </w:r>
          </w:p>
        </w:tc>
        <w:tc>
          <w:tcPr>
            <w:tcW w:type="dxa" w:w="2608"/>
            <w:vAlign w:val="center"/>
            <w:shd w:fill="D9EAF7"/>
          </w:tcPr>
          <w:p>
            <w:pPr>
              <w:spacing w:after="0" w:line="252" w:lineRule="auto"/>
            </w:pPr>
            <w:r/>
            <w:r>
              <w:rPr>
                <w:rFonts w:ascii="Noto Sans" w:hAnsi="Noto Sans" w:eastAsia="Noto Sans CJK SC" w:cs="Noto Sans"/>
                <w:b/>
                <w:i w:val="0"/>
                <w:sz w:val="17"/>
              </w:rPr>
              <w:t>可能失效情形</w:t>
            </w:r>
          </w:p>
        </w:tc>
      </w:tr>
      <w:tr>
        <w:tc>
          <w:tcPr>
            <w:tcW w:type="dxa" w:w="1928"/>
            <w:vAlign w:val="center"/>
          </w:tcPr>
          <w:p>
            <w:pPr>
              <w:spacing w:after="0" w:line="252" w:lineRule="auto"/>
            </w:pPr>
            <w:r/>
            <w:r>
              <w:rPr>
                <w:rFonts w:ascii="Noto Sans" w:hAnsi="Noto Sans" w:eastAsia="Noto Sans CJK SC" w:cs="Noto Sans"/>
                <w:b w:val="0"/>
                <w:i w:val="0"/>
                <w:sz w:val="17"/>
              </w:rPr>
              <w:t>MomentumAgent</w:t>
            </w:r>
          </w:p>
        </w:tc>
        <w:tc>
          <w:tcPr>
            <w:tcW w:type="dxa" w:w="2268"/>
            <w:vAlign w:val="center"/>
          </w:tcPr>
          <w:p>
            <w:pPr>
              <w:spacing w:after="0" w:line="252" w:lineRule="auto"/>
            </w:pPr>
            <w:r/>
            <w:r>
              <w:rPr>
                <w:rFonts w:ascii="Noto Sans" w:hAnsi="Noto Sans" w:eastAsia="Noto Sans CJK SC" w:cs="Noto Sans"/>
                <w:b w:val="0"/>
                <w:i w:val="0"/>
                <w:sz w:val="17"/>
              </w:rPr>
              <w:t>近 N 日收益率、趋势强度</w:t>
            </w:r>
          </w:p>
        </w:tc>
        <w:tc>
          <w:tcPr>
            <w:tcW w:type="dxa" w:w="2098"/>
            <w:vAlign w:val="center"/>
          </w:tcPr>
          <w:p>
            <w:pPr>
              <w:spacing w:after="0" w:line="252" w:lineRule="auto"/>
            </w:pPr>
            <w:r/>
            <w:r>
              <w:rPr>
                <w:rFonts w:ascii="Noto Sans" w:hAnsi="Noto Sans" w:eastAsia="Noto Sans CJK SC" w:cs="Noto Sans"/>
                <w:b w:val="0"/>
                <w:i w:val="0"/>
                <w:sz w:val="17"/>
              </w:rPr>
              <w:t>倾向公开趋势判断</w:t>
            </w:r>
          </w:p>
        </w:tc>
        <w:tc>
          <w:tcPr>
            <w:tcW w:type="dxa" w:w="1247"/>
            <w:vAlign w:val="center"/>
          </w:tcPr>
          <w:p>
            <w:pPr>
              <w:spacing w:after="0" w:line="252" w:lineRule="auto"/>
            </w:pPr>
            <w:r/>
            <w:r>
              <w:rPr>
                <w:rFonts w:ascii="Noto Sans" w:hAnsi="Noto Sans" w:eastAsia="Noto Sans CJK SC" w:cs="Noto Sans"/>
                <w:b w:val="0"/>
                <w:i w:val="0"/>
                <w:sz w:val="17"/>
              </w:rPr>
              <w:t>中高风险</w:t>
            </w:r>
          </w:p>
        </w:tc>
        <w:tc>
          <w:tcPr>
            <w:tcW w:type="dxa" w:w="2608"/>
            <w:vAlign w:val="center"/>
          </w:tcPr>
          <w:p>
            <w:pPr>
              <w:spacing w:after="0" w:line="252" w:lineRule="auto"/>
            </w:pPr>
            <w:r/>
            <w:r>
              <w:rPr>
                <w:rFonts w:ascii="Noto Sans" w:hAnsi="Noto Sans" w:eastAsia="Noto Sans CJK SC" w:cs="Noto Sans"/>
                <w:b w:val="0"/>
                <w:i w:val="0"/>
                <w:sz w:val="17"/>
              </w:rPr>
              <w:t>反转行情中追高</w:t>
            </w:r>
          </w:p>
        </w:tc>
      </w:tr>
      <w:tr>
        <w:tc>
          <w:tcPr>
            <w:tcW w:type="dxa" w:w="1928"/>
            <w:vAlign w:val="center"/>
          </w:tcPr>
          <w:p>
            <w:pPr>
              <w:spacing w:after="0" w:line="252" w:lineRule="auto"/>
            </w:pPr>
            <w:r/>
            <w:r>
              <w:rPr>
                <w:rFonts w:ascii="Noto Sans" w:hAnsi="Noto Sans" w:eastAsia="Noto Sans CJK SC" w:cs="Noto Sans"/>
                <w:b w:val="0"/>
                <w:i w:val="0"/>
                <w:sz w:val="17"/>
              </w:rPr>
              <w:t>MeanReversionAgent</w:t>
            </w:r>
          </w:p>
        </w:tc>
        <w:tc>
          <w:tcPr>
            <w:tcW w:type="dxa" w:w="2268"/>
            <w:vAlign w:val="center"/>
          </w:tcPr>
          <w:p>
            <w:pPr>
              <w:spacing w:after="0" w:line="252" w:lineRule="auto"/>
            </w:pPr>
            <w:r/>
            <w:r>
              <w:rPr>
                <w:rFonts w:ascii="Noto Sans" w:hAnsi="Noto Sans" w:eastAsia="Noto Sans CJK SC" w:cs="Noto Sans"/>
                <w:b w:val="0"/>
                <w:i w:val="0"/>
                <w:sz w:val="17"/>
              </w:rPr>
              <w:t>价格偏离均线/布林带</w:t>
            </w:r>
          </w:p>
        </w:tc>
        <w:tc>
          <w:tcPr>
            <w:tcW w:type="dxa" w:w="2098"/>
            <w:vAlign w:val="center"/>
          </w:tcPr>
          <w:p>
            <w:pPr>
              <w:spacing w:after="0" w:line="252" w:lineRule="auto"/>
            </w:pPr>
            <w:r/>
            <w:r>
              <w:rPr>
                <w:rFonts w:ascii="Noto Sans" w:hAnsi="Noto Sans" w:eastAsia="Noto Sans CJK SC" w:cs="Noto Sans"/>
                <w:b w:val="0"/>
                <w:i w:val="0"/>
                <w:sz w:val="17"/>
              </w:rPr>
              <w:t>偏好反驳热门趋势</w:t>
            </w:r>
          </w:p>
        </w:tc>
        <w:tc>
          <w:tcPr>
            <w:tcW w:type="dxa" w:w="1247"/>
            <w:vAlign w:val="center"/>
          </w:tcPr>
          <w:p>
            <w:pPr>
              <w:spacing w:after="0" w:line="252" w:lineRule="auto"/>
            </w:pPr>
            <w:r/>
            <w:r>
              <w:rPr>
                <w:rFonts w:ascii="Noto Sans" w:hAnsi="Noto Sans" w:eastAsia="Noto Sans CJK SC" w:cs="Noto Sans"/>
                <w:b w:val="0"/>
                <w:i w:val="0"/>
                <w:sz w:val="17"/>
              </w:rPr>
              <w:t>中等风险</w:t>
            </w:r>
          </w:p>
        </w:tc>
        <w:tc>
          <w:tcPr>
            <w:tcW w:type="dxa" w:w="2608"/>
            <w:vAlign w:val="center"/>
          </w:tcPr>
          <w:p>
            <w:pPr>
              <w:spacing w:after="0" w:line="252" w:lineRule="auto"/>
            </w:pPr>
            <w:r/>
            <w:r>
              <w:rPr>
                <w:rFonts w:ascii="Noto Sans" w:hAnsi="Noto Sans" w:eastAsia="Noto Sans CJK SC" w:cs="Noto Sans"/>
                <w:b w:val="0"/>
                <w:i w:val="0"/>
                <w:sz w:val="17"/>
              </w:rPr>
              <w:t>单边趋势中越跌越买</w:t>
            </w:r>
          </w:p>
        </w:tc>
      </w:tr>
      <w:tr>
        <w:tc>
          <w:tcPr>
            <w:tcW w:type="dxa" w:w="1928"/>
            <w:vAlign w:val="center"/>
          </w:tcPr>
          <w:p>
            <w:pPr>
              <w:spacing w:after="0" w:line="252" w:lineRule="auto"/>
            </w:pPr>
            <w:r/>
            <w:r>
              <w:rPr>
                <w:rFonts w:ascii="Noto Sans" w:hAnsi="Noto Sans" w:eastAsia="Noto Sans CJK SC" w:cs="Noto Sans"/>
                <w:b w:val="0"/>
                <w:i w:val="0"/>
                <w:sz w:val="17"/>
              </w:rPr>
              <w:t>LowVolatilityAgent</w:t>
            </w:r>
          </w:p>
        </w:tc>
        <w:tc>
          <w:tcPr>
            <w:tcW w:type="dxa" w:w="2268"/>
            <w:vAlign w:val="center"/>
          </w:tcPr>
          <w:p>
            <w:pPr>
              <w:spacing w:after="0" w:line="252" w:lineRule="auto"/>
            </w:pPr>
            <w:r/>
            <w:r>
              <w:rPr>
                <w:rFonts w:ascii="Noto Sans" w:hAnsi="Noto Sans" w:eastAsia="Noto Sans CJK SC" w:cs="Noto Sans"/>
                <w:b w:val="0"/>
                <w:i w:val="0"/>
                <w:sz w:val="17"/>
              </w:rPr>
              <w:t>波动率、下行波动、回撤</w:t>
            </w:r>
          </w:p>
        </w:tc>
        <w:tc>
          <w:tcPr>
            <w:tcW w:type="dxa" w:w="2098"/>
            <w:vAlign w:val="center"/>
          </w:tcPr>
          <w:p>
            <w:pPr>
              <w:spacing w:after="0" w:line="252" w:lineRule="auto"/>
            </w:pPr>
            <w:r/>
            <w:r>
              <w:rPr>
                <w:rFonts w:ascii="Noto Sans" w:hAnsi="Noto Sans" w:eastAsia="Noto Sans CJK SC" w:cs="Noto Sans"/>
                <w:b w:val="0"/>
                <w:i w:val="0"/>
                <w:sz w:val="17"/>
              </w:rPr>
              <w:t>常发布风险提醒</w:t>
            </w:r>
          </w:p>
        </w:tc>
        <w:tc>
          <w:tcPr>
            <w:tcW w:type="dxa" w:w="1247"/>
            <w:vAlign w:val="center"/>
          </w:tcPr>
          <w:p>
            <w:pPr>
              <w:spacing w:after="0" w:line="252" w:lineRule="auto"/>
            </w:pPr>
            <w:r/>
            <w:r>
              <w:rPr>
                <w:rFonts w:ascii="Noto Sans" w:hAnsi="Noto Sans" w:eastAsia="Noto Sans CJK SC" w:cs="Noto Sans"/>
                <w:b w:val="0"/>
                <w:i w:val="0"/>
                <w:sz w:val="17"/>
              </w:rPr>
              <w:t>低风险</w:t>
            </w:r>
          </w:p>
        </w:tc>
        <w:tc>
          <w:tcPr>
            <w:tcW w:type="dxa" w:w="2608"/>
            <w:vAlign w:val="center"/>
          </w:tcPr>
          <w:p>
            <w:pPr>
              <w:spacing w:after="0" w:line="252" w:lineRule="auto"/>
            </w:pPr>
            <w:r/>
            <w:r>
              <w:rPr>
                <w:rFonts w:ascii="Noto Sans" w:hAnsi="Noto Sans" w:eastAsia="Noto Sans CJK SC" w:cs="Noto Sans"/>
                <w:b w:val="0"/>
                <w:i w:val="0"/>
                <w:sz w:val="17"/>
              </w:rPr>
              <w:t>牛市中收益偏保守</w:t>
            </w:r>
          </w:p>
        </w:tc>
      </w:tr>
      <w:tr>
        <w:tc>
          <w:tcPr>
            <w:tcW w:type="dxa" w:w="1928"/>
            <w:vAlign w:val="center"/>
          </w:tcPr>
          <w:p>
            <w:pPr>
              <w:spacing w:after="0" w:line="252" w:lineRule="auto"/>
            </w:pPr>
            <w:r/>
            <w:r>
              <w:rPr>
                <w:rFonts w:ascii="Noto Sans" w:hAnsi="Noto Sans" w:eastAsia="Noto Sans CJK SC" w:cs="Noto Sans"/>
                <w:b w:val="0"/>
                <w:i w:val="0"/>
                <w:sz w:val="17"/>
              </w:rPr>
              <w:t>DrawdownBuyerAgent</w:t>
            </w:r>
          </w:p>
        </w:tc>
        <w:tc>
          <w:tcPr>
            <w:tcW w:type="dxa" w:w="2268"/>
            <w:vAlign w:val="center"/>
          </w:tcPr>
          <w:p>
            <w:pPr>
              <w:spacing w:after="0" w:line="252" w:lineRule="auto"/>
            </w:pPr>
            <w:r/>
            <w:r>
              <w:rPr>
                <w:rFonts w:ascii="Noto Sans" w:hAnsi="Noto Sans" w:eastAsia="Noto Sans CJK SC" w:cs="Noto Sans"/>
                <w:b w:val="0"/>
                <w:i w:val="0"/>
                <w:sz w:val="17"/>
              </w:rPr>
              <w:t>相对高点回撤、估值修复机会</w:t>
            </w:r>
          </w:p>
        </w:tc>
        <w:tc>
          <w:tcPr>
            <w:tcW w:type="dxa" w:w="2098"/>
            <w:vAlign w:val="center"/>
          </w:tcPr>
          <w:p>
            <w:pPr>
              <w:spacing w:after="0" w:line="252" w:lineRule="auto"/>
            </w:pPr>
            <w:r/>
            <w:r>
              <w:rPr>
                <w:rFonts w:ascii="Noto Sans" w:hAnsi="Noto Sans" w:eastAsia="Noto Sans CJK SC" w:cs="Noto Sans"/>
                <w:b w:val="0"/>
                <w:i w:val="0"/>
                <w:sz w:val="17"/>
              </w:rPr>
              <w:t>常在朋友圈发布“逢低”观点</w:t>
            </w:r>
          </w:p>
        </w:tc>
        <w:tc>
          <w:tcPr>
            <w:tcW w:type="dxa" w:w="1247"/>
            <w:vAlign w:val="center"/>
          </w:tcPr>
          <w:p>
            <w:pPr>
              <w:spacing w:after="0" w:line="252" w:lineRule="auto"/>
            </w:pPr>
            <w:r/>
            <w:r>
              <w:rPr>
                <w:rFonts w:ascii="Noto Sans" w:hAnsi="Noto Sans" w:eastAsia="Noto Sans CJK SC" w:cs="Noto Sans"/>
                <w:b w:val="0"/>
                <w:i w:val="0"/>
                <w:sz w:val="17"/>
              </w:rPr>
              <w:t>中高风险</w:t>
            </w:r>
          </w:p>
        </w:tc>
        <w:tc>
          <w:tcPr>
            <w:tcW w:type="dxa" w:w="2608"/>
            <w:vAlign w:val="center"/>
          </w:tcPr>
          <w:p>
            <w:pPr>
              <w:spacing w:after="0" w:line="252" w:lineRule="auto"/>
            </w:pPr>
            <w:r/>
            <w:r>
              <w:rPr>
                <w:rFonts w:ascii="Noto Sans" w:hAnsi="Noto Sans" w:eastAsia="Noto Sans CJK SC" w:cs="Noto Sans"/>
                <w:b w:val="0"/>
                <w:i w:val="0"/>
                <w:sz w:val="17"/>
              </w:rPr>
              <w:t>买到基本面恶化标的</w:t>
            </w:r>
          </w:p>
        </w:tc>
      </w:tr>
      <w:tr>
        <w:tc>
          <w:tcPr>
            <w:tcW w:type="dxa" w:w="1928"/>
            <w:vAlign w:val="center"/>
          </w:tcPr>
          <w:p>
            <w:pPr>
              <w:spacing w:after="0" w:line="252" w:lineRule="auto"/>
            </w:pPr>
            <w:r/>
            <w:r>
              <w:rPr>
                <w:rFonts w:ascii="Noto Sans" w:hAnsi="Noto Sans" w:eastAsia="Noto Sans CJK SC" w:cs="Noto Sans"/>
                <w:b w:val="0"/>
                <w:i w:val="0"/>
                <w:sz w:val="17"/>
              </w:rPr>
              <w:t>RandomAgent</w:t>
            </w:r>
          </w:p>
        </w:tc>
        <w:tc>
          <w:tcPr>
            <w:tcW w:type="dxa" w:w="2268"/>
            <w:vAlign w:val="center"/>
          </w:tcPr>
          <w:p>
            <w:pPr>
              <w:spacing w:after="0" w:line="252" w:lineRule="auto"/>
            </w:pPr>
            <w:r/>
            <w:r>
              <w:rPr>
                <w:rFonts w:ascii="Noto Sans" w:hAnsi="Noto Sans" w:eastAsia="Noto Sans CJK SC" w:cs="Noto Sans"/>
                <w:b w:val="0"/>
                <w:i w:val="0"/>
                <w:sz w:val="17"/>
              </w:rPr>
              <w:t>随机权重</w:t>
            </w:r>
          </w:p>
        </w:tc>
        <w:tc>
          <w:tcPr>
            <w:tcW w:type="dxa" w:w="2098"/>
            <w:vAlign w:val="center"/>
          </w:tcPr>
          <w:p>
            <w:pPr>
              <w:spacing w:after="0" w:line="252" w:lineRule="auto"/>
            </w:pPr>
            <w:r/>
            <w:r>
              <w:rPr>
                <w:rFonts w:ascii="Noto Sans" w:hAnsi="Noto Sans" w:eastAsia="Noto Sans CJK SC" w:cs="Noto Sans"/>
                <w:b w:val="0"/>
                <w:i w:val="0"/>
                <w:sz w:val="17"/>
              </w:rPr>
              <w:t>随机或沉默</w:t>
            </w:r>
          </w:p>
        </w:tc>
        <w:tc>
          <w:tcPr>
            <w:tcW w:type="dxa" w:w="1247"/>
            <w:vAlign w:val="center"/>
          </w:tcPr>
          <w:p>
            <w:pPr>
              <w:spacing w:after="0" w:line="252" w:lineRule="auto"/>
            </w:pPr>
            <w:r/>
            <w:r>
              <w:rPr>
                <w:rFonts w:ascii="Noto Sans" w:hAnsi="Noto Sans" w:eastAsia="Noto Sans CJK SC" w:cs="Noto Sans"/>
                <w:b w:val="0"/>
                <w:i w:val="0"/>
                <w:sz w:val="17"/>
              </w:rPr>
              <w:t>基准</w:t>
            </w:r>
          </w:p>
        </w:tc>
        <w:tc>
          <w:tcPr>
            <w:tcW w:type="dxa" w:w="2608"/>
            <w:vAlign w:val="center"/>
          </w:tcPr>
          <w:p>
            <w:pPr>
              <w:spacing w:after="0" w:line="252" w:lineRule="auto"/>
            </w:pPr>
            <w:r/>
            <w:r>
              <w:rPr>
                <w:rFonts w:ascii="Noto Sans" w:hAnsi="Noto Sans" w:eastAsia="Noto Sans CJK SC" w:cs="Noto Sans"/>
                <w:b w:val="0"/>
                <w:i w:val="0"/>
                <w:sz w:val="17"/>
              </w:rPr>
              <w:t>无经济含义，仅对照</w:t>
            </w:r>
          </w:p>
        </w:tc>
      </w:tr>
      <w:tr>
        <w:tc>
          <w:tcPr>
            <w:tcW w:type="dxa" w:w="1928"/>
            <w:vAlign w:val="center"/>
          </w:tcPr>
          <w:p>
            <w:pPr>
              <w:spacing w:after="0" w:line="252" w:lineRule="auto"/>
            </w:pPr>
            <w:r/>
            <w:r>
              <w:rPr>
                <w:rFonts w:ascii="Noto Sans" w:hAnsi="Noto Sans" w:eastAsia="Noto Sans CJK SC" w:cs="Noto Sans"/>
                <w:b w:val="0"/>
                <w:i w:val="0"/>
                <w:sz w:val="17"/>
              </w:rPr>
              <w:t>RiskManagerAgent</w:t>
            </w:r>
          </w:p>
        </w:tc>
        <w:tc>
          <w:tcPr>
            <w:tcW w:type="dxa" w:w="2268"/>
            <w:vAlign w:val="center"/>
          </w:tcPr>
          <w:p>
            <w:pPr>
              <w:spacing w:after="0" w:line="252" w:lineRule="auto"/>
            </w:pPr>
            <w:r/>
            <w:r>
              <w:rPr>
                <w:rFonts w:ascii="Noto Sans" w:hAnsi="Noto Sans" w:eastAsia="Noto Sans CJK SC" w:cs="Noto Sans"/>
                <w:b w:val="0"/>
                <w:i w:val="0"/>
                <w:sz w:val="17"/>
              </w:rPr>
              <w:t>组合暴露、回撤、集中度</w:t>
            </w:r>
          </w:p>
        </w:tc>
        <w:tc>
          <w:tcPr>
            <w:tcW w:type="dxa" w:w="2098"/>
            <w:vAlign w:val="center"/>
          </w:tcPr>
          <w:p>
            <w:pPr>
              <w:spacing w:after="0" w:line="252" w:lineRule="auto"/>
            </w:pPr>
            <w:r/>
            <w:r>
              <w:rPr>
                <w:rFonts w:ascii="Noto Sans" w:hAnsi="Noto Sans" w:eastAsia="Noto Sans CJK SC" w:cs="Noto Sans"/>
                <w:b w:val="0"/>
                <w:i w:val="0"/>
                <w:sz w:val="17"/>
              </w:rPr>
              <w:t>只在公告板/公聊发布约束</w:t>
            </w:r>
          </w:p>
        </w:tc>
        <w:tc>
          <w:tcPr>
            <w:tcW w:type="dxa" w:w="1247"/>
            <w:vAlign w:val="center"/>
          </w:tcPr>
          <w:p>
            <w:pPr>
              <w:spacing w:after="0" w:line="252" w:lineRule="auto"/>
            </w:pPr>
            <w:r/>
            <w:r>
              <w:rPr>
                <w:rFonts w:ascii="Noto Sans" w:hAnsi="Noto Sans" w:eastAsia="Noto Sans CJK SC" w:cs="Noto Sans"/>
                <w:b w:val="0"/>
                <w:i w:val="0"/>
                <w:sz w:val="17"/>
              </w:rPr>
              <w:t>极低风险</w:t>
            </w:r>
          </w:p>
        </w:tc>
        <w:tc>
          <w:tcPr>
            <w:tcW w:type="dxa" w:w="2608"/>
            <w:vAlign w:val="center"/>
          </w:tcPr>
          <w:p>
            <w:pPr>
              <w:spacing w:after="0" w:line="252" w:lineRule="auto"/>
            </w:pPr>
            <w:r/>
            <w:r>
              <w:rPr>
                <w:rFonts w:ascii="Noto Sans" w:hAnsi="Noto Sans" w:eastAsia="Noto Sans CJK SC" w:cs="Noto Sans"/>
                <w:b w:val="0"/>
                <w:i w:val="0"/>
                <w:sz w:val="17"/>
              </w:rPr>
              <w:t>可能过度限制收益</w:t>
            </w:r>
          </w:p>
        </w:tc>
      </w:tr>
      <w:tr>
        <w:tc>
          <w:tcPr>
            <w:tcW w:type="dxa" w:w="1928"/>
            <w:vAlign w:val="center"/>
          </w:tcPr>
          <w:p>
            <w:pPr>
              <w:spacing w:after="0" w:line="252" w:lineRule="auto"/>
            </w:pPr>
            <w:r/>
            <w:r>
              <w:rPr>
                <w:rFonts w:ascii="Noto Sans" w:hAnsi="Noto Sans" w:eastAsia="Noto Sans CJK SC" w:cs="Noto Sans"/>
                <w:b w:val="0"/>
                <w:i w:val="0"/>
                <w:sz w:val="17"/>
              </w:rPr>
              <w:t>LLMAnalystAgent</w:t>
            </w:r>
          </w:p>
        </w:tc>
        <w:tc>
          <w:tcPr>
            <w:tcW w:type="dxa" w:w="2268"/>
            <w:vAlign w:val="center"/>
          </w:tcPr>
          <w:p>
            <w:pPr>
              <w:spacing w:after="0" w:line="252" w:lineRule="auto"/>
            </w:pPr>
            <w:r/>
            <w:r>
              <w:rPr>
                <w:rFonts w:ascii="Noto Sans" w:hAnsi="Noto Sans" w:eastAsia="Noto Sans CJK SC" w:cs="Noto Sans"/>
                <w:b w:val="0"/>
                <w:i w:val="0"/>
                <w:sz w:val="17"/>
              </w:rPr>
              <w:t>新闻/财报/消息文本 + 价格摘要</w:t>
            </w:r>
          </w:p>
        </w:tc>
        <w:tc>
          <w:tcPr>
            <w:tcW w:type="dxa" w:w="2098"/>
            <w:vAlign w:val="center"/>
          </w:tcPr>
          <w:p>
            <w:pPr>
              <w:spacing w:after="0" w:line="252" w:lineRule="auto"/>
            </w:pPr>
            <w:r/>
            <w:r>
              <w:rPr>
                <w:rFonts w:ascii="Noto Sans" w:hAnsi="Noto Sans" w:eastAsia="Noto Sans CJK SC" w:cs="Noto Sans"/>
                <w:b w:val="0"/>
                <w:i w:val="0"/>
                <w:sz w:val="17"/>
              </w:rPr>
              <w:t>自然语言解释并输出结构化观点</w:t>
            </w:r>
          </w:p>
        </w:tc>
        <w:tc>
          <w:tcPr>
            <w:tcW w:type="dxa" w:w="1247"/>
            <w:vAlign w:val="center"/>
          </w:tcPr>
          <w:p>
            <w:pPr>
              <w:spacing w:after="0" w:line="252" w:lineRule="auto"/>
            </w:pPr>
            <w:r/>
            <w:r>
              <w:rPr>
                <w:rFonts w:ascii="Noto Sans" w:hAnsi="Noto Sans" w:eastAsia="Noto Sans CJK SC" w:cs="Noto Sans"/>
                <w:b w:val="0"/>
                <w:i w:val="0"/>
                <w:sz w:val="17"/>
              </w:rPr>
              <w:t>可配置</w:t>
            </w:r>
          </w:p>
        </w:tc>
        <w:tc>
          <w:tcPr>
            <w:tcW w:type="dxa" w:w="2608"/>
            <w:vAlign w:val="center"/>
          </w:tcPr>
          <w:p>
            <w:pPr>
              <w:spacing w:after="0" w:line="252" w:lineRule="auto"/>
            </w:pPr>
            <w:r/>
            <w:r>
              <w:rPr>
                <w:rFonts w:ascii="Noto Sans" w:hAnsi="Noto Sans" w:eastAsia="Noto Sans CJK SC" w:cs="Noto Sans"/>
                <w:b w:val="0"/>
                <w:i w:val="0"/>
                <w:sz w:val="17"/>
              </w:rPr>
              <w:t>幻觉、格式错误、过度自信</w:t>
            </w:r>
          </w:p>
        </w:tc>
      </w:tr>
    </w:tbl>
    <w:p/>
    <w:p>
      <w:pPr>
        <w:pStyle w:val="Heading2"/>
        <w:spacing w:before="160" w:after="80"/>
      </w:pPr>
      <w:r>
        <w:t>5.2 消息到信号的转换</w:t>
      </w:r>
    </w:p>
    <w:p>
      <w:pPr>
        <w:spacing w:line="276" w:lineRule="auto" w:after="100"/>
        <w:ind w:firstLine="420"/>
      </w:pPr>
      <w:r>
        <w:rPr>
          <w:rFonts w:ascii="Noto Sans" w:hAnsi="Noto Sans" w:eastAsia="Noto Sans CJK SC" w:cs="Noto Sans"/>
          <w:b w:val="0"/>
          <w:i w:val="0"/>
          <w:sz w:val="21"/>
        </w:rPr>
        <w:t>为了让聊天影响交易，系统需要把自然语言消息转成数值信号。对每条消息 m_j,t，提取方向 d_j,t、置信度 c_j,t、证据质量 e_j,t、涉及股票集合 K_j,t 和有效期。然后映射为 K 维消息信号向量 z_j,t^M：</w:t>
      </w:r>
    </w:p>
    <w:p>
      <w:pPr>
        <w:pStyle w:val="Formula"/>
        <w:spacing w:before="40" w:after="100"/>
        <w:jc w:val="center"/>
      </w:pPr>
      <w:r>
        <w:rPr>
          <w:rFonts w:ascii="Noto Sans" w:hAnsi="Noto Sans" w:eastAsia="Noto Sans CJK SC" w:cs="Noto Sans"/>
          <w:b w:val="0"/>
          <w:i w:val="0"/>
          <w:sz w:val="20"/>
        </w:rPr>
        <w:t>z_j,k,t^M = direction(m_j,t,k) × confidence(m_j,t) × evidence_quality(m_j,t) × decay(t - τ_j)</w:t>
      </w:r>
    </w:p>
    <w:p>
      <w:pPr>
        <w:spacing w:line="276" w:lineRule="auto" w:after="100"/>
        <w:ind w:firstLine="420"/>
      </w:pPr>
      <w:r>
        <w:rPr>
          <w:rFonts w:ascii="Noto Sans" w:hAnsi="Noto Sans" w:eastAsia="Noto Sans CJK SC" w:cs="Noto Sans"/>
          <w:b w:val="0"/>
          <w:i w:val="0"/>
          <w:sz w:val="21"/>
        </w:rPr>
        <w:t>其中 direction 可以取 +1、0、-1，decay 表示消息过期衰减。这样，无论消息来自规则 agent 还是 LLM agent，都能被纳入统一信息聚合框架。</w:t>
      </w:r>
    </w:p>
    <w:p>
      <w:pPr>
        <w:pStyle w:val="Heading2"/>
        <w:spacing w:before="160" w:after="80"/>
      </w:pPr>
      <w:r>
        <w:t>5.3 声誉加权聚合</w:t>
      </w:r>
    </w:p>
    <w:p>
      <w:pPr>
        <w:spacing w:line="276" w:lineRule="auto" w:after="100"/>
        <w:ind w:firstLine="420"/>
      </w:pPr>
      <w:r>
        <w:rPr>
          <w:rFonts w:ascii="Noto Sans" w:hAnsi="Noto Sans" w:eastAsia="Noto Sans CJK SC" w:cs="Noto Sans"/>
          <w:b w:val="0"/>
          <w:i w:val="0"/>
          <w:sz w:val="21"/>
        </w:rPr>
        <w:t>最直接的聚合方式是根据发送者声誉、消息置信度、证据质量和时间衰减确定权重。对 agent i 来说，它对发送者 j 的权重为：</w:t>
      </w:r>
    </w:p>
    <w:p>
      <w:pPr>
        <w:pStyle w:val="Formula"/>
        <w:spacing w:before="40" w:after="100"/>
        <w:jc w:val="center"/>
      </w:pPr>
      <w:r>
        <w:rPr>
          <w:rFonts w:ascii="Noto Sans" w:hAnsi="Noto Sans" w:eastAsia="Noto Sans CJK SC" w:cs="Noto Sans"/>
          <w:b w:val="0"/>
          <w:i w:val="0"/>
          <w:sz w:val="20"/>
        </w:rPr>
        <w:t>a_ij,t = exp(βρ · ρ_j,t + βc · c_j,t + βe · e_j,t - βb · conflict_ij,t - βd · age_j,t) / Σ_h exp(βρ · ρ_h,t + βc · c_h,t + βe · e_h,t - βb · conflict_ih,t - βd · age_h,t)</w:t>
      </w:r>
    </w:p>
    <w:p>
      <w:pPr>
        <w:spacing w:line="276" w:lineRule="auto" w:after="100"/>
        <w:ind w:firstLine="420"/>
      </w:pPr>
      <w:r>
        <w:rPr>
          <w:rFonts w:ascii="Noto Sans" w:hAnsi="Noto Sans" w:eastAsia="Noto Sans CJK SC" w:cs="Noto Sans"/>
          <w:b w:val="0"/>
          <w:i w:val="0"/>
          <w:sz w:val="21"/>
        </w:rPr>
        <w:t>聚合后的预期收益信号为：</w:t>
      </w:r>
    </w:p>
    <w:p>
      <w:pPr>
        <w:pStyle w:val="Formula"/>
        <w:spacing w:before="40" w:after="100"/>
        <w:jc w:val="center"/>
      </w:pPr>
      <w:r>
        <w:rPr>
          <w:rFonts w:ascii="Noto Sans" w:hAnsi="Noto Sans" w:eastAsia="Noto Sans CJK SC" w:cs="Noto Sans"/>
          <w:b w:val="0"/>
          <w:i w:val="0"/>
          <w:sz w:val="20"/>
        </w:rPr>
        <w:t>μ_hat_i,t = ωQ_i · z_i,t^Q + ωL_i · z_i,t^L + (1 - ωQ_i - ωL_i) · Σ_j a_ij,t z_j,t^M</w:t>
      </w:r>
    </w:p>
    <w:p>
      <w:pPr>
        <w:spacing w:line="276" w:lineRule="auto" w:after="100"/>
        <w:ind w:firstLine="420"/>
      </w:pPr>
      <w:r>
        <w:rPr>
          <w:rFonts w:ascii="Noto Sans" w:hAnsi="Noto Sans" w:eastAsia="Noto Sans CJK SC" w:cs="Noto Sans"/>
          <w:b w:val="0"/>
          <w:i w:val="0"/>
          <w:sz w:val="21"/>
        </w:rPr>
        <w:t>这里 z_i,t^Q 是自身量化信号，z_i,t^L 是 LLM 文本分析信号，z_j,t^M 是其他 agent 的消息信号。该公式是本项目的工程化设计，思想上结合了社会学习、声誉加权和金融观点聚合。</w:t>
      </w:r>
    </w:p>
    <w:p>
      <w:pPr>
        <w:pStyle w:val="Heading2"/>
        <w:spacing w:before="160" w:after="80"/>
      </w:pPr>
      <w:r>
        <w:t>5.4 DeGroot 共识更新</w:t>
      </w:r>
    </w:p>
    <w:p>
      <w:pPr>
        <w:spacing w:line="276" w:lineRule="auto" w:after="100"/>
        <w:ind w:firstLine="420"/>
      </w:pPr>
      <w:r>
        <w:rPr>
          <w:rFonts w:ascii="Noto Sans" w:hAnsi="Noto Sans" w:eastAsia="Noto Sans CJK SC" w:cs="Noto Sans"/>
          <w:b w:val="0"/>
          <w:i w:val="0"/>
          <w:sz w:val="21"/>
        </w:rPr>
        <w:t>如果希望更突出社交网络中的共识形成，可以使用 DeGroot 模型 [R3]。设 b_t 是所有 agent 对某只股票未来收益方向的信念向量，A_t 是由关注关系、私聊关系和历史可信度形成的行随机矩阵，则：</w:t>
      </w:r>
    </w:p>
    <w:p>
      <w:pPr>
        <w:pStyle w:val="Formula"/>
        <w:spacing w:before="40" w:after="100"/>
        <w:jc w:val="center"/>
      </w:pPr>
      <w:r>
        <w:rPr>
          <w:rFonts w:ascii="Noto Sans" w:hAnsi="Noto Sans" w:eastAsia="Noto Sans CJK SC" w:cs="Noto Sans"/>
          <w:b w:val="0"/>
          <w:i w:val="0"/>
          <w:sz w:val="20"/>
        </w:rPr>
        <w:t>b_t^(ℓ+1) = A_t · b_t^(ℓ)</w:t>
      </w:r>
    </w:p>
    <w:p>
      <w:pPr>
        <w:spacing w:line="276" w:lineRule="auto" w:after="100"/>
        <w:ind w:firstLine="420"/>
      </w:pPr>
      <w:r>
        <w:rPr>
          <w:rFonts w:ascii="Noto Sans" w:hAnsi="Noto Sans" w:eastAsia="Noto Sans CJK SC" w:cs="Noto Sans"/>
          <w:b w:val="0"/>
          <w:i w:val="0"/>
          <w:sz w:val="21"/>
        </w:rPr>
        <w:t>当 A_t 满足一定连通性条件时，agent 的观点会向共同信念收敛。项目可以比较“无聊天”“公聊”“私聊”“朋友圈”下 A_t 的变化，从而观察共识速度、意见极化和领袖节点。</w:t>
      </w:r>
    </w:p>
    <w:p>
      <w:pPr>
        <w:pStyle w:val="Heading2"/>
        <w:spacing w:before="160" w:after="80"/>
      </w:pPr>
      <w:r>
        <w:t>5.5 Black-Litterman 团队观点融合</w:t>
      </w:r>
    </w:p>
    <w:p>
      <w:pPr>
        <w:spacing w:line="276" w:lineRule="auto" w:after="100"/>
        <w:ind w:firstLine="420"/>
      </w:pPr>
      <w:r>
        <w:rPr>
          <w:rFonts w:ascii="Noto Sans" w:hAnsi="Noto Sans" w:eastAsia="Noto Sans CJK SC" w:cs="Noto Sans"/>
          <w:b w:val="0"/>
          <w:i w:val="0"/>
          <w:sz w:val="21"/>
        </w:rPr>
        <w:t>如果希望把多个 agent 的观点转化为组合优化输入，可以使用 Black-Litterman 思路 [R6]。设市场均衡先验为 π，协方差矩阵为 Σ，agent 观点写作 Pμ = q + ε，ε ~ N(0, Ω)，则后验预期收益为：</w:t>
      </w:r>
    </w:p>
    <w:p>
      <w:pPr>
        <w:pStyle w:val="Formula"/>
        <w:spacing w:before="40" w:after="100"/>
        <w:jc w:val="center"/>
      </w:pPr>
      <w:r>
        <w:rPr>
          <w:rFonts w:ascii="Noto Sans" w:hAnsi="Noto Sans" w:eastAsia="Noto Sans CJK SC" w:cs="Noto Sans"/>
          <w:b w:val="0"/>
          <w:i w:val="0"/>
          <w:sz w:val="20"/>
        </w:rPr>
        <w:t>μ_BL = [(τΣ)^(-1) + P′Ω^(-1)P]^(-1) [(τΣ)^(-1)π + P′Ω^(-1)q]</w:t>
      </w:r>
    </w:p>
    <w:p>
      <w:pPr>
        <w:spacing w:line="276" w:lineRule="auto" w:after="100"/>
        <w:ind w:firstLine="420"/>
      </w:pPr>
      <w:r>
        <w:rPr>
          <w:rFonts w:ascii="Noto Sans" w:hAnsi="Noto Sans" w:eastAsia="Noto Sans CJK SC" w:cs="Noto Sans"/>
          <w:b w:val="0"/>
          <w:i w:val="0"/>
          <w:sz w:val="21"/>
        </w:rPr>
        <w:t>在本项目中，P 表示 agent 对哪些股票或相对收益关系发表观点，q 是观点强度，Ω 是观点不确定性。发送者声誉越高、证据质量越好，Ω 可以越小；消息越模糊、冲突越大，Ω 越大。这样可以把聊天内容以可解释方式接入组合构建。</w:t>
      </w:r>
    </w:p>
    <w:p>
      <w:pPr>
        <w:pStyle w:val="Heading2"/>
        <w:spacing w:before="160" w:after="80"/>
      </w:pPr>
      <w:r>
        <w:t>5.6 在线专家加权与动态团队</w:t>
      </w:r>
    </w:p>
    <w:p>
      <w:pPr>
        <w:spacing w:line="276" w:lineRule="auto" w:after="100"/>
        <w:ind w:firstLine="420"/>
      </w:pPr>
      <w:r>
        <w:rPr>
          <w:rFonts w:ascii="Noto Sans" w:hAnsi="Noto Sans" w:eastAsia="Noto Sans CJK SC" w:cs="Noto Sans"/>
          <w:b w:val="0"/>
          <w:i w:val="0"/>
          <w:sz w:val="21"/>
        </w:rPr>
        <w:t>原报告中的 DynamicTeamAgent 可以进一步形式化为在线专家加权。设 agent j 到 t 期的累计风险调整得分为 S_j,t，则团队权重为：</w:t>
      </w:r>
    </w:p>
    <w:p>
      <w:pPr>
        <w:pStyle w:val="Formula"/>
        <w:spacing w:before="40" w:after="100"/>
        <w:jc w:val="center"/>
      </w:pPr>
      <w:r>
        <w:rPr>
          <w:rFonts w:ascii="Noto Sans" w:hAnsi="Noto Sans" w:eastAsia="Noto Sans CJK SC" w:cs="Noto Sans"/>
          <w:b w:val="0"/>
          <w:i w:val="0"/>
          <w:sz w:val="20"/>
        </w:rPr>
        <w:t>α_j,t = exp(η · S_j,t - ξ · MDD_j,t - ζ · calibration_error_j,t) / Σ_h exp(η · S_h,t - ξ · MDD_h,t - ζ · calibration_error_h,t)</w:t>
      </w:r>
    </w:p>
    <w:p>
      <w:pPr>
        <w:spacing w:line="276" w:lineRule="auto" w:after="100"/>
        <w:ind w:firstLine="420"/>
      </w:pPr>
      <w:r>
        <w:rPr>
          <w:rFonts w:ascii="Noto Sans" w:hAnsi="Noto Sans" w:eastAsia="Noto Sans CJK SC" w:cs="Noto Sans"/>
          <w:b w:val="0"/>
          <w:i w:val="0"/>
          <w:sz w:val="21"/>
        </w:rPr>
        <w:t>这与 Weighted Majority/Hedge 类算法思想一致：系统不假设哪一个专家永远正确，而是根据历史表现动态分配权重 [R7][R8]。课程实现中可以先使用 softmax 版本；后续再实现严格 regret 分析。</w:t>
      </w:r>
    </w:p>
    <w:p>
      <w:pPr>
        <w:pStyle w:val="Heading1"/>
        <w:spacing w:before="200" w:after="120"/>
      </w:pPr>
      <w:r>
        <w:t>6 约束 LLM 决策与安全边界</w:t>
      </w:r>
    </w:p>
    <w:p>
      <w:pPr>
        <w:spacing w:line="276" w:lineRule="auto" w:after="100"/>
        <w:ind w:firstLine="420"/>
      </w:pPr>
      <w:r>
        <w:rPr>
          <w:rFonts w:ascii="Noto Sans" w:hAnsi="Noto Sans" w:eastAsia="Noto Sans CJK SC" w:cs="Noto Sans"/>
          <w:b w:val="0"/>
          <w:i w:val="0"/>
          <w:sz w:val="21"/>
        </w:rPr>
        <w:t>若接入 LLM，不能让 LLM 直接执行交易。合理做法是让 LLM 生成解释、观点和目标组合建议，再由确定性代码进行解析、校验和执行。这样既保留 LLM 的文本理解与推理能力，也保证交易系统不会因为格式错误或幻觉而崩溃。</w:t>
      </w:r>
    </w:p>
    <w:p>
      <w:pPr>
        <w:pStyle w:val="Heading2"/>
        <w:spacing w:before="160" w:after="80"/>
      </w:pPr>
      <w:r>
        <w:t>6.1 LLM 输出 schema</w:t>
      </w:r>
    </w:p>
    <w:tbl>
      <w:tblPr>
        <w:tblStyle w:val="TableGrid"/>
        <w:tblW w:type="auto" w:w="0"/>
        <w:tblLook w:firstColumn="1" w:firstRow="1" w:lastColumn="0" w:lastRow="0" w:noHBand="0" w:noVBand="1" w:val="04A0"/>
      </w:tblPr>
      <w:tblGrid>
        <w:gridCol w:w="9524"/>
      </w:tblGrid>
      <w:tr>
        <w:tc>
          <w:tcPr>
            <w:tcW w:type="dxa" w:w="9524"/>
            <w:shd w:fill="F2F2F2"/>
          </w:tcPr>
          <w:p>
            <w:pPr>
              <w:spacing w:after="0"/>
            </w:pPr>
            <w:r/>
            <w:r>
              <w:rPr>
                <w:rFonts w:ascii="DejaVu Sans Mono" w:hAnsi="DejaVu Sans Mono" w:eastAsia="Noto Sans CJK SC"/>
                <w:sz w:val="16"/>
              </w:rPr>
              <w:t>LLMDecision = {</w:t>
            </w:r>
            <w:r>
              <w:br/>
            </w:r>
            <w:r>
              <w:rPr>
                <w:rFonts w:ascii="DejaVu Sans Mono" w:hAnsi="DejaVu Sans Mono" w:eastAsia="Noto Sans CJK SC"/>
                <w:sz w:val="16"/>
              </w:rPr>
              <w:t xml:space="preserve">  agent_id: str,</w:t>
            </w:r>
            <w:r>
              <w:br/>
            </w:r>
            <w:r>
              <w:rPr>
                <w:rFonts w:ascii="DejaVu Sans Mono" w:hAnsi="DejaVu Sans Mono" w:eastAsia="Noto Sans CJK SC"/>
                <w:sz w:val="16"/>
              </w:rPr>
              <w:t xml:space="preserve">  t: int,</w:t>
            </w:r>
            <w:r>
              <w:br/>
            </w:r>
            <w:r>
              <w:rPr>
                <w:rFonts w:ascii="DejaVu Sans Mono" w:hAnsi="DejaVu Sans Mono" w:eastAsia="Noto Sans CJK SC"/>
                <w:sz w:val="16"/>
              </w:rPr>
              <w:t xml:space="preserve">  visible_information_hash: str,</w:t>
            </w:r>
            <w:r>
              <w:br/>
            </w:r>
            <w:r>
              <w:rPr>
                <w:rFonts w:ascii="DejaVu Sans Mono" w:hAnsi="DejaVu Sans Mono" w:eastAsia="Noto Sans CJK SC"/>
                <w:sz w:val="16"/>
              </w:rPr>
              <w:t xml:space="preserve">  reasoning_summary: str,</w:t>
            </w:r>
            <w:r>
              <w:br/>
            </w:r>
            <w:r>
              <w:rPr>
                <w:rFonts w:ascii="DejaVu Sans Mono" w:hAnsi="DejaVu Sans Mono" w:eastAsia="Noto Sans CJK SC"/>
                <w:sz w:val="16"/>
              </w:rPr>
              <w:t xml:space="preserve">  messages_to_send: list[Message],</w:t>
            </w:r>
            <w:r>
              <w:br/>
            </w:r>
            <w:r>
              <w:rPr>
                <w:rFonts w:ascii="DejaVu Sans Mono" w:hAnsi="DejaVu Sans Mono" w:eastAsia="Noto Sans CJK SC"/>
                <w:sz w:val="16"/>
              </w:rPr>
              <w:t xml:space="preserve">  ticker_views: list[{</w:t>
            </w:r>
            <w:r>
              <w:br/>
            </w:r>
            <w:r>
              <w:rPr>
                <w:rFonts w:ascii="DejaVu Sans Mono" w:hAnsi="DejaVu Sans Mono" w:eastAsia="Noto Sans CJK SC"/>
                <w:sz w:val="16"/>
              </w:rPr>
              <w:t xml:space="preserve">    ticker: str,</w:t>
            </w:r>
            <w:r>
              <w:br/>
            </w:r>
            <w:r>
              <w:rPr>
                <w:rFonts w:ascii="DejaVu Sans Mono" w:hAnsi="DejaVu Sans Mono" w:eastAsia="Noto Sans CJK SC"/>
                <w:sz w:val="16"/>
              </w:rPr>
              <w:t xml:space="preserve">    direction: enum[bullish, bearish, neutral],</w:t>
            </w:r>
            <w:r>
              <w:br/>
            </w:r>
            <w:r>
              <w:rPr>
                <w:rFonts w:ascii="DejaVu Sans Mono" w:hAnsi="DejaVu Sans Mono" w:eastAsia="Noto Sans CJK SC"/>
                <w:sz w:val="16"/>
              </w:rPr>
              <w:t xml:space="preserve">    expected_return_score: float in [-1, 1],</w:t>
            </w:r>
            <w:r>
              <w:br/>
            </w:r>
            <w:r>
              <w:rPr>
                <w:rFonts w:ascii="DejaVu Sans Mono" w:hAnsi="DejaVu Sans Mono" w:eastAsia="Noto Sans CJK SC"/>
                <w:sz w:val="16"/>
              </w:rPr>
              <w:t xml:space="preserve">    confidence: float in [0, 1],</w:t>
            </w:r>
            <w:r>
              <w:br/>
            </w:r>
            <w:r>
              <w:rPr>
                <w:rFonts w:ascii="DejaVu Sans Mono" w:hAnsi="DejaVu Sans Mono" w:eastAsia="Noto Sans CJK SC"/>
                <w:sz w:val="16"/>
              </w:rPr>
              <w:t xml:space="preserve">    horizon: enum[short, medium, long]</w:t>
            </w:r>
            <w:r>
              <w:br/>
            </w:r>
            <w:r>
              <w:rPr>
                <w:rFonts w:ascii="DejaVu Sans Mono" w:hAnsi="DejaVu Sans Mono" w:eastAsia="Noto Sans CJK SC"/>
                <w:sz w:val="16"/>
              </w:rPr>
              <w:t xml:space="preserve">  }],</w:t>
            </w:r>
            <w:r>
              <w:br/>
            </w:r>
            <w:r>
              <w:rPr>
                <w:rFonts w:ascii="DejaVu Sans Mono" w:hAnsi="DejaVu Sans Mono" w:eastAsia="Noto Sans CJK SC"/>
                <w:sz w:val="16"/>
              </w:rPr>
              <w:t xml:space="preserve">  target_weights: dict[ticker, float],</w:t>
            </w:r>
            <w:r>
              <w:br/>
            </w:r>
            <w:r>
              <w:rPr>
                <w:rFonts w:ascii="DejaVu Sans Mono" w:hAnsi="DejaVu Sans Mono" w:eastAsia="Noto Sans CJK SC"/>
                <w:sz w:val="16"/>
              </w:rPr>
              <w:t xml:space="preserve">  risk_checks: {</w:t>
            </w:r>
            <w:r>
              <w:br/>
            </w:r>
            <w:r>
              <w:rPr>
                <w:rFonts w:ascii="DejaVu Sans Mono" w:hAnsi="DejaVu Sans Mono" w:eastAsia="Noto Sans CJK SC"/>
                <w:sz w:val="16"/>
              </w:rPr>
              <w:t xml:space="preserve">    max_single_weight: float,</w:t>
            </w:r>
            <w:r>
              <w:br/>
            </w:r>
            <w:r>
              <w:rPr>
                <w:rFonts w:ascii="DejaVu Sans Mono" w:hAnsi="DejaVu Sans Mono" w:eastAsia="Noto Sans CJK SC"/>
                <w:sz w:val="16"/>
              </w:rPr>
              <w:t xml:space="preserve">    total_long_weight: float,</w:t>
            </w:r>
            <w:r>
              <w:br/>
            </w:r>
            <w:r>
              <w:rPr>
                <w:rFonts w:ascii="DejaVu Sans Mono" w:hAnsi="DejaVu Sans Mono" w:eastAsia="Noto Sans CJK SC"/>
                <w:sz w:val="16"/>
              </w:rPr>
              <w:t xml:space="preserve">    estimated_turnover: float,</w:t>
            </w:r>
            <w:r>
              <w:br/>
            </w:r>
            <w:r>
              <w:rPr>
                <w:rFonts w:ascii="DejaVu Sans Mono" w:hAnsi="DejaVu Sans Mono" w:eastAsia="Noto Sans CJK SC"/>
                <w:sz w:val="16"/>
              </w:rPr>
              <w:t xml:space="preserve">    violates_constraints: bool,</w:t>
            </w:r>
            <w:r>
              <w:br/>
            </w:r>
            <w:r>
              <w:rPr>
                <w:rFonts w:ascii="DejaVu Sans Mono" w:hAnsi="DejaVu Sans Mono" w:eastAsia="Noto Sans CJK SC"/>
                <w:sz w:val="16"/>
              </w:rPr>
              <w:t xml:space="preserve">    explanation: str</w:t>
            </w:r>
            <w:r>
              <w:br/>
            </w:r>
            <w:r>
              <w:rPr>
                <w:rFonts w:ascii="DejaVu Sans Mono" w:hAnsi="DejaVu Sans Mono" w:eastAsia="Noto Sans CJK SC"/>
                <w:sz w:val="16"/>
              </w:rPr>
              <w:t xml:space="preserve">  }</w:t>
            </w:r>
            <w:r>
              <w:br/>
            </w:r>
            <w:r>
              <w:rPr>
                <w:rFonts w:ascii="DejaVu Sans Mono" w:hAnsi="DejaVu Sans Mono" w:eastAsia="Noto Sans CJK SC"/>
                <w:sz w:val="16"/>
              </w:rPr>
              <w:t>}</w:t>
            </w:r>
            <w:r>
              <w:br/>
            </w:r>
          </w:p>
        </w:tc>
      </w:tr>
    </w:tbl>
    <w:p/>
    <w:p>
      <w:pPr>
        <w:pStyle w:val="Heading2"/>
        <w:spacing w:before="160" w:after="80"/>
      </w:pPr>
      <w:r>
        <w:t>6.2 校验规则</w:t>
      </w:r>
    </w:p>
    <w:p>
      <w:pPr>
        <w:pStyle w:val="ListBullet"/>
        <w:spacing w:line="264" w:lineRule="auto" w:after="40"/>
      </w:pPr>
      <w:r>
        <w:rPr>
          <w:rFonts w:ascii="Noto Sans" w:hAnsi="Noto Sans" w:eastAsia="Noto Sans CJK SC" w:cs="Noto Sans"/>
          <w:b w:val="0"/>
          <w:i w:val="0"/>
          <w:sz w:val="20"/>
        </w:rPr>
        <w:t>结构校验：所有字段必须存在，枚举值合法，数值范围合法。</w:t>
      </w:r>
    </w:p>
    <w:p>
      <w:pPr>
        <w:pStyle w:val="ListBullet"/>
        <w:spacing w:line="264" w:lineRule="auto" w:after="40"/>
      </w:pPr>
      <w:r>
        <w:rPr>
          <w:rFonts w:ascii="Noto Sans" w:hAnsi="Noto Sans" w:eastAsia="Noto Sans CJK SC" w:cs="Noto Sans"/>
          <w:b w:val="0"/>
          <w:i w:val="0"/>
          <w:sz w:val="20"/>
        </w:rPr>
        <w:t>交易校验：目标权重非负、总权重不超过 1、单只股票不超过上限、现金不为负。</w:t>
      </w:r>
    </w:p>
    <w:p>
      <w:pPr>
        <w:pStyle w:val="ListBullet"/>
        <w:spacing w:line="264" w:lineRule="auto" w:after="40"/>
      </w:pPr>
      <w:r>
        <w:rPr>
          <w:rFonts w:ascii="Noto Sans" w:hAnsi="Noto Sans" w:eastAsia="Noto Sans CJK SC" w:cs="Noto Sans"/>
          <w:b w:val="0"/>
          <w:i w:val="0"/>
          <w:sz w:val="20"/>
        </w:rPr>
        <w:t>信息校验：prompt 中只提供截至 t 期可见信息，visible_information_hash 用于审计，防止未来函数。</w:t>
      </w:r>
    </w:p>
    <w:p>
      <w:pPr>
        <w:pStyle w:val="ListBullet"/>
        <w:spacing w:line="264" w:lineRule="auto" w:after="40"/>
      </w:pPr>
      <w:r>
        <w:rPr>
          <w:rFonts w:ascii="Noto Sans" w:hAnsi="Noto Sans" w:eastAsia="Noto Sans CJK SC" w:cs="Noto Sans"/>
          <w:b w:val="0"/>
          <w:i w:val="0"/>
          <w:sz w:val="20"/>
        </w:rPr>
        <w:t>风险校验：若回撤、波动或换手超过阈值，RiskManagerAgent 可以拒绝或缩放订单。</w:t>
      </w:r>
    </w:p>
    <w:p>
      <w:pPr>
        <w:pStyle w:val="ListBullet"/>
        <w:spacing w:line="264" w:lineRule="auto" w:after="40"/>
      </w:pPr>
      <w:r>
        <w:rPr>
          <w:rFonts w:ascii="Noto Sans" w:hAnsi="Noto Sans" w:eastAsia="Noto Sans CJK SC" w:cs="Noto Sans"/>
          <w:b w:val="0"/>
          <w:i w:val="0"/>
          <w:sz w:val="20"/>
        </w:rPr>
        <w:t>解析失败处理：若 LLM 输出不合格，系统重试一次；仍失败则回退到该 agent 的规则型策略或保持原仓位。</w:t>
      </w:r>
    </w:p>
    <w:p>
      <w:pPr>
        <w:spacing w:line="276" w:lineRule="auto" w:after="100"/>
        <w:ind w:firstLine="420"/>
      </w:pPr>
      <w:r>
        <w:rPr>
          <w:rFonts w:ascii="Noto Sans" w:hAnsi="Noto Sans" w:eastAsia="Noto Sans CJK SC" w:cs="Noto Sans"/>
          <w:b w:val="0"/>
          <w:i w:val="0"/>
          <w:sz w:val="21"/>
        </w:rPr>
        <w:t>这些机制与 constrained generation/structured output 文献一致：通过约束生成或 schema 验证保证输出可解析、可审计 [R20][R21][R22]。</w:t>
      </w:r>
    </w:p>
    <w:p>
      <w:pPr>
        <w:pStyle w:val="Heading1"/>
        <w:spacing w:before="200" w:after="120"/>
      </w:pPr>
      <w:r>
        <w:t>7 交易机制与组合优化</w:t>
      </w:r>
    </w:p>
    <w:p>
      <w:pPr>
        <w:spacing w:line="276" w:lineRule="auto" w:after="100"/>
        <w:ind w:firstLine="420"/>
      </w:pPr>
      <w:r>
        <w:rPr>
          <w:rFonts w:ascii="Noto Sans" w:hAnsi="Noto Sans" w:eastAsia="Noto Sans CJK SC" w:cs="Noto Sans"/>
          <w:b w:val="0"/>
          <w:i w:val="0"/>
          <w:sz w:val="21"/>
        </w:rPr>
        <w:t>交易机制保留原报告的纸面资金、日频数据、固定再平衡周期、交易费用和持仓上限。区别在于：交易前新增“信念更新”和“消息生成”阶段。每期流程如下。</w:t>
      </w:r>
    </w:p>
    <w:p>
      <w:pPr>
        <w:pStyle w:val="ListNumber"/>
        <w:spacing w:line="264" w:lineRule="auto" w:after="40"/>
      </w:pPr>
      <w:r>
        <w:rPr>
          <w:rFonts w:ascii="Noto Sans" w:hAnsi="Noto Sans" w:eastAsia="Noto Sans CJK SC" w:cs="Noto Sans"/>
          <w:b w:val="0"/>
          <w:i w:val="0"/>
          <w:sz w:val="20"/>
        </w:rPr>
        <w:t>市场更新：读取 t 期价格、成交量和可选新闻事件。</w:t>
      </w:r>
    </w:p>
    <w:p>
      <w:pPr>
        <w:pStyle w:val="ListNumber"/>
        <w:spacing w:line="264" w:lineRule="auto" w:after="40"/>
      </w:pPr>
      <w:r>
        <w:rPr>
          <w:rFonts w:ascii="Noto Sans" w:hAnsi="Noto Sans" w:eastAsia="Noto Sans CJK SC" w:cs="Noto Sans"/>
          <w:b w:val="0"/>
          <w:i w:val="0"/>
          <w:sz w:val="20"/>
        </w:rPr>
        <w:t>私有信号生成：每个 agent 根据自身策略计算 z_i,t^Q 或 LLM 文本信号。</w:t>
      </w:r>
    </w:p>
    <w:p>
      <w:pPr>
        <w:pStyle w:val="ListNumber"/>
        <w:spacing w:line="264" w:lineRule="auto" w:after="40"/>
      </w:pPr>
      <w:r>
        <w:rPr>
          <w:rFonts w:ascii="Noto Sans" w:hAnsi="Noto Sans" w:eastAsia="Noto Sans CJK SC" w:cs="Noto Sans"/>
          <w:b w:val="0"/>
          <w:i w:val="0"/>
          <w:sz w:val="20"/>
        </w:rPr>
        <w:t>通信阶段：agent 选择是否在公聊、私聊或朋友圈发布消息。</w:t>
      </w:r>
    </w:p>
    <w:p>
      <w:pPr>
        <w:pStyle w:val="ListNumber"/>
        <w:spacing w:line="264" w:lineRule="auto" w:after="40"/>
      </w:pPr>
      <w:r>
        <w:rPr>
          <w:rFonts w:ascii="Noto Sans" w:hAnsi="Noto Sans" w:eastAsia="Noto Sans CJK SC" w:cs="Noto Sans"/>
          <w:b w:val="0"/>
          <w:i w:val="0"/>
          <w:sz w:val="20"/>
        </w:rPr>
        <w:t>信息聚合：接收者根据消息、声誉和聚合公式更新 μ_hat_i,t。</w:t>
      </w:r>
    </w:p>
    <w:p>
      <w:pPr>
        <w:pStyle w:val="ListNumber"/>
        <w:spacing w:line="264" w:lineRule="auto" w:after="40"/>
      </w:pPr>
      <w:r>
        <w:rPr>
          <w:rFonts w:ascii="Noto Sans" w:hAnsi="Noto Sans" w:eastAsia="Noto Sans CJK SC" w:cs="Noto Sans"/>
          <w:b w:val="0"/>
          <w:i w:val="0"/>
          <w:sz w:val="20"/>
        </w:rPr>
        <w:t>目标权重生成：agent 将 μ_hat_i,t 转化为 w_i,t。</w:t>
      </w:r>
    </w:p>
    <w:p>
      <w:pPr>
        <w:pStyle w:val="ListNumber"/>
        <w:spacing w:line="264" w:lineRule="auto" w:after="40"/>
      </w:pPr>
      <w:r>
        <w:rPr>
          <w:rFonts w:ascii="Noto Sans" w:hAnsi="Noto Sans" w:eastAsia="Noto Sans CJK SC" w:cs="Noto Sans"/>
          <w:b w:val="0"/>
          <w:i w:val="0"/>
          <w:sz w:val="20"/>
        </w:rPr>
        <w:t>风险审查：校验仓位、换手、最大回撤、交易费用和 schema 合规。</w:t>
      </w:r>
    </w:p>
    <w:p>
      <w:pPr>
        <w:pStyle w:val="ListNumber"/>
        <w:spacing w:line="264" w:lineRule="auto" w:after="40"/>
      </w:pPr>
      <w:r>
        <w:rPr>
          <w:rFonts w:ascii="Noto Sans" w:hAnsi="Noto Sans" w:eastAsia="Noto Sans CJK SC" w:cs="Noto Sans"/>
          <w:b w:val="0"/>
          <w:i w:val="0"/>
          <w:sz w:val="20"/>
        </w:rPr>
        <w:t>虚拟成交：按收盘价或下一期开盘价成交，更新现金、持仓和交易记录。</w:t>
      </w:r>
    </w:p>
    <w:p>
      <w:pPr>
        <w:pStyle w:val="ListNumber"/>
        <w:spacing w:line="264" w:lineRule="auto" w:after="40"/>
      </w:pPr>
      <w:r>
        <w:rPr>
          <w:rFonts w:ascii="Noto Sans" w:hAnsi="Noto Sans" w:eastAsia="Noto Sans CJK SC" w:cs="Noto Sans"/>
          <w:b w:val="0"/>
          <w:i w:val="0"/>
          <w:sz w:val="20"/>
        </w:rPr>
        <w:t>结算与学习：计算收益、消息准确度、声誉变化和动态团队权重。</w:t>
      </w:r>
    </w:p>
    <w:p>
      <w:pPr>
        <w:spacing w:line="276" w:lineRule="auto" w:after="100"/>
        <w:ind w:firstLine="420"/>
      </w:pPr>
      <w:r>
        <w:rPr>
          <w:rFonts w:ascii="Noto Sans" w:hAnsi="Noto Sans" w:eastAsia="Noto Sans CJK SC" w:cs="Noto Sans"/>
          <w:b w:val="0"/>
          <w:i w:val="0"/>
          <w:sz w:val="21"/>
        </w:rPr>
        <w:t>组合权重可以通过简单排序、softmax 或均值-方差优化生成。技术性较强的版本可使用如下约束优化：</w:t>
      </w:r>
    </w:p>
    <w:p>
      <w:pPr>
        <w:pStyle w:val="Formula"/>
        <w:spacing w:before="40" w:after="100"/>
        <w:jc w:val="center"/>
      </w:pPr>
      <w:r>
        <w:rPr>
          <w:rFonts w:ascii="Noto Sans" w:hAnsi="Noto Sans" w:eastAsia="Noto Sans CJK SC" w:cs="Noto Sans"/>
          <w:b w:val="0"/>
          <w:i w:val="0"/>
          <w:sz w:val="20"/>
        </w:rPr>
        <w:t>max_w  w′μ_hat_i,t - (λ_i / 2) w′Σ_t w - κ ||w - w_prev||_1</w:t>
      </w:r>
    </w:p>
    <w:p>
      <w:pPr>
        <w:pStyle w:val="Formula"/>
        <w:spacing w:before="40" w:after="100"/>
        <w:jc w:val="center"/>
      </w:pPr>
      <w:r>
        <w:rPr>
          <w:rFonts w:ascii="Noto Sans" w:hAnsi="Noto Sans" w:eastAsia="Noto Sans CJK SC" w:cs="Noto Sans"/>
          <w:b w:val="0"/>
          <w:i w:val="0"/>
          <w:sz w:val="20"/>
        </w:rPr>
        <w:t>s.t.  Σ_k w_k ≤ 1,  0 ≤ w_k ≤ w_max,  turnover ≤ turnover_max</w:t>
      </w:r>
    </w:p>
    <w:p>
      <w:pPr>
        <w:spacing w:line="276" w:lineRule="auto" w:after="100"/>
        <w:ind w:firstLine="420"/>
      </w:pPr>
      <w:r>
        <w:rPr>
          <w:rFonts w:ascii="Noto Sans" w:hAnsi="Noto Sans" w:eastAsia="Noto Sans CJK SC" w:cs="Noto Sans"/>
          <w:b w:val="0"/>
          <w:i w:val="0"/>
          <w:sz w:val="21"/>
        </w:rPr>
        <w:t>课程实现建议先用排序加权和仓位裁剪，保证可运行；若时间允许，再使用 scipy.optimize 或 cvxpy 实现约束优化。</w:t>
      </w:r>
    </w:p>
    <w:p>
      <w:pPr>
        <w:pStyle w:val="Heading1"/>
        <w:spacing w:before="200" w:after="120"/>
      </w:pPr>
      <w:r>
        <w:t>8 实验设计与对照组</w:t>
      </w:r>
    </w:p>
    <w:p>
      <w:pPr>
        <w:spacing w:line="276" w:lineRule="auto" w:after="100"/>
        <w:ind w:firstLine="420"/>
      </w:pPr>
      <w:r>
        <w:rPr>
          <w:rFonts w:ascii="Noto Sans" w:hAnsi="Noto Sans" w:eastAsia="Noto Sans CJK SC" w:cs="Noto Sans"/>
          <w:b w:val="0"/>
          <w:i w:val="0"/>
          <w:sz w:val="21"/>
        </w:rPr>
        <w:t>为了让报告结论有说服力，应进行多组 ablation study。每组只改变一个核心机制，观察金融绩效和社会互动指标的变化。</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814"/>
            <w:vAlign w:val="center"/>
            <w:shd w:fill="D9EAF7"/>
          </w:tcPr>
          <w:p>
            <w:pPr>
              <w:spacing w:after="0" w:line="252" w:lineRule="auto"/>
            </w:pPr>
            <w:r/>
            <w:r>
              <w:rPr>
                <w:rFonts w:ascii="Noto Sans" w:hAnsi="Noto Sans" w:eastAsia="Noto Sans CJK SC" w:cs="Noto Sans"/>
                <w:b/>
                <w:i w:val="0"/>
                <w:sz w:val="17"/>
              </w:rPr>
              <w:t>实验组</w:t>
            </w:r>
          </w:p>
        </w:tc>
        <w:tc>
          <w:tcPr>
            <w:tcW w:type="dxa" w:w="2608"/>
            <w:vAlign w:val="center"/>
            <w:shd w:fill="D9EAF7"/>
          </w:tcPr>
          <w:p>
            <w:pPr>
              <w:spacing w:after="0" w:line="252" w:lineRule="auto"/>
            </w:pPr>
            <w:r/>
            <w:r>
              <w:rPr>
                <w:rFonts w:ascii="Noto Sans" w:hAnsi="Noto Sans" w:eastAsia="Noto Sans CJK SC" w:cs="Noto Sans"/>
                <w:b/>
                <w:i w:val="0"/>
                <w:sz w:val="17"/>
              </w:rPr>
              <w:t>设置</w:t>
            </w:r>
          </w:p>
        </w:tc>
        <w:tc>
          <w:tcPr>
            <w:tcW w:type="dxa" w:w="2438"/>
            <w:vAlign w:val="center"/>
            <w:shd w:fill="D9EAF7"/>
          </w:tcPr>
          <w:p>
            <w:pPr>
              <w:spacing w:after="0" w:line="252" w:lineRule="auto"/>
            </w:pPr>
            <w:r/>
            <w:r>
              <w:rPr>
                <w:rFonts w:ascii="Noto Sans" w:hAnsi="Noto Sans" w:eastAsia="Noto Sans CJK SC" w:cs="Noto Sans"/>
                <w:b/>
                <w:i w:val="0"/>
                <w:sz w:val="17"/>
              </w:rPr>
              <w:t>目的</w:t>
            </w:r>
          </w:p>
        </w:tc>
        <w:tc>
          <w:tcPr>
            <w:tcW w:type="dxa" w:w="2948"/>
            <w:vAlign w:val="center"/>
            <w:shd w:fill="D9EAF7"/>
          </w:tcPr>
          <w:p>
            <w:pPr>
              <w:spacing w:after="0" w:line="252" w:lineRule="auto"/>
            </w:pPr>
            <w:r/>
            <w:r>
              <w:rPr>
                <w:rFonts w:ascii="Noto Sans" w:hAnsi="Noto Sans" w:eastAsia="Noto Sans CJK SC" w:cs="Noto Sans"/>
                <w:b/>
                <w:i w:val="0"/>
                <w:sz w:val="17"/>
              </w:rPr>
              <w:t>预期观察</w:t>
            </w:r>
          </w:p>
        </w:tc>
      </w:tr>
      <w:tr>
        <w:tc>
          <w:tcPr>
            <w:tcW w:type="dxa" w:w="1814"/>
            <w:vAlign w:val="center"/>
          </w:tcPr>
          <w:p>
            <w:pPr>
              <w:spacing w:after="0" w:line="252" w:lineRule="auto"/>
            </w:pPr>
            <w:r/>
            <w:r>
              <w:rPr>
                <w:rFonts w:ascii="Noto Sans" w:hAnsi="Noto Sans" w:eastAsia="Noto Sans CJK SC" w:cs="Noto Sans"/>
                <w:b w:val="0"/>
                <w:i w:val="0"/>
                <w:sz w:val="17"/>
              </w:rPr>
              <w:t>Baseline-0</w:t>
            </w:r>
          </w:p>
        </w:tc>
        <w:tc>
          <w:tcPr>
            <w:tcW w:type="dxa" w:w="2608"/>
            <w:vAlign w:val="center"/>
          </w:tcPr>
          <w:p>
            <w:pPr>
              <w:spacing w:after="0" w:line="252" w:lineRule="auto"/>
            </w:pPr>
            <w:r/>
            <w:r>
              <w:rPr>
                <w:rFonts w:ascii="Noto Sans" w:hAnsi="Noto Sans" w:eastAsia="Noto Sans CJK SC" w:cs="Noto Sans"/>
                <w:b w:val="0"/>
                <w:i w:val="0"/>
                <w:sz w:val="17"/>
              </w:rPr>
              <w:t>无聊天；各 agent 独立交易</w:t>
            </w:r>
          </w:p>
        </w:tc>
        <w:tc>
          <w:tcPr>
            <w:tcW w:type="dxa" w:w="2438"/>
            <w:vAlign w:val="center"/>
          </w:tcPr>
          <w:p>
            <w:pPr>
              <w:spacing w:after="0" w:line="252" w:lineRule="auto"/>
            </w:pPr>
            <w:r/>
            <w:r>
              <w:rPr>
                <w:rFonts w:ascii="Noto Sans" w:hAnsi="Noto Sans" w:eastAsia="Noto Sans CJK SC" w:cs="Noto Sans"/>
                <w:b w:val="0"/>
                <w:i w:val="0"/>
                <w:sz w:val="17"/>
              </w:rPr>
              <w:t>复现原报告核心结果</w:t>
            </w:r>
          </w:p>
        </w:tc>
        <w:tc>
          <w:tcPr>
            <w:tcW w:type="dxa" w:w="2948"/>
            <w:vAlign w:val="center"/>
          </w:tcPr>
          <w:p>
            <w:pPr>
              <w:spacing w:after="0" w:line="252" w:lineRule="auto"/>
            </w:pPr>
            <w:r/>
            <w:r>
              <w:rPr>
                <w:rFonts w:ascii="Noto Sans" w:hAnsi="Noto Sans" w:eastAsia="Noto Sans CJK SC" w:cs="Noto Sans"/>
                <w:b w:val="0"/>
                <w:i w:val="0"/>
                <w:sz w:val="17"/>
              </w:rPr>
              <w:t>策略收益和风险差异</w:t>
            </w:r>
          </w:p>
        </w:tc>
      </w:tr>
      <w:tr>
        <w:tc>
          <w:tcPr>
            <w:tcW w:type="dxa" w:w="1814"/>
            <w:vAlign w:val="center"/>
          </w:tcPr>
          <w:p>
            <w:pPr>
              <w:spacing w:after="0" w:line="252" w:lineRule="auto"/>
            </w:pPr>
            <w:r/>
            <w:r>
              <w:rPr>
                <w:rFonts w:ascii="Noto Sans" w:hAnsi="Noto Sans" w:eastAsia="Noto Sans CJK SC" w:cs="Noto Sans"/>
                <w:b w:val="0"/>
                <w:i w:val="0"/>
                <w:sz w:val="17"/>
              </w:rPr>
              <w:t>Public-Only</w:t>
            </w:r>
          </w:p>
        </w:tc>
        <w:tc>
          <w:tcPr>
            <w:tcW w:type="dxa" w:w="2608"/>
            <w:vAlign w:val="center"/>
          </w:tcPr>
          <w:p>
            <w:pPr>
              <w:spacing w:after="0" w:line="252" w:lineRule="auto"/>
            </w:pPr>
            <w:r/>
            <w:r>
              <w:rPr>
                <w:rFonts w:ascii="Noto Sans" w:hAnsi="Noto Sans" w:eastAsia="Noto Sans CJK SC" w:cs="Noto Sans"/>
                <w:b w:val="0"/>
                <w:i w:val="0"/>
                <w:sz w:val="17"/>
              </w:rPr>
              <w:t>只允许公聊</w:t>
            </w:r>
          </w:p>
        </w:tc>
        <w:tc>
          <w:tcPr>
            <w:tcW w:type="dxa" w:w="2438"/>
            <w:vAlign w:val="center"/>
          </w:tcPr>
          <w:p>
            <w:pPr>
              <w:spacing w:after="0" w:line="252" w:lineRule="auto"/>
            </w:pPr>
            <w:r/>
            <w:r>
              <w:rPr>
                <w:rFonts w:ascii="Noto Sans" w:hAnsi="Noto Sans" w:eastAsia="Noto Sans CJK SC" w:cs="Noto Sans"/>
                <w:b w:val="0"/>
                <w:i w:val="0"/>
                <w:sz w:val="17"/>
              </w:rPr>
              <w:t>测试公开信息传递</w:t>
            </w:r>
          </w:p>
        </w:tc>
        <w:tc>
          <w:tcPr>
            <w:tcW w:type="dxa" w:w="2948"/>
            <w:vAlign w:val="center"/>
          </w:tcPr>
          <w:p>
            <w:pPr>
              <w:spacing w:after="0" w:line="252" w:lineRule="auto"/>
            </w:pPr>
            <w:r/>
            <w:r>
              <w:rPr>
                <w:rFonts w:ascii="Noto Sans" w:hAnsi="Noto Sans" w:eastAsia="Noto Sans CJK SC" w:cs="Noto Sans"/>
                <w:b w:val="0"/>
                <w:i w:val="0"/>
                <w:sz w:val="17"/>
              </w:rPr>
              <w:t>共识加快，羊群可能上升</w:t>
            </w:r>
          </w:p>
        </w:tc>
      </w:tr>
      <w:tr>
        <w:tc>
          <w:tcPr>
            <w:tcW w:type="dxa" w:w="1814"/>
            <w:vAlign w:val="center"/>
          </w:tcPr>
          <w:p>
            <w:pPr>
              <w:spacing w:after="0" w:line="252" w:lineRule="auto"/>
            </w:pPr>
            <w:r/>
            <w:r>
              <w:rPr>
                <w:rFonts w:ascii="Noto Sans" w:hAnsi="Noto Sans" w:eastAsia="Noto Sans CJK SC" w:cs="Noto Sans"/>
                <w:b w:val="0"/>
                <w:i w:val="0"/>
                <w:sz w:val="17"/>
              </w:rPr>
              <w:t>Private-Only</w:t>
            </w:r>
          </w:p>
        </w:tc>
        <w:tc>
          <w:tcPr>
            <w:tcW w:type="dxa" w:w="2608"/>
            <w:vAlign w:val="center"/>
          </w:tcPr>
          <w:p>
            <w:pPr>
              <w:spacing w:after="0" w:line="252" w:lineRule="auto"/>
            </w:pPr>
            <w:r/>
            <w:r>
              <w:rPr>
                <w:rFonts w:ascii="Noto Sans" w:hAnsi="Noto Sans" w:eastAsia="Noto Sans CJK SC" w:cs="Noto Sans"/>
                <w:b w:val="0"/>
                <w:i w:val="0"/>
                <w:sz w:val="17"/>
              </w:rPr>
              <w:t>只允许私聊</w:t>
            </w:r>
          </w:p>
        </w:tc>
        <w:tc>
          <w:tcPr>
            <w:tcW w:type="dxa" w:w="2438"/>
            <w:vAlign w:val="center"/>
          </w:tcPr>
          <w:p>
            <w:pPr>
              <w:spacing w:after="0" w:line="252" w:lineRule="auto"/>
            </w:pPr>
            <w:r/>
            <w:r>
              <w:rPr>
                <w:rFonts w:ascii="Noto Sans" w:hAnsi="Noto Sans" w:eastAsia="Noto Sans CJK SC" w:cs="Noto Sans"/>
                <w:b w:val="0"/>
                <w:i w:val="0"/>
                <w:sz w:val="17"/>
              </w:rPr>
              <w:t>测试信息不对称和联盟</w:t>
            </w:r>
          </w:p>
        </w:tc>
        <w:tc>
          <w:tcPr>
            <w:tcW w:type="dxa" w:w="2948"/>
            <w:vAlign w:val="center"/>
          </w:tcPr>
          <w:p>
            <w:pPr>
              <w:spacing w:after="0" w:line="252" w:lineRule="auto"/>
            </w:pPr>
            <w:r/>
            <w:r>
              <w:rPr>
                <w:rFonts w:ascii="Noto Sans" w:hAnsi="Noto Sans" w:eastAsia="Noto Sans CJK SC" w:cs="Noto Sans"/>
                <w:b w:val="0"/>
                <w:i w:val="0"/>
                <w:sz w:val="17"/>
              </w:rPr>
              <w:t>收益差距可能扩大</w:t>
            </w:r>
          </w:p>
        </w:tc>
      </w:tr>
      <w:tr>
        <w:tc>
          <w:tcPr>
            <w:tcW w:type="dxa" w:w="1814"/>
            <w:vAlign w:val="center"/>
          </w:tcPr>
          <w:p>
            <w:pPr>
              <w:spacing w:after="0" w:line="252" w:lineRule="auto"/>
            </w:pPr>
            <w:r/>
            <w:r>
              <w:rPr>
                <w:rFonts w:ascii="Noto Sans" w:hAnsi="Noto Sans" w:eastAsia="Noto Sans CJK SC" w:cs="Noto Sans"/>
                <w:b w:val="0"/>
                <w:i w:val="0"/>
                <w:sz w:val="17"/>
              </w:rPr>
              <w:t>Moments-Only</w:t>
            </w:r>
          </w:p>
        </w:tc>
        <w:tc>
          <w:tcPr>
            <w:tcW w:type="dxa" w:w="2608"/>
            <w:vAlign w:val="center"/>
          </w:tcPr>
          <w:p>
            <w:pPr>
              <w:spacing w:after="0" w:line="252" w:lineRule="auto"/>
            </w:pPr>
            <w:r/>
            <w:r>
              <w:rPr>
                <w:rFonts w:ascii="Noto Sans" w:hAnsi="Noto Sans" w:eastAsia="Noto Sans CJK SC" w:cs="Noto Sans"/>
                <w:b w:val="0"/>
                <w:i w:val="0"/>
                <w:sz w:val="17"/>
              </w:rPr>
              <w:t>只允许朋友圈半公开动态</w:t>
            </w:r>
          </w:p>
        </w:tc>
        <w:tc>
          <w:tcPr>
            <w:tcW w:type="dxa" w:w="2438"/>
            <w:vAlign w:val="center"/>
          </w:tcPr>
          <w:p>
            <w:pPr>
              <w:spacing w:after="0" w:line="252" w:lineRule="auto"/>
            </w:pPr>
            <w:r/>
            <w:r>
              <w:rPr>
                <w:rFonts w:ascii="Noto Sans" w:hAnsi="Noto Sans" w:eastAsia="Noto Sans CJK SC" w:cs="Noto Sans"/>
                <w:b w:val="0"/>
                <w:i w:val="0"/>
                <w:sz w:val="17"/>
              </w:rPr>
              <w:t>测试局部传播</w:t>
            </w:r>
          </w:p>
        </w:tc>
        <w:tc>
          <w:tcPr>
            <w:tcW w:type="dxa" w:w="2948"/>
            <w:vAlign w:val="center"/>
          </w:tcPr>
          <w:p>
            <w:pPr>
              <w:spacing w:after="0" w:line="252" w:lineRule="auto"/>
            </w:pPr>
            <w:r/>
            <w:r>
              <w:rPr>
                <w:rFonts w:ascii="Noto Sans" w:hAnsi="Noto Sans" w:eastAsia="Noto Sans CJK SC" w:cs="Noto Sans"/>
                <w:b w:val="0"/>
                <w:i w:val="0"/>
                <w:sz w:val="17"/>
              </w:rPr>
              <w:t>网络中心节点影响增大</w:t>
            </w:r>
          </w:p>
        </w:tc>
      </w:tr>
      <w:tr>
        <w:tc>
          <w:tcPr>
            <w:tcW w:type="dxa" w:w="1814"/>
            <w:vAlign w:val="center"/>
          </w:tcPr>
          <w:p>
            <w:pPr>
              <w:spacing w:after="0" w:line="252" w:lineRule="auto"/>
            </w:pPr>
            <w:r/>
            <w:r>
              <w:rPr>
                <w:rFonts w:ascii="Noto Sans" w:hAnsi="Noto Sans" w:eastAsia="Noto Sans CJK SC" w:cs="Noto Sans"/>
                <w:b w:val="0"/>
                <w:i w:val="0"/>
                <w:sz w:val="17"/>
              </w:rPr>
              <w:t>Full-Social</w:t>
            </w:r>
          </w:p>
        </w:tc>
        <w:tc>
          <w:tcPr>
            <w:tcW w:type="dxa" w:w="2608"/>
            <w:vAlign w:val="center"/>
          </w:tcPr>
          <w:p>
            <w:pPr>
              <w:spacing w:after="0" w:line="252" w:lineRule="auto"/>
            </w:pPr>
            <w:r/>
            <w:r>
              <w:rPr>
                <w:rFonts w:ascii="Noto Sans" w:hAnsi="Noto Sans" w:eastAsia="Noto Sans CJK SC" w:cs="Noto Sans"/>
                <w:b w:val="0"/>
                <w:i w:val="0"/>
                <w:sz w:val="17"/>
              </w:rPr>
              <w:t>公聊 + 私聊 + 朋友圈</w:t>
            </w:r>
          </w:p>
        </w:tc>
        <w:tc>
          <w:tcPr>
            <w:tcW w:type="dxa" w:w="2438"/>
            <w:vAlign w:val="center"/>
          </w:tcPr>
          <w:p>
            <w:pPr>
              <w:spacing w:after="0" w:line="252" w:lineRule="auto"/>
            </w:pPr>
            <w:r/>
            <w:r>
              <w:rPr>
                <w:rFonts w:ascii="Noto Sans" w:hAnsi="Noto Sans" w:eastAsia="Noto Sans CJK SC" w:cs="Noto Sans"/>
                <w:b w:val="0"/>
                <w:i w:val="0"/>
                <w:sz w:val="17"/>
              </w:rPr>
              <w:t>模拟完整社交交易环境</w:t>
            </w:r>
          </w:p>
        </w:tc>
        <w:tc>
          <w:tcPr>
            <w:tcW w:type="dxa" w:w="2948"/>
            <w:vAlign w:val="center"/>
          </w:tcPr>
          <w:p>
            <w:pPr>
              <w:spacing w:after="0" w:line="252" w:lineRule="auto"/>
            </w:pPr>
            <w:r/>
            <w:r>
              <w:rPr>
                <w:rFonts w:ascii="Noto Sans" w:hAnsi="Noto Sans" w:eastAsia="Noto Sans CJK SC" w:cs="Noto Sans"/>
                <w:b w:val="0"/>
                <w:i w:val="0"/>
                <w:sz w:val="17"/>
              </w:rPr>
              <w:t>信息扩散最快但噪声最大</w:t>
            </w:r>
          </w:p>
        </w:tc>
      </w:tr>
      <w:tr>
        <w:tc>
          <w:tcPr>
            <w:tcW w:type="dxa" w:w="1814"/>
            <w:vAlign w:val="center"/>
          </w:tcPr>
          <w:p>
            <w:pPr>
              <w:spacing w:after="0" w:line="252" w:lineRule="auto"/>
            </w:pPr>
            <w:r/>
            <w:r>
              <w:rPr>
                <w:rFonts w:ascii="Noto Sans" w:hAnsi="Noto Sans" w:eastAsia="Noto Sans CJK SC" w:cs="Noto Sans"/>
                <w:b w:val="0"/>
                <w:i w:val="0"/>
                <w:sz w:val="17"/>
              </w:rPr>
              <w:t>Truthful vs Persuader</w:t>
            </w:r>
          </w:p>
        </w:tc>
        <w:tc>
          <w:tcPr>
            <w:tcW w:type="dxa" w:w="2608"/>
            <w:vAlign w:val="center"/>
          </w:tcPr>
          <w:p>
            <w:pPr>
              <w:spacing w:after="0" w:line="252" w:lineRule="auto"/>
            </w:pPr>
            <w:r/>
            <w:r>
              <w:rPr>
                <w:rFonts w:ascii="Noto Sans" w:hAnsi="Noto Sans" w:eastAsia="Noto Sans CJK SC" w:cs="Noto Sans"/>
                <w:b w:val="0"/>
                <w:i w:val="0"/>
                <w:sz w:val="17"/>
              </w:rPr>
              <w:t>诚实 agent 与劝说型 agent 混合</w:t>
            </w:r>
          </w:p>
        </w:tc>
        <w:tc>
          <w:tcPr>
            <w:tcW w:type="dxa" w:w="2438"/>
            <w:vAlign w:val="center"/>
          </w:tcPr>
          <w:p>
            <w:pPr>
              <w:spacing w:after="0" w:line="252" w:lineRule="auto"/>
            </w:pPr>
            <w:r/>
            <w:r>
              <w:rPr>
                <w:rFonts w:ascii="Noto Sans" w:hAnsi="Noto Sans" w:eastAsia="Noto Sans CJK SC" w:cs="Noto Sans"/>
                <w:b w:val="0"/>
                <w:i w:val="0"/>
                <w:sz w:val="17"/>
              </w:rPr>
              <w:t>测试 cheap talk 可信度</w:t>
            </w:r>
          </w:p>
        </w:tc>
        <w:tc>
          <w:tcPr>
            <w:tcW w:type="dxa" w:w="2948"/>
            <w:vAlign w:val="center"/>
          </w:tcPr>
          <w:p>
            <w:pPr>
              <w:spacing w:after="0" w:line="252" w:lineRule="auto"/>
            </w:pPr>
            <w:r/>
            <w:r>
              <w:rPr>
                <w:rFonts w:ascii="Noto Sans" w:hAnsi="Noto Sans" w:eastAsia="Noto Sans CJK SC" w:cs="Noto Sans"/>
                <w:b w:val="0"/>
                <w:i w:val="0"/>
                <w:sz w:val="17"/>
              </w:rPr>
              <w:t>接收者需学习折扣消息</w:t>
            </w:r>
          </w:p>
        </w:tc>
      </w:tr>
      <w:tr>
        <w:tc>
          <w:tcPr>
            <w:tcW w:type="dxa" w:w="1814"/>
            <w:vAlign w:val="center"/>
          </w:tcPr>
          <w:p>
            <w:pPr>
              <w:spacing w:after="0" w:line="252" w:lineRule="auto"/>
            </w:pPr>
            <w:r/>
            <w:r>
              <w:rPr>
                <w:rFonts w:ascii="Noto Sans" w:hAnsi="Noto Sans" w:eastAsia="Noto Sans CJK SC" w:cs="Noto Sans"/>
                <w:b w:val="0"/>
                <w:i w:val="0"/>
                <w:sz w:val="17"/>
              </w:rPr>
              <w:t>DeGroot vs BL vs Hedge</w:t>
            </w:r>
          </w:p>
        </w:tc>
        <w:tc>
          <w:tcPr>
            <w:tcW w:type="dxa" w:w="2608"/>
            <w:vAlign w:val="center"/>
          </w:tcPr>
          <w:p>
            <w:pPr>
              <w:spacing w:after="0" w:line="252" w:lineRule="auto"/>
            </w:pPr>
            <w:r/>
            <w:r>
              <w:rPr>
                <w:rFonts w:ascii="Noto Sans" w:hAnsi="Noto Sans" w:eastAsia="Noto Sans CJK SC" w:cs="Noto Sans"/>
                <w:b w:val="0"/>
                <w:i w:val="0"/>
                <w:sz w:val="17"/>
              </w:rPr>
              <w:t>切换聚合公式</w:t>
            </w:r>
          </w:p>
        </w:tc>
        <w:tc>
          <w:tcPr>
            <w:tcW w:type="dxa" w:w="2438"/>
            <w:vAlign w:val="center"/>
          </w:tcPr>
          <w:p>
            <w:pPr>
              <w:spacing w:after="0" w:line="252" w:lineRule="auto"/>
            </w:pPr>
            <w:r/>
            <w:r>
              <w:rPr>
                <w:rFonts w:ascii="Noto Sans" w:hAnsi="Noto Sans" w:eastAsia="Noto Sans CJK SC" w:cs="Noto Sans"/>
                <w:b w:val="0"/>
                <w:i w:val="0"/>
                <w:sz w:val="17"/>
              </w:rPr>
              <w:t>比较信息聚合机制</w:t>
            </w:r>
          </w:p>
        </w:tc>
        <w:tc>
          <w:tcPr>
            <w:tcW w:type="dxa" w:w="2948"/>
            <w:vAlign w:val="center"/>
          </w:tcPr>
          <w:p>
            <w:pPr>
              <w:spacing w:after="0" w:line="252" w:lineRule="auto"/>
            </w:pPr>
            <w:r/>
            <w:r>
              <w:rPr>
                <w:rFonts w:ascii="Noto Sans" w:hAnsi="Noto Sans" w:eastAsia="Noto Sans CJK SC" w:cs="Noto Sans"/>
                <w:b w:val="0"/>
                <w:i w:val="0"/>
                <w:sz w:val="17"/>
              </w:rPr>
              <w:t>稳定性、收益和权重集中度不同</w:t>
            </w:r>
          </w:p>
        </w:tc>
      </w:tr>
      <w:tr>
        <w:tc>
          <w:tcPr>
            <w:tcW w:type="dxa" w:w="1814"/>
            <w:vAlign w:val="center"/>
          </w:tcPr>
          <w:p>
            <w:pPr>
              <w:spacing w:after="0" w:line="252" w:lineRule="auto"/>
            </w:pPr>
            <w:r/>
            <w:r>
              <w:rPr>
                <w:rFonts w:ascii="Noto Sans" w:hAnsi="Noto Sans" w:eastAsia="Noto Sans CJK SC" w:cs="Noto Sans"/>
                <w:b w:val="0"/>
                <w:i w:val="0"/>
                <w:sz w:val="17"/>
              </w:rPr>
              <w:t>Constrained vs Free LLM</w:t>
            </w:r>
          </w:p>
        </w:tc>
        <w:tc>
          <w:tcPr>
            <w:tcW w:type="dxa" w:w="2608"/>
            <w:vAlign w:val="center"/>
          </w:tcPr>
          <w:p>
            <w:pPr>
              <w:spacing w:after="0" w:line="252" w:lineRule="auto"/>
            </w:pPr>
            <w:r/>
            <w:r>
              <w:rPr>
                <w:rFonts w:ascii="Noto Sans" w:hAnsi="Noto Sans" w:eastAsia="Noto Sans CJK SC" w:cs="Noto Sans"/>
                <w:b w:val="0"/>
                <w:i w:val="0"/>
                <w:sz w:val="17"/>
              </w:rPr>
              <w:t>结构化输出 vs 自由输出</w:t>
            </w:r>
          </w:p>
        </w:tc>
        <w:tc>
          <w:tcPr>
            <w:tcW w:type="dxa" w:w="2438"/>
            <w:vAlign w:val="center"/>
          </w:tcPr>
          <w:p>
            <w:pPr>
              <w:spacing w:after="0" w:line="252" w:lineRule="auto"/>
            </w:pPr>
            <w:r/>
            <w:r>
              <w:rPr>
                <w:rFonts w:ascii="Noto Sans" w:hAnsi="Noto Sans" w:eastAsia="Noto Sans CJK SC" w:cs="Noto Sans"/>
                <w:b w:val="0"/>
                <w:i w:val="0"/>
                <w:sz w:val="17"/>
              </w:rPr>
              <w:t>测试约束 LLM 的工程价值</w:t>
            </w:r>
          </w:p>
        </w:tc>
        <w:tc>
          <w:tcPr>
            <w:tcW w:type="dxa" w:w="2948"/>
            <w:vAlign w:val="center"/>
          </w:tcPr>
          <w:p>
            <w:pPr>
              <w:spacing w:after="0" w:line="252" w:lineRule="auto"/>
            </w:pPr>
            <w:r/>
            <w:r>
              <w:rPr>
                <w:rFonts w:ascii="Noto Sans" w:hAnsi="Noto Sans" w:eastAsia="Noto Sans CJK SC" w:cs="Noto Sans"/>
                <w:b w:val="0"/>
                <w:i w:val="0"/>
                <w:sz w:val="17"/>
              </w:rPr>
              <w:t>违规率和解析失败率下降</w:t>
            </w:r>
          </w:p>
        </w:tc>
      </w:tr>
    </w:tbl>
    <w:p/>
    <w:p>
      <w:pPr>
        <w:pStyle w:val="Heading1"/>
        <w:spacing w:before="200" w:after="120"/>
      </w:pPr>
      <w:r>
        <w:t>9 指标体系</w:t>
      </w:r>
    </w:p>
    <w:p>
      <w:pPr>
        <w:pStyle w:val="Heading2"/>
        <w:spacing w:before="160" w:after="80"/>
      </w:pPr>
      <w:r>
        <w:t>9.1 金融绩效指标</w:t>
      </w:r>
    </w:p>
    <w:p>
      <w:pPr>
        <w:spacing w:line="276" w:lineRule="auto" w:after="100"/>
        <w:ind w:firstLine="420"/>
      </w:pPr>
      <w:r>
        <w:rPr>
          <w:rFonts w:ascii="Noto Sans" w:hAnsi="Noto Sans" w:eastAsia="Noto Sans CJK SC" w:cs="Noto Sans"/>
          <w:b w:val="0"/>
          <w:i w:val="0"/>
          <w:sz w:val="21"/>
        </w:rPr>
        <w:t>保留原报告中的收益、波动、夏普、回撤和交易次数。</w:t>
      </w:r>
    </w:p>
    <w:p>
      <w:pPr>
        <w:pStyle w:val="Formula"/>
        <w:spacing w:before="40" w:after="100"/>
        <w:jc w:val="center"/>
      </w:pPr>
      <w:r>
        <w:rPr>
          <w:rFonts w:ascii="Noto Sans" w:hAnsi="Noto Sans" w:eastAsia="Noto Sans CJK SC" w:cs="Noto Sans"/>
          <w:b w:val="0"/>
          <w:i w:val="0"/>
          <w:sz w:val="20"/>
        </w:rPr>
        <w:t>r_j,t = P_j,t / P_j,t-1 - 1</w:t>
      </w:r>
    </w:p>
    <w:p>
      <w:pPr>
        <w:pStyle w:val="Formula"/>
        <w:spacing w:before="40" w:after="100"/>
        <w:jc w:val="center"/>
      </w:pPr>
      <w:r>
        <w:rPr>
          <w:rFonts w:ascii="Noto Sans" w:hAnsi="Noto Sans" w:eastAsia="Noto Sans CJK SC" w:cs="Noto Sans"/>
          <w:b w:val="0"/>
          <w:i w:val="0"/>
          <w:sz w:val="20"/>
        </w:rPr>
        <w:t>V_i,t = C_i,t + Σ_j q_i,j,t · P_j,t</w:t>
      </w:r>
    </w:p>
    <w:p>
      <w:pPr>
        <w:pStyle w:val="Formula"/>
        <w:spacing w:before="40" w:after="100"/>
        <w:jc w:val="center"/>
      </w:pPr>
      <w:r>
        <w:rPr>
          <w:rFonts w:ascii="Noto Sans" w:hAnsi="Noto Sans" w:eastAsia="Noto Sans CJK SC" w:cs="Noto Sans"/>
          <w:b w:val="0"/>
          <w:i w:val="0"/>
          <w:sz w:val="20"/>
        </w:rPr>
        <w:t>CR_i = V_i,T / V_i,0 - 1</w:t>
      </w:r>
    </w:p>
    <w:p>
      <w:pPr>
        <w:pStyle w:val="Formula"/>
        <w:spacing w:before="40" w:after="100"/>
        <w:jc w:val="center"/>
      </w:pPr>
      <w:r>
        <w:rPr>
          <w:rFonts w:ascii="Noto Sans" w:hAnsi="Noto Sans" w:eastAsia="Noto Sans CJK SC" w:cs="Noto Sans"/>
          <w:b w:val="0"/>
          <w:i w:val="0"/>
          <w:sz w:val="20"/>
        </w:rPr>
        <w:t>σ_i = std(R_i,t) · sqrt(252)</w:t>
      </w:r>
    </w:p>
    <w:p>
      <w:pPr>
        <w:pStyle w:val="Formula"/>
        <w:spacing w:before="40" w:after="100"/>
        <w:jc w:val="center"/>
      </w:pPr>
      <w:r>
        <w:rPr>
          <w:rFonts w:ascii="Noto Sans" w:hAnsi="Noto Sans" w:eastAsia="Noto Sans CJK SC" w:cs="Noto Sans"/>
          <w:b w:val="0"/>
          <w:i w:val="0"/>
          <w:sz w:val="20"/>
        </w:rPr>
        <w:t>Sharpe_i = (AR_i - r_f) / σ_i</w:t>
      </w:r>
    </w:p>
    <w:p>
      <w:pPr>
        <w:pStyle w:val="Formula"/>
        <w:spacing w:before="40" w:after="100"/>
        <w:jc w:val="center"/>
      </w:pPr>
      <w:r>
        <w:rPr>
          <w:rFonts w:ascii="Noto Sans" w:hAnsi="Noto Sans" w:eastAsia="Noto Sans CJK SC" w:cs="Noto Sans"/>
          <w:b w:val="0"/>
          <w:i w:val="0"/>
          <w:sz w:val="20"/>
        </w:rPr>
        <w:t>MDD_i = min_t (V_i,t / max_{s≤t} V_i,s - 1)</w:t>
      </w:r>
    </w:p>
    <w:p>
      <w:pPr>
        <w:pStyle w:val="Heading2"/>
        <w:spacing w:before="160" w:after="80"/>
      </w:pPr>
      <w:r>
        <w:t>9.2 博弈与社交指标</w:t>
      </w:r>
    </w:p>
    <w:tbl>
      <w:tblPr>
        <w:tblStyle w:val="TableGrid"/>
        <w:tblW w:type="auto" w:w="0"/>
        <w:jc w:val="center"/>
        <w:tblLook w:firstColumn="1" w:firstRow="1" w:lastColumn="0" w:lastRow="0" w:noHBand="0" w:noVBand="1" w:val="04A0"/>
      </w:tblPr>
      <w:tblGrid>
        <w:gridCol w:w="3175"/>
        <w:gridCol w:w="3175"/>
        <w:gridCol w:w="3175"/>
      </w:tblGrid>
      <w:tr>
        <w:tc>
          <w:tcPr>
            <w:tcW w:type="dxa" w:w="1984"/>
            <w:vAlign w:val="center"/>
            <w:shd w:fill="D9EAF7"/>
          </w:tcPr>
          <w:p>
            <w:pPr>
              <w:spacing w:after="0" w:line="252" w:lineRule="auto"/>
            </w:pPr>
            <w:r/>
            <w:r>
              <w:rPr>
                <w:rFonts w:ascii="Noto Sans" w:hAnsi="Noto Sans" w:eastAsia="Noto Sans CJK SC" w:cs="Noto Sans"/>
                <w:b/>
                <w:i w:val="0"/>
                <w:sz w:val="17"/>
              </w:rPr>
              <w:t>指标</w:t>
            </w:r>
          </w:p>
        </w:tc>
        <w:tc>
          <w:tcPr>
            <w:tcW w:type="dxa" w:w="4252"/>
            <w:vAlign w:val="center"/>
            <w:shd w:fill="D9EAF7"/>
          </w:tcPr>
          <w:p>
            <w:pPr>
              <w:spacing w:after="0" w:line="252" w:lineRule="auto"/>
            </w:pPr>
            <w:r/>
            <w:r>
              <w:rPr>
                <w:rFonts w:ascii="Noto Sans" w:hAnsi="Noto Sans" w:eastAsia="Noto Sans CJK SC" w:cs="Noto Sans"/>
                <w:b/>
                <w:i w:val="0"/>
                <w:sz w:val="17"/>
              </w:rPr>
              <w:t>定义</w:t>
            </w:r>
          </w:p>
        </w:tc>
        <w:tc>
          <w:tcPr>
            <w:tcW w:type="dxa" w:w="3402"/>
            <w:vAlign w:val="center"/>
            <w:shd w:fill="D9EAF7"/>
          </w:tcPr>
          <w:p>
            <w:pPr>
              <w:spacing w:after="0" w:line="252" w:lineRule="auto"/>
            </w:pPr>
            <w:r/>
            <w:r>
              <w:rPr>
                <w:rFonts w:ascii="Noto Sans" w:hAnsi="Noto Sans" w:eastAsia="Noto Sans CJK SC" w:cs="Noto Sans"/>
                <w:b/>
                <w:i w:val="0"/>
                <w:sz w:val="17"/>
              </w:rPr>
              <w:t>解释</w:t>
            </w:r>
          </w:p>
        </w:tc>
      </w:tr>
      <w:tr>
        <w:tc>
          <w:tcPr>
            <w:tcW w:type="dxa" w:w="1984"/>
            <w:vAlign w:val="center"/>
          </w:tcPr>
          <w:p>
            <w:pPr>
              <w:spacing w:after="0" w:line="252" w:lineRule="auto"/>
            </w:pPr>
            <w:r/>
            <w:r>
              <w:rPr>
                <w:rFonts w:ascii="Noto Sans" w:hAnsi="Noto Sans" w:eastAsia="Noto Sans CJK SC" w:cs="Noto Sans"/>
                <w:b w:val="0"/>
                <w:i w:val="0"/>
                <w:sz w:val="17"/>
              </w:rPr>
              <w:t>消息准确率</w:t>
            </w:r>
          </w:p>
        </w:tc>
        <w:tc>
          <w:tcPr>
            <w:tcW w:type="dxa" w:w="4252"/>
            <w:vAlign w:val="center"/>
          </w:tcPr>
          <w:p>
            <w:pPr>
              <w:spacing w:after="0" w:line="252" w:lineRule="auto"/>
            </w:pPr>
            <w:r/>
            <w:r>
              <w:rPr>
                <w:rFonts w:ascii="Noto Sans" w:hAnsi="Noto Sans" w:eastAsia="Noto Sans CJK SC" w:cs="Noto Sans"/>
                <w:b w:val="0"/>
                <w:i w:val="0"/>
                <w:sz w:val="17"/>
              </w:rPr>
              <w:t>sign(predicted_return) 与 sign(realized_return) 的一致比例</w:t>
            </w:r>
          </w:p>
        </w:tc>
        <w:tc>
          <w:tcPr>
            <w:tcW w:type="dxa" w:w="3402"/>
            <w:vAlign w:val="center"/>
          </w:tcPr>
          <w:p>
            <w:pPr>
              <w:spacing w:after="0" w:line="252" w:lineRule="auto"/>
            </w:pPr>
            <w:r/>
            <w:r>
              <w:rPr>
                <w:rFonts w:ascii="Noto Sans" w:hAnsi="Noto Sans" w:eastAsia="Noto Sans CJK SC" w:cs="Noto Sans"/>
                <w:b w:val="0"/>
                <w:i w:val="0"/>
                <w:sz w:val="17"/>
              </w:rPr>
              <w:t>衡量发言是否有预测价值</w:t>
            </w:r>
          </w:p>
        </w:tc>
      </w:tr>
      <w:tr>
        <w:tc>
          <w:tcPr>
            <w:tcW w:type="dxa" w:w="1984"/>
            <w:vAlign w:val="center"/>
          </w:tcPr>
          <w:p>
            <w:pPr>
              <w:spacing w:after="0" w:line="252" w:lineRule="auto"/>
            </w:pPr>
            <w:r/>
            <w:r>
              <w:rPr>
                <w:rFonts w:ascii="Noto Sans" w:hAnsi="Noto Sans" w:eastAsia="Noto Sans CJK SC" w:cs="Noto Sans"/>
                <w:b w:val="0"/>
                <w:i w:val="0"/>
                <w:sz w:val="17"/>
              </w:rPr>
              <w:t>Brier / 校准误差</w:t>
            </w:r>
          </w:p>
        </w:tc>
        <w:tc>
          <w:tcPr>
            <w:tcW w:type="dxa" w:w="4252"/>
            <w:vAlign w:val="center"/>
          </w:tcPr>
          <w:p>
            <w:pPr>
              <w:spacing w:after="0" w:line="252" w:lineRule="auto"/>
            </w:pPr>
            <w:r/>
            <w:r>
              <w:rPr>
                <w:rFonts w:ascii="Noto Sans" w:hAnsi="Noto Sans" w:eastAsia="Noto Sans CJK SC" w:cs="Noto Sans"/>
                <w:b w:val="0"/>
                <w:i w:val="0"/>
                <w:sz w:val="17"/>
              </w:rPr>
              <w:t>(confidence - outcome)^2 的均值</w:t>
            </w:r>
          </w:p>
        </w:tc>
        <w:tc>
          <w:tcPr>
            <w:tcW w:type="dxa" w:w="3402"/>
            <w:vAlign w:val="center"/>
          </w:tcPr>
          <w:p>
            <w:pPr>
              <w:spacing w:after="0" w:line="252" w:lineRule="auto"/>
            </w:pPr>
            <w:r/>
            <w:r>
              <w:rPr>
                <w:rFonts w:ascii="Noto Sans" w:hAnsi="Noto Sans" w:eastAsia="Noto Sans CJK SC" w:cs="Noto Sans"/>
                <w:b w:val="0"/>
                <w:i w:val="0"/>
                <w:sz w:val="17"/>
              </w:rPr>
              <w:t>衡量置信度是否过度自信</w:t>
            </w:r>
          </w:p>
        </w:tc>
      </w:tr>
      <w:tr>
        <w:tc>
          <w:tcPr>
            <w:tcW w:type="dxa" w:w="1984"/>
            <w:vAlign w:val="center"/>
          </w:tcPr>
          <w:p>
            <w:pPr>
              <w:spacing w:after="0" w:line="252" w:lineRule="auto"/>
            </w:pPr>
            <w:r/>
            <w:r>
              <w:rPr>
                <w:rFonts w:ascii="Noto Sans" w:hAnsi="Noto Sans" w:eastAsia="Noto Sans CJK SC" w:cs="Noto Sans"/>
                <w:b w:val="0"/>
                <w:i w:val="0"/>
                <w:sz w:val="17"/>
              </w:rPr>
              <w:t>影响力分数</w:t>
            </w:r>
          </w:p>
        </w:tc>
        <w:tc>
          <w:tcPr>
            <w:tcW w:type="dxa" w:w="4252"/>
            <w:vAlign w:val="center"/>
          </w:tcPr>
          <w:p>
            <w:pPr>
              <w:spacing w:after="0" w:line="252" w:lineRule="auto"/>
            </w:pPr>
            <w:r/>
            <w:r>
              <w:rPr>
                <w:rFonts w:ascii="Noto Sans" w:hAnsi="Noto Sans" w:eastAsia="Noto Sans CJK SC" w:cs="Noto Sans"/>
                <w:b w:val="0"/>
                <w:i w:val="0"/>
                <w:sz w:val="17"/>
              </w:rPr>
              <w:t>消息发布后接收者信念或仓位变化的平均幅度</w:t>
            </w:r>
          </w:p>
        </w:tc>
        <w:tc>
          <w:tcPr>
            <w:tcW w:type="dxa" w:w="3402"/>
            <w:vAlign w:val="center"/>
          </w:tcPr>
          <w:p>
            <w:pPr>
              <w:spacing w:after="0" w:line="252" w:lineRule="auto"/>
            </w:pPr>
            <w:r/>
            <w:r>
              <w:rPr>
                <w:rFonts w:ascii="Noto Sans" w:hAnsi="Noto Sans" w:eastAsia="Noto Sans CJK SC" w:cs="Noto Sans"/>
                <w:b w:val="0"/>
                <w:i w:val="0"/>
                <w:sz w:val="17"/>
              </w:rPr>
              <w:t>衡量谁真正改变他人行为</w:t>
            </w:r>
          </w:p>
        </w:tc>
      </w:tr>
      <w:tr>
        <w:tc>
          <w:tcPr>
            <w:tcW w:type="dxa" w:w="1984"/>
            <w:vAlign w:val="center"/>
          </w:tcPr>
          <w:p>
            <w:pPr>
              <w:spacing w:after="0" w:line="252" w:lineRule="auto"/>
            </w:pPr>
            <w:r/>
            <w:r>
              <w:rPr>
                <w:rFonts w:ascii="Noto Sans" w:hAnsi="Noto Sans" w:eastAsia="Noto Sans CJK SC" w:cs="Noto Sans"/>
                <w:b w:val="0"/>
                <w:i w:val="0"/>
                <w:sz w:val="17"/>
              </w:rPr>
              <w:t>信息扩散速度</w:t>
            </w:r>
          </w:p>
        </w:tc>
        <w:tc>
          <w:tcPr>
            <w:tcW w:type="dxa" w:w="4252"/>
            <w:vAlign w:val="center"/>
          </w:tcPr>
          <w:p>
            <w:pPr>
              <w:spacing w:after="0" w:line="252" w:lineRule="auto"/>
            </w:pPr>
            <w:r/>
            <w:r>
              <w:rPr>
                <w:rFonts w:ascii="Noto Sans" w:hAnsi="Noto Sans" w:eastAsia="Noto Sans CJK SC" w:cs="Noto Sans"/>
                <w:b w:val="0"/>
                <w:i w:val="0"/>
                <w:sz w:val="17"/>
              </w:rPr>
              <w:t>某观点从首次出现到多数 agent 采纳的期数</w:t>
            </w:r>
          </w:p>
        </w:tc>
        <w:tc>
          <w:tcPr>
            <w:tcW w:type="dxa" w:w="3402"/>
            <w:vAlign w:val="center"/>
          </w:tcPr>
          <w:p>
            <w:pPr>
              <w:spacing w:after="0" w:line="252" w:lineRule="auto"/>
            </w:pPr>
            <w:r/>
            <w:r>
              <w:rPr>
                <w:rFonts w:ascii="Noto Sans" w:hAnsi="Noto Sans" w:eastAsia="Noto Sans CJK SC" w:cs="Noto Sans"/>
                <w:b w:val="0"/>
                <w:i w:val="0"/>
                <w:sz w:val="17"/>
              </w:rPr>
              <w:t>衡量公聊/朋友圈传播效率</w:t>
            </w:r>
          </w:p>
        </w:tc>
      </w:tr>
      <w:tr>
        <w:tc>
          <w:tcPr>
            <w:tcW w:type="dxa" w:w="1984"/>
            <w:vAlign w:val="center"/>
          </w:tcPr>
          <w:p>
            <w:pPr>
              <w:spacing w:after="0" w:line="252" w:lineRule="auto"/>
            </w:pPr>
            <w:r/>
            <w:r>
              <w:rPr>
                <w:rFonts w:ascii="Noto Sans" w:hAnsi="Noto Sans" w:eastAsia="Noto Sans CJK SC" w:cs="Noto Sans"/>
                <w:b w:val="0"/>
                <w:i w:val="0"/>
                <w:sz w:val="17"/>
              </w:rPr>
              <w:t>Herding Index</w:t>
            </w:r>
          </w:p>
        </w:tc>
        <w:tc>
          <w:tcPr>
            <w:tcW w:type="dxa" w:w="4252"/>
            <w:vAlign w:val="center"/>
          </w:tcPr>
          <w:p>
            <w:pPr>
              <w:spacing w:after="0" w:line="252" w:lineRule="auto"/>
            </w:pPr>
            <w:r/>
            <w:r>
              <w:rPr>
                <w:rFonts w:ascii="Noto Sans" w:hAnsi="Noto Sans" w:eastAsia="Noto Sans CJK SC" w:cs="Noto Sans"/>
                <w:b w:val="0"/>
                <w:i w:val="0"/>
                <w:sz w:val="17"/>
              </w:rPr>
              <w:t>同向持仓比例或目标权重相关性的均值</w:t>
            </w:r>
          </w:p>
        </w:tc>
        <w:tc>
          <w:tcPr>
            <w:tcW w:type="dxa" w:w="3402"/>
            <w:vAlign w:val="center"/>
          </w:tcPr>
          <w:p>
            <w:pPr>
              <w:spacing w:after="0" w:line="252" w:lineRule="auto"/>
            </w:pPr>
            <w:r/>
            <w:r>
              <w:rPr>
                <w:rFonts w:ascii="Noto Sans" w:hAnsi="Noto Sans" w:eastAsia="Noto Sans CJK SC" w:cs="Noto Sans"/>
                <w:b w:val="0"/>
                <w:i w:val="0"/>
                <w:sz w:val="17"/>
              </w:rPr>
              <w:t>衡量羊群效应</w:t>
            </w:r>
          </w:p>
        </w:tc>
      </w:tr>
      <w:tr>
        <w:tc>
          <w:tcPr>
            <w:tcW w:type="dxa" w:w="1984"/>
            <w:vAlign w:val="center"/>
          </w:tcPr>
          <w:p>
            <w:pPr>
              <w:spacing w:after="0" w:line="252" w:lineRule="auto"/>
            </w:pPr>
            <w:r/>
            <w:r>
              <w:rPr>
                <w:rFonts w:ascii="Noto Sans" w:hAnsi="Noto Sans" w:eastAsia="Noto Sans CJK SC" w:cs="Noto Sans"/>
                <w:b w:val="0"/>
                <w:i w:val="0"/>
                <w:sz w:val="17"/>
              </w:rPr>
              <w:t>收益不平等</w:t>
            </w:r>
          </w:p>
        </w:tc>
        <w:tc>
          <w:tcPr>
            <w:tcW w:type="dxa" w:w="4252"/>
            <w:vAlign w:val="center"/>
          </w:tcPr>
          <w:p>
            <w:pPr>
              <w:spacing w:after="0" w:line="252" w:lineRule="auto"/>
            </w:pPr>
            <w:r/>
            <w:r>
              <w:rPr>
                <w:rFonts w:ascii="Noto Sans" w:hAnsi="Noto Sans" w:eastAsia="Noto Sans CJK SC" w:cs="Noto Sans"/>
                <w:b w:val="0"/>
                <w:i w:val="0"/>
                <w:sz w:val="17"/>
              </w:rPr>
              <w:t>agent 收益或净值的 Gini 系数</w:t>
            </w:r>
          </w:p>
        </w:tc>
        <w:tc>
          <w:tcPr>
            <w:tcW w:type="dxa" w:w="3402"/>
            <w:vAlign w:val="center"/>
          </w:tcPr>
          <w:p>
            <w:pPr>
              <w:spacing w:after="0" w:line="252" w:lineRule="auto"/>
            </w:pPr>
            <w:r/>
            <w:r>
              <w:rPr>
                <w:rFonts w:ascii="Noto Sans" w:hAnsi="Noto Sans" w:eastAsia="Noto Sans CJK SC" w:cs="Noto Sans"/>
                <w:b w:val="0"/>
                <w:i w:val="0"/>
                <w:sz w:val="17"/>
              </w:rPr>
              <w:t>衡量私聊/信息优势是否扩大差距</w:t>
            </w:r>
          </w:p>
        </w:tc>
      </w:tr>
      <w:tr>
        <w:tc>
          <w:tcPr>
            <w:tcW w:type="dxa" w:w="1984"/>
            <w:vAlign w:val="center"/>
          </w:tcPr>
          <w:p>
            <w:pPr>
              <w:spacing w:after="0" w:line="252" w:lineRule="auto"/>
            </w:pPr>
            <w:r/>
            <w:r>
              <w:rPr>
                <w:rFonts w:ascii="Noto Sans" w:hAnsi="Noto Sans" w:eastAsia="Noto Sans CJK SC" w:cs="Noto Sans"/>
                <w:b w:val="0"/>
                <w:i w:val="0"/>
                <w:sz w:val="17"/>
              </w:rPr>
              <w:t>网络中心性</w:t>
            </w:r>
          </w:p>
        </w:tc>
        <w:tc>
          <w:tcPr>
            <w:tcW w:type="dxa" w:w="4252"/>
            <w:vAlign w:val="center"/>
          </w:tcPr>
          <w:p>
            <w:pPr>
              <w:spacing w:after="0" w:line="252" w:lineRule="auto"/>
            </w:pPr>
            <w:r/>
            <w:r>
              <w:rPr>
                <w:rFonts w:ascii="Noto Sans" w:hAnsi="Noto Sans" w:eastAsia="Noto Sans CJK SC" w:cs="Noto Sans"/>
                <w:b w:val="0"/>
                <w:i w:val="0"/>
                <w:sz w:val="17"/>
              </w:rPr>
              <w:t>消息网络中的 degree、PageRank 或 betweenness</w:t>
            </w:r>
          </w:p>
        </w:tc>
        <w:tc>
          <w:tcPr>
            <w:tcW w:type="dxa" w:w="3402"/>
            <w:vAlign w:val="center"/>
          </w:tcPr>
          <w:p>
            <w:pPr>
              <w:spacing w:after="0" w:line="252" w:lineRule="auto"/>
            </w:pPr>
            <w:r/>
            <w:r>
              <w:rPr>
                <w:rFonts w:ascii="Noto Sans" w:hAnsi="Noto Sans" w:eastAsia="Noto Sans CJK SC" w:cs="Noto Sans"/>
                <w:b w:val="0"/>
                <w:i w:val="0"/>
                <w:sz w:val="17"/>
              </w:rPr>
              <w:t>识别意见领袖和中介节点</w:t>
            </w:r>
          </w:p>
        </w:tc>
      </w:tr>
      <w:tr>
        <w:tc>
          <w:tcPr>
            <w:tcW w:type="dxa" w:w="1984"/>
            <w:vAlign w:val="center"/>
          </w:tcPr>
          <w:p>
            <w:pPr>
              <w:spacing w:after="0" w:line="252" w:lineRule="auto"/>
            </w:pPr>
            <w:r/>
            <w:r>
              <w:rPr>
                <w:rFonts w:ascii="Noto Sans" w:hAnsi="Noto Sans" w:eastAsia="Noto Sans CJK SC" w:cs="Noto Sans"/>
                <w:b w:val="0"/>
                <w:i w:val="0"/>
                <w:sz w:val="17"/>
              </w:rPr>
              <w:t>约束违规率</w:t>
            </w:r>
          </w:p>
        </w:tc>
        <w:tc>
          <w:tcPr>
            <w:tcW w:type="dxa" w:w="4252"/>
            <w:vAlign w:val="center"/>
          </w:tcPr>
          <w:p>
            <w:pPr>
              <w:spacing w:after="0" w:line="252" w:lineRule="auto"/>
            </w:pPr>
            <w:r/>
            <w:r>
              <w:rPr>
                <w:rFonts w:ascii="Noto Sans" w:hAnsi="Noto Sans" w:eastAsia="Noto Sans CJK SC" w:cs="Noto Sans"/>
                <w:b w:val="0"/>
                <w:i w:val="0"/>
                <w:sz w:val="17"/>
              </w:rPr>
              <w:t>schema、仓位、风险限制未通过的比例</w:t>
            </w:r>
          </w:p>
        </w:tc>
        <w:tc>
          <w:tcPr>
            <w:tcW w:type="dxa" w:w="3402"/>
            <w:vAlign w:val="center"/>
          </w:tcPr>
          <w:p>
            <w:pPr>
              <w:spacing w:after="0" w:line="252" w:lineRule="auto"/>
            </w:pPr>
            <w:r/>
            <w:r>
              <w:rPr>
                <w:rFonts w:ascii="Noto Sans" w:hAnsi="Noto Sans" w:eastAsia="Noto Sans CJK SC" w:cs="Noto Sans"/>
                <w:b w:val="0"/>
                <w:i w:val="0"/>
                <w:sz w:val="17"/>
              </w:rPr>
              <w:t>衡量约束 LLM 与风险引擎稳定性</w:t>
            </w:r>
          </w:p>
        </w:tc>
      </w:tr>
    </w:tbl>
    <w:p/>
    <w:p>
      <w:pPr>
        <w:pStyle w:val="Heading1"/>
        <w:spacing w:before="200" w:after="120"/>
      </w:pPr>
      <w:r>
        <w:t>10 可视化平台设计</w:t>
      </w:r>
    </w:p>
    <w:p>
      <w:pPr>
        <w:spacing w:line="276" w:lineRule="auto" w:after="100"/>
        <w:ind w:firstLine="420"/>
      </w:pPr>
      <w:r>
        <w:rPr>
          <w:rFonts w:ascii="Noto Sans" w:hAnsi="Noto Sans" w:eastAsia="Noto Sans CJK SC" w:cs="Noto Sans"/>
          <w:b w:val="0"/>
          <w:i w:val="0"/>
          <w:sz w:val="21"/>
        </w:rPr>
        <w:t>展示平台应从“绩效 dashboard”升级为“市场 + 聊天 + 网络 + 组合”的综合界面。建议采用 Streamlit 多页结构。</w:t>
      </w:r>
    </w:p>
    <w:tbl>
      <w:tblPr>
        <w:tblStyle w:val="TableGrid"/>
        <w:tblW w:type="auto" w:w="0"/>
        <w:jc w:val="center"/>
        <w:tblLook w:firstColumn="1" w:firstRow="1" w:lastColumn="0" w:lastRow="0" w:noHBand="0" w:noVBand="1" w:val="04A0"/>
      </w:tblPr>
      <w:tblGrid>
        <w:gridCol w:w="3175"/>
        <w:gridCol w:w="3175"/>
        <w:gridCol w:w="3175"/>
      </w:tblGrid>
      <w:tr>
        <w:tc>
          <w:tcPr>
            <w:tcW w:type="dxa" w:w="1701"/>
            <w:vAlign w:val="center"/>
            <w:shd w:fill="D9EAF7"/>
          </w:tcPr>
          <w:p>
            <w:pPr>
              <w:spacing w:after="0" w:line="252" w:lineRule="auto"/>
            </w:pPr>
            <w:r/>
            <w:r>
              <w:rPr>
                <w:rFonts w:ascii="Noto Sans" w:hAnsi="Noto Sans" w:eastAsia="Noto Sans CJK SC" w:cs="Noto Sans"/>
                <w:b/>
                <w:i w:val="0"/>
                <w:sz w:val="17"/>
              </w:rPr>
              <w:t>页面</w:t>
            </w:r>
          </w:p>
        </w:tc>
        <w:tc>
          <w:tcPr>
            <w:tcW w:type="dxa" w:w="4252"/>
            <w:vAlign w:val="center"/>
            <w:shd w:fill="D9EAF7"/>
          </w:tcPr>
          <w:p>
            <w:pPr>
              <w:spacing w:after="0" w:line="252" w:lineRule="auto"/>
            </w:pPr>
            <w:r/>
            <w:r>
              <w:rPr>
                <w:rFonts w:ascii="Noto Sans" w:hAnsi="Noto Sans" w:eastAsia="Noto Sans CJK SC" w:cs="Noto Sans"/>
                <w:b/>
                <w:i w:val="0"/>
                <w:sz w:val="17"/>
              </w:rPr>
              <w:t>核心组件</w:t>
            </w:r>
          </w:p>
        </w:tc>
        <w:tc>
          <w:tcPr>
            <w:tcW w:type="dxa" w:w="3685"/>
            <w:vAlign w:val="center"/>
            <w:shd w:fill="D9EAF7"/>
          </w:tcPr>
          <w:p>
            <w:pPr>
              <w:spacing w:after="0" w:line="252" w:lineRule="auto"/>
            </w:pPr>
            <w:r/>
            <w:r>
              <w:rPr>
                <w:rFonts w:ascii="Noto Sans" w:hAnsi="Noto Sans" w:eastAsia="Noto Sans CJK SC" w:cs="Noto Sans"/>
                <w:b/>
                <w:i w:val="0"/>
                <w:sz w:val="17"/>
              </w:rPr>
              <w:t>展示重点</w:t>
            </w:r>
          </w:p>
        </w:tc>
      </w:tr>
      <w:tr>
        <w:tc>
          <w:tcPr>
            <w:tcW w:type="dxa" w:w="1701"/>
            <w:vAlign w:val="center"/>
          </w:tcPr>
          <w:p>
            <w:pPr>
              <w:spacing w:after="0" w:line="252" w:lineRule="auto"/>
            </w:pPr>
            <w:r/>
            <w:r>
              <w:rPr>
                <w:rFonts w:ascii="Noto Sans" w:hAnsi="Noto Sans" w:eastAsia="Noto Sans CJK SC" w:cs="Noto Sans"/>
                <w:b w:val="0"/>
                <w:i w:val="0"/>
                <w:sz w:val="17"/>
              </w:rPr>
              <w:t>Overview</w:t>
            </w:r>
          </w:p>
        </w:tc>
        <w:tc>
          <w:tcPr>
            <w:tcW w:type="dxa" w:w="4252"/>
            <w:vAlign w:val="center"/>
          </w:tcPr>
          <w:p>
            <w:pPr>
              <w:spacing w:after="0" w:line="252" w:lineRule="auto"/>
            </w:pPr>
            <w:r/>
            <w:r>
              <w:rPr>
                <w:rFonts w:ascii="Noto Sans" w:hAnsi="Noto Sans" w:eastAsia="Noto Sans CJK SC" w:cs="Noto Sans"/>
                <w:b w:val="0"/>
                <w:i w:val="0"/>
                <w:sz w:val="17"/>
              </w:rPr>
              <w:t>总收益、Sharpe、MDD、最佳 agent、实验组选择器</w:t>
            </w:r>
          </w:p>
        </w:tc>
        <w:tc>
          <w:tcPr>
            <w:tcW w:type="dxa" w:w="3685"/>
            <w:vAlign w:val="center"/>
          </w:tcPr>
          <w:p>
            <w:pPr>
              <w:spacing w:after="0" w:line="252" w:lineRule="auto"/>
            </w:pPr>
            <w:r/>
            <w:r>
              <w:rPr>
                <w:rFonts w:ascii="Noto Sans" w:hAnsi="Noto Sans" w:eastAsia="Noto Sans CJK SC" w:cs="Noto Sans"/>
                <w:b w:val="0"/>
                <w:i w:val="0"/>
                <w:sz w:val="17"/>
              </w:rPr>
              <w:t>快速理解实验结果</w:t>
            </w:r>
          </w:p>
        </w:tc>
      </w:tr>
      <w:tr>
        <w:tc>
          <w:tcPr>
            <w:tcW w:type="dxa" w:w="1701"/>
            <w:vAlign w:val="center"/>
          </w:tcPr>
          <w:p>
            <w:pPr>
              <w:spacing w:after="0" w:line="252" w:lineRule="auto"/>
            </w:pPr>
            <w:r/>
            <w:r>
              <w:rPr>
                <w:rFonts w:ascii="Noto Sans" w:hAnsi="Noto Sans" w:eastAsia="Noto Sans CJK SC" w:cs="Noto Sans"/>
                <w:b w:val="0"/>
                <w:i w:val="0"/>
                <w:sz w:val="17"/>
              </w:rPr>
              <w:t>Market</w:t>
            </w:r>
          </w:p>
        </w:tc>
        <w:tc>
          <w:tcPr>
            <w:tcW w:type="dxa" w:w="4252"/>
            <w:vAlign w:val="center"/>
          </w:tcPr>
          <w:p>
            <w:pPr>
              <w:spacing w:after="0" w:line="252" w:lineRule="auto"/>
            </w:pPr>
            <w:r/>
            <w:r>
              <w:rPr>
                <w:rFonts w:ascii="Noto Sans" w:hAnsi="Noto Sans" w:eastAsia="Noto Sans CJK SC" w:cs="Noto Sans"/>
                <w:b w:val="0"/>
                <w:i w:val="0"/>
                <w:sz w:val="17"/>
              </w:rPr>
              <w:t>价格走势、收益热力图、波动率、事件日标记</w:t>
            </w:r>
          </w:p>
        </w:tc>
        <w:tc>
          <w:tcPr>
            <w:tcW w:type="dxa" w:w="3685"/>
            <w:vAlign w:val="center"/>
          </w:tcPr>
          <w:p>
            <w:pPr>
              <w:spacing w:after="0" w:line="252" w:lineRule="auto"/>
            </w:pPr>
            <w:r/>
            <w:r>
              <w:rPr>
                <w:rFonts w:ascii="Noto Sans" w:hAnsi="Noto Sans" w:eastAsia="Noto Sans CJK SC" w:cs="Noto Sans"/>
                <w:b w:val="0"/>
                <w:i w:val="0"/>
                <w:sz w:val="17"/>
              </w:rPr>
              <w:t>市场环境</w:t>
            </w:r>
          </w:p>
        </w:tc>
      </w:tr>
      <w:tr>
        <w:tc>
          <w:tcPr>
            <w:tcW w:type="dxa" w:w="1701"/>
            <w:vAlign w:val="center"/>
          </w:tcPr>
          <w:p>
            <w:pPr>
              <w:spacing w:after="0" w:line="252" w:lineRule="auto"/>
            </w:pPr>
            <w:r/>
            <w:r>
              <w:rPr>
                <w:rFonts w:ascii="Noto Sans" w:hAnsi="Noto Sans" w:eastAsia="Noto Sans CJK SC" w:cs="Noto Sans"/>
                <w:b w:val="0"/>
                <w:i w:val="0"/>
                <w:sz w:val="17"/>
              </w:rPr>
              <w:t>Agents</w:t>
            </w:r>
          </w:p>
        </w:tc>
        <w:tc>
          <w:tcPr>
            <w:tcW w:type="dxa" w:w="4252"/>
            <w:vAlign w:val="center"/>
          </w:tcPr>
          <w:p>
            <w:pPr>
              <w:spacing w:after="0" w:line="252" w:lineRule="auto"/>
            </w:pPr>
            <w:r/>
            <w:r>
              <w:rPr>
                <w:rFonts w:ascii="Noto Sans" w:hAnsi="Noto Sans" w:eastAsia="Noto Sans CJK SC" w:cs="Noto Sans"/>
                <w:b w:val="0"/>
                <w:i w:val="0"/>
                <w:sz w:val="17"/>
              </w:rPr>
              <w:t>agent 类型、风险参数、当前持仓、净值曲线</w:t>
            </w:r>
          </w:p>
        </w:tc>
        <w:tc>
          <w:tcPr>
            <w:tcW w:type="dxa" w:w="3685"/>
            <w:vAlign w:val="center"/>
          </w:tcPr>
          <w:p>
            <w:pPr>
              <w:spacing w:after="0" w:line="252" w:lineRule="auto"/>
            </w:pPr>
            <w:r/>
            <w:r>
              <w:rPr>
                <w:rFonts w:ascii="Noto Sans" w:hAnsi="Noto Sans" w:eastAsia="Noto Sans CJK SC" w:cs="Noto Sans"/>
                <w:b w:val="0"/>
                <w:i w:val="0"/>
                <w:sz w:val="17"/>
              </w:rPr>
              <w:t>异质主体</w:t>
            </w:r>
          </w:p>
        </w:tc>
      </w:tr>
      <w:tr>
        <w:tc>
          <w:tcPr>
            <w:tcW w:type="dxa" w:w="1701"/>
            <w:vAlign w:val="center"/>
          </w:tcPr>
          <w:p>
            <w:pPr>
              <w:spacing w:after="0" w:line="252" w:lineRule="auto"/>
            </w:pPr>
            <w:r/>
            <w:r>
              <w:rPr>
                <w:rFonts w:ascii="Noto Sans" w:hAnsi="Noto Sans" w:eastAsia="Noto Sans CJK SC" w:cs="Noto Sans"/>
                <w:b w:val="0"/>
                <w:i w:val="0"/>
                <w:sz w:val="17"/>
              </w:rPr>
              <w:t>Chat Lab</w:t>
            </w:r>
          </w:p>
        </w:tc>
        <w:tc>
          <w:tcPr>
            <w:tcW w:type="dxa" w:w="4252"/>
            <w:vAlign w:val="center"/>
          </w:tcPr>
          <w:p>
            <w:pPr>
              <w:spacing w:after="0" w:line="252" w:lineRule="auto"/>
            </w:pPr>
            <w:r/>
            <w:r>
              <w:rPr>
                <w:rFonts w:ascii="Noto Sans" w:hAnsi="Noto Sans" w:eastAsia="Noto Sans CJK SC" w:cs="Noto Sans"/>
                <w:b w:val="0"/>
                <w:i w:val="0"/>
                <w:sz w:val="17"/>
              </w:rPr>
              <w:t>公聊窗口、私聊筛选、朋友圈 feed、消息详情</w:t>
            </w:r>
          </w:p>
        </w:tc>
        <w:tc>
          <w:tcPr>
            <w:tcW w:type="dxa" w:w="3685"/>
            <w:vAlign w:val="center"/>
          </w:tcPr>
          <w:p>
            <w:pPr>
              <w:spacing w:after="0" w:line="252" w:lineRule="auto"/>
            </w:pPr>
            <w:r/>
            <w:r>
              <w:rPr>
                <w:rFonts w:ascii="Noto Sans" w:hAnsi="Noto Sans" w:eastAsia="Noto Sans CJK SC" w:cs="Noto Sans"/>
                <w:b w:val="0"/>
                <w:i w:val="0"/>
                <w:sz w:val="17"/>
              </w:rPr>
              <w:t>信息传递过程</w:t>
            </w:r>
          </w:p>
        </w:tc>
      </w:tr>
      <w:tr>
        <w:tc>
          <w:tcPr>
            <w:tcW w:type="dxa" w:w="1701"/>
            <w:vAlign w:val="center"/>
          </w:tcPr>
          <w:p>
            <w:pPr>
              <w:spacing w:after="0" w:line="252" w:lineRule="auto"/>
            </w:pPr>
            <w:r/>
            <w:r>
              <w:rPr>
                <w:rFonts w:ascii="Noto Sans" w:hAnsi="Noto Sans" w:eastAsia="Noto Sans CJK SC" w:cs="Noto Sans"/>
                <w:b w:val="0"/>
                <w:i w:val="0"/>
                <w:sz w:val="17"/>
              </w:rPr>
              <w:t>Belief Network</w:t>
            </w:r>
          </w:p>
        </w:tc>
        <w:tc>
          <w:tcPr>
            <w:tcW w:type="dxa" w:w="4252"/>
            <w:vAlign w:val="center"/>
          </w:tcPr>
          <w:p>
            <w:pPr>
              <w:spacing w:after="0" w:line="252" w:lineRule="auto"/>
            </w:pPr>
            <w:r/>
            <w:r>
              <w:rPr>
                <w:rFonts w:ascii="Noto Sans" w:hAnsi="Noto Sans" w:eastAsia="Noto Sans CJK SC" w:cs="Noto Sans"/>
                <w:b w:val="0"/>
                <w:i w:val="0"/>
                <w:sz w:val="17"/>
              </w:rPr>
              <w:t>agent 网络图、影响力中心性、消息流向</w:t>
            </w:r>
          </w:p>
        </w:tc>
        <w:tc>
          <w:tcPr>
            <w:tcW w:type="dxa" w:w="3685"/>
            <w:vAlign w:val="center"/>
          </w:tcPr>
          <w:p>
            <w:pPr>
              <w:spacing w:after="0" w:line="252" w:lineRule="auto"/>
            </w:pPr>
            <w:r/>
            <w:r>
              <w:rPr>
                <w:rFonts w:ascii="Noto Sans" w:hAnsi="Noto Sans" w:eastAsia="Noto Sans CJK SC" w:cs="Noto Sans"/>
                <w:b w:val="0"/>
                <w:i w:val="0"/>
                <w:sz w:val="17"/>
              </w:rPr>
              <w:t>谁影响谁</w:t>
            </w:r>
          </w:p>
        </w:tc>
      </w:tr>
      <w:tr>
        <w:tc>
          <w:tcPr>
            <w:tcW w:type="dxa" w:w="1701"/>
            <w:vAlign w:val="center"/>
          </w:tcPr>
          <w:p>
            <w:pPr>
              <w:spacing w:after="0" w:line="252" w:lineRule="auto"/>
            </w:pPr>
            <w:r/>
            <w:r>
              <w:rPr>
                <w:rFonts w:ascii="Noto Sans" w:hAnsi="Noto Sans" w:eastAsia="Noto Sans CJK SC" w:cs="Noto Sans"/>
                <w:b w:val="0"/>
                <w:i w:val="0"/>
                <w:sz w:val="17"/>
              </w:rPr>
              <w:t>Aggregation</w:t>
            </w:r>
          </w:p>
        </w:tc>
        <w:tc>
          <w:tcPr>
            <w:tcW w:type="dxa" w:w="4252"/>
            <w:vAlign w:val="center"/>
          </w:tcPr>
          <w:p>
            <w:pPr>
              <w:spacing w:after="0" w:line="252" w:lineRule="auto"/>
            </w:pPr>
            <w:r/>
            <w:r>
              <w:rPr>
                <w:rFonts w:ascii="Noto Sans" w:hAnsi="Noto Sans" w:eastAsia="Noto Sans CJK SC" w:cs="Noto Sans"/>
                <w:b w:val="0"/>
                <w:i w:val="0"/>
                <w:sz w:val="17"/>
              </w:rPr>
              <w:t>DeGroot / BL / Hedge 权重可视化</w:t>
            </w:r>
          </w:p>
        </w:tc>
        <w:tc>
          <w:tcPr>
            <w:tcW w:type="dxa" w:w="3685"/>
            <w:vAlign w:val="center"/>
          </w:tcPr>
          <w:p>
            <w:pPr>
              <w:spacing w:after="0" w:line="252" w:lineRule="auto"/>
            </w:pPr>
            <w:r/>
            <w:r>
              <w:rPr>
                <w:rFonts w:ascii="Noto Sans" w:hAnsi="Noto Sans" w:eastAsia="Noto Sans CJK SC" w:cs="Noto Sans"/>
                <w:b w:val="0"/>
                <w:i w:val="0"/>
                <w:sz w:val="17"/>
              </w:rPr>
              <w:t>观点如何变成交易信号</w:t>
            </w:r>
          </w:p>
        </w:tc>
      </w:tr>
      <w:tr>
        <w:tc>
          <w:tcPr>
            <w:tcW w:type="dxa" w:w="1701"/>
            <w:vAlign w:val="center"/>
          </w:tcPr>
          <w:p>
            <w:pPr>
              <w:spacing w:after="0" w:line="252" w:lineRule="auto"/>
            </w:pPr>
            <w:r/>
            <w:r>
              <w:rPr>
                <w:rFonts w:ascii="Noto Sans" w:hAnsi="Noto Sans" w:eastAsia="Noto Sans CJK SC" w:cs="Noto Sans"/>
                <w:b w:val="0"/>
                <w:i w:val="0"/>
                <w:sz w:val="17"/>
              </w:rPr>
              <w:t>Trades</w:t>
            </w:r>
          </w:p>
        </w:tc>
        <w:tc>
          <w:tcPr>
            <w:tcW w:type="dxa" w:w="4252"/>
            <w:vAlign w:val="center"/>
          </w:tcPr>
          <w:p>
            <w:pPr>
              <w:spacing w:after="0" w:line="252" w:lineRule="auto"/>
            </w:pPr>
            <w:r/>
            <w:r>
              <w:rPr>
                <w:rFonts w:ascii="Noto Sans" w:hAnsi="Noto Sans" w:eastAsia="Noto Sans CJK SC" w:cs="Noto Sans"/>
                <w:b w:val="0"/>
                <w:i w:val="0"/>
                <w:sz w:val="17"/>
              </w:rPr>
              <w:t>交易记录、换手率、交易成本、风控拒单</w:t>
            </w:r>
          </w:p>
        </w:tc>
        <w:tc>
          <w:tcPr>
            <w:tcW w:type="dxa" w:w="3685"/>
            <w:vAlign w:val="center"/>
          </w:tcPr>
          <w:p>
            <w:pPr>
              <w:spacing w:after="0" w:line="252" w:lineRule="auto"/>
            </w:pPr>
            <w:r/>
            <w:r>
              <w:rPr>
                <w:rFonts w:ascii="Noto Sans" w:hAnsi="Noto Sans" w:eastAsia="Noto Sans CJK SC" w:cs="Noto Sans"/>
                <w:b w:val="0"/>
                <w:i w:val="0"/>
                <w:sz w:val="17"/>
              </w:rPr>
              <w:t>行动与约束</w:t>
            </w:r>
          </w:p>
        </w:tc>
      </w:tr>
      <w:tr>
        <w:tc>
          <w:tcPr>
            <w:tcW w:type="dxa" w:w="1701"/>
            <w:vAlign w:val="center"/>
          </w:tcPr>
          <w:p>
            <w:pPr>
              <w:spacing w:after="0" w:line="252" w:lineRule="auto"/>
            </w:pPr>
            <w:r/>
            <w:r>
              <w:rPr>
                <w:rFonts w:ascii="Noto Sans" w:hAnsi="Noto Sans" w:eastAsia="Noto Sans CJK SC" w:cs="Noto Sans"/>
                <w:b w:val="0"/>
                <w:i w:val="0"/>
                <w:sz w:val="17"/>
              </w:rPr>
              <w:t>Evaluation</w:t>
            </w:r>
          </w:p>
        </w:tc>
        <w:tc>
          <w:tcPr>
            <w:tcW w:type="dxa" w:w="4252"/>
            <w:vAlign w:val="center"/>
          </w:tcPr>
          <w:p>
            <w:pPr>
              <w:spacing w:after="0" w:line="252" w:lineRule="auto"/>
            </w:pPr>
            <w:r/>
            <w:r>
              <w:rPr>
                <w:rFonts w:ascii="Noto Sans" w:hAnsi="Noto Sans" w:eastAsia="Noto Sans CJK SC" w:cs="Noto Sans"/>
                <w:b w:val="0"/>
                <w:i w:val="0"/>
                <w:sz w:val="17"/>
              </w:rPr>
              <w:t>金融指标 + 社交指标 + ablation 对比</w:t>
            </w:r>
          </w:p>
        </w:tc>
        <w:tc>
          <w:tcPr>
            <w:tcW w:type="dxa" w:w="3685"/>
            <w:vAlign w:val="center"/>
          </w:tcPr>
          <w:p>
            <w:pPr>
              <w:spacing w:after="0" w:line="252" w:lineRule="auto"/>
            </w:pPr>
            <w:r/>
            <w:r>
              <w:rPr>
                <w:rFonts w:ascii="Noto Sans" w:hAnsi="Noto Sans" w:eastAsia="Noto Sans CJK SC" w:cs="Noto Sans"/>
                <w:b w:val="0"/>
                <w:i w:val="0"/>
                <w:sz w:val="17"/>
              </w:rPr>
              <w:t>结论证据</w:t>
            </w:r>
          </w:p>
        </w:tc>
      </w:tr>
    </w:tbl>
    <w:p/>
    <w:p>
      <w:pPr>
        <w:spacing w:line="276" w:lineRule="auto" w:after="100"/>
        <w:ind w:firstLine="420"/>
      </w:pPr>
      <w:r>
        <w:rPr>
          <w:rFonts w:ascii="Noto Sans" w:hAnsi="Noto Sans" w:eastAsia="Noto Sans CJK SC" w:cs="Noto Sans"/>
          <w:b w:val="0"/>
          <w:i w:val="0"/>
          <w:sz w:val="21"/>
        </w:rPr>
        <w:t>用户在课堂汇报时可以先选择实验组，例如“No Chat vs Public Chat”，再观察聊天数量、信念变化、仓位变化和绩效差异。这样观众可以直观看到：不是因为某个 agent “更聪明”所以收益不同，而是信息结构和组织规则改变了 agent 的行为。</w:t>
      </w:r>
    </w:p>
    <w:p>
      <w:pPr>
        <w:pStyle w:val="Heading1"/>
        <w:spacing w:before="200" w:after="120"/>
      </w:pPr>
      <w:r>
        <w:t>11 技术方法来源说明</w:t>
      </w:r>
    </w:p>
    <w:p>
      <w:pPr>
        <w:spacing w:line="276" w:lineRule="auto" w:after="100"/>
        <w:ind w:firstLine="420"/>
      </w:pPr>
      <w:r>
        <w:rPr>
          <w:rFonts w:ascii="Noto Sans" w:hAnsi="Noto Sans" w:eastAsia="Noto Sans CJK SC" w:cs="Noto Sans"/>
          <w:b w:val="0"/>
          <w:i w:val="0"/>
          <w:sz w:val="21"/>
        </w:rPr>
        <w:t>下表区分“直接引用的已有方法”“受文献启发的工程改造”和“本项目组合设计”。本项目不声称发明 DeGroot、Black-Litterman、cheap talk 或 constrained decoding，而是把这些方法组合进课程级虚拟市场实验。</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268"/>
            <w:vAlign w:val="center"/>
            <w:shd w:fill="D9EAF7"/>
          </w:tcPr>
          <w:p>
            <w:pPr>
              <w:spacing w:after="0" w:line="252" w:lineRule="auto"/>
            </w:pPr>
            <w:r/>
            <w:r>
              <w:rPr>
                <w:rFonts w:ascii="Noto Sans" w:hAnsi="Noto Sans" w:eastAsia="Noto Sans CJK SC" w:cs="Noto Sans"/>
                <w:b/>
                <w:i w:val="0"/>
                <w:sz w:val="17"/>
              </w:rPr>
              <w:t>方法/模块</w:t>
            </w:r>
          </w:p>
        </w:tc>
        <w:tc>
          <w:tcPr>
            <w:tcW w:type="dxa" w:w="1757"/>
            <w:vAlign w:val="center"/>
            <w:shd w:fill="D9EAF7"/>
          </w:tcPr>
          <w:p>
            <w:pPr>
              <w:spacing w:after="0" w:line="252" w:lineRule="auto"/>
            </w:pPr>
            <w:r/>
            <w:r>
              <w:rPr>
                <w:rFonts w:ascii="Noto Sans" w:hAnsi="Noto Sans" w:eastAsia="Noto Sans CJK SC" w:cs="Noto Sans"/>
                <w:b/>
                <w:i w:val="0"/>
                <w:sz w:val="17"/>
              </w:rPr>
              <w:t>来源类型</w:t>
            </w:r>
          </w:p>
        </w:tc>
        <w:tc>
          <w:tcPr>
            <w:tcW w:type="dxa" w:w="1474"/>
            <w:vAlign w:val="center"/>
            <w:shd w:fill="D9EAF7"/>
          </w:tcPr>
          <w:p>
            <w:pPr>
              <w:spacing w:after="0" w:line="252" w:lineRule="auto"/>
            </w:pPr>
            <w:r/>
            <w:r>
              <w:rPr>
                <w:rFonts w:ascii="Noto Sans" w:hAnsi="Noto Sans" w:eastAsia="Noto Sans CJK SC" w:cs="Noto Sans"/>
                <w:b/>
                <w:i w:val="0"/>
                <w:sz w:val="17"/>
              </w:rPr>
              <w:t>引用</w:t>
            </w:r>
          </w:p>
        </w:tc>
        <w:tc>
          <w:tcPr>
            <w:tcW w:type="dxa" w:w="3969"/>
            <w:vAlign w:val="center"/>
            <w:shd w:fill="D9EAF7"/>
          </w:tcPr>
          <w:p>
            <w:pPr>
              <w:spacing w:after="0" w:line="252" w:lineRule="auto"/>
            </w:pPr>
            <w:r/>
            <w:r>
              <w:rPr>
                <w:rFonts w:ascii="Noto Sans" w:hAnsi="Noto Sans" w:eastAsia="Noto Sans CJK SC" w:cs="Noto Sans"/>
                <w:b/>
                <w:i w:val="0"/>
                <w:sz w:val="17"/>
              </w:rPr>
              <w:t>本项目中的用法</w:t>
            </w:r>
          </w:p>
        </w:tc>
      </w:tr>
      <w:tr>
        <w:tc>
          <w:tcPr>
            <w:tcW w:type="dxa" w:w="2268"/>
            <w:vAlign w:val="center"/>
          </w:tcPr>
          <w:p>
            <w:pPr>
              <w:spacing w:after="0" w:line="252" w:lineRule="auto"/>
            </w:pPr>
            <w:r/>
            <w:r>
              <w:rPr>
                <w:rFonts w:ascii="Noto Sans" w:hAnsi="Noto Sans" w:eastAsia="Noto Sans CJK SC" w:cs="Noto Sans"/>
                <w:b w:val="0"/>
                <w:i w:val="0"/>
                <w:sz w:val="17"/>
              </w:rPr>
              <w:t>Agent-based Computational Economics</w:t>
            </w:r>
          </w:p>
        </w:tc>
        <w:tc>
          <w:tcPr>
            <w:tcW w:type="dxa" w:w="1757"/>
            <w:vAlign w:val="center"/>
          </w:tcPr>
          <w:p>
            <w:pPr>
              <w:spacing w:after="0" w:line="252" w:lineRule="auto"/>
            </w:pPr>
            <w:r/>
            <w:r>
              <w:rPr>
                <w:rFonts w:ascii="Noto Sans" w:hAnsi="Noto Sans" w:eastAsia="Noto Sans CJK SC" w:cs="Noto Sans"/>
                <w:b w:val="0"/>
                <w:i w:val="0"/>
                <w:sz w:val="17"/>
              </w:rPr>
              <w:t>已有理论框架</w:t>
            </w:r>
          </w:p>
        </w:tc>
        <w:tc>
          <w:tcPr>
            <w:tcW w:type="dxa" w:w="1474"/>
            <w:vAlign w:val="center"/>
          </w:tcPr>
          <w:p>
            <w:pPr>
              <w:spacing w:after="0" w:line="252" w:lineRule="auto"/>
            </w:pPr>
            <w:r/>
            <w:r>
              <w:rPr>
                <w:rFonts w:ascii="Noto Sans" w:hAnsi="Noto Sans" w:eastAsia="Noto Sans CJK SC" w:cs="Noto Sans"/>
                <w:b w:val="0"/>
                <w:i w:val="0"/>
                <w:sz w:val="17"/>
              </w:rPr>
              <w:t>[R1]</w:t>
            </w:r>
          </w:p>
        </w:tc>
        <w:tc>
          <w:tcPr>
            <w:tcW w:type="dxa" w:w="3969"/>
            <w:vAlign w:val="center"/>
          </w:tcPr>
          <w:p>
            <w:pPr>
              <w:spacing w:after="0" w:line="252" w:lineRule="auto"/>
            </w:pPr>
            <w:r/>
            <w:r>
              <w:rPr>
                <w:rFonts w:ascii="Noto Sans" w:hAnsi="Noto Sans" w:eastAsia="Noto Sans CJK SC" w:cs="Noto Sans"/>
                <w:b w:val="0"/>
                <w:i w:val="0"/>
                <w:sz w:val="17"/>
              </w:rPr>
              <w:t>把市场视为自治主体互动生成的系统</w:t>
            </w:r>
          </w:p>
        </w:tc>
      </w:tr>
      <w:tr>
        <w:tc>
          <w:tcPr>
            <w:tcW w:type="dxa" w:w="2268"/>
            <w:vAlign w:val="center"/>
          </w:tcPr>
          <w:p>
            <w:pPr>
              <w:spacing w:after="0" w:line="252" w:lineRule="auto"/>
            </w:pPr>
            <w:r/>
            <w:r>
              <w:rPr>
                <w:rFonts w:ascii="Noto Sans" w:hAnsi="Noto Sans" w:eastAsia="Noto Sans CJK SC" w:cs="Noto Sans"/>
                <w:b w:val="0"/>
                <w:i w:val="0"/>
                <w:sz w:val="17"/>
              </w:rPr>
              <w:t>零智能交易者基准</w:t>
            </w:r>
          </w:p>
        </w:tc>
        <w:tc>
          <w:tcPr>
            <w:tcW w:type="dxa" w:w="1757"/>
            <w:vAlign w:val="center"/>
          </w:tcPr>
          <w:p>
            <w:pPr>
              <w:spacing w:after="0" w:line="252" w:lineRule="auto"/>
            </w:pPr>
            <w:r/>
            <w:r>
              <w:rPr>
                <w:rFonts w:ascii="Noto Sans" w:hAnsi="Noto Sans" w:eastAsia="Noto Sans CJK SC" w:cs="Noto Sans"/>
                <w:b w:val="0"/>
                <w:i w:val="0"/>
                <w:sz w:val="17"/>
              </w:rPr>
              <w:t>已有实验思想</w:t>
            </w:r>
          </w:p>
        </w:tc>
        <w:tc>
          <w:tcPr>
            <w:tcW w:type="dxa" w:w="1474"/>
            <w:vAlign w:val="center"/>
          </w:tcPr>
          <w:p>
            <w:pPr>
              <w:spacing w:after="0" w:line="252" w:lineRule="auto"/>
            </w:pPr>
            <w:r/>
            <w:r>
              <w:rPr>
                <w:rFonts w:ascii="Noto Sans" w:hAnsi="Noto Sans" w:eastAsia="Noto Sans CJK SC" w:cs="Noto Sans"/>
                <w:b w:val="0"/>
                <w:i w:val="0"/>
                <w:sz w:val="17"/>
              </w:rPr>
              <w:t>[R2]</w:t>
            </w:r>
          </w:p>
        </w:tc>
        <w:tc>
          <w:tcPr>
            <w:tcW w:type="dxa" w:w="3969"/>
            <w:vAlign w:val="center"/>
          </w:tcPr>
          <w:p>
            <w:pPr>
              <w:spacing w:after="0" w:line="252" w:lineRule="auto"/>
            </w:pPr>
            <w:r/>
            <w:r>
              <w:rPr>
                <w:rFonts w:ascii="Noto Sans" w:hAnsi="Noto Sans" w:eastAsia="Noto Sans CJK SC" w:cs="Noto Sans"/>
                <w:b w:val="0"/>
                <w:i w:val="0"/>
                <w:sz w:val="17"/>
              </w:rPr>
              <w:t>设置 RandomAgent/简单规则 agent 作为对照</w:t>
            </w:r>
          </w:p>
        </w:tc>
      </w:tr>
      <w:tr>
        <w:tc>
          <w:tcPr>
            <w:tcW w:type="dxa" w:w="2268"/>
            <w:vAlign w:val="center"/>
          </w:tcPr>
          <w:p>
            <w:pPr>
              <w:spacing w:after="0" w:line="252" w:lineRule="auto"/>
            </w:pPr>
            <w:r/>
            <w:r>
              <w:rPr>
                <w:rFonts w:ascii="Noto Sans" w:hAnsi="Noto Sans" w:eastAsia="Noto Sans CJK SC" w:cs="Noto Sans"/>
                <w:b w:val="0"/>
                <w:i w:val="0"/>
                <w:sz w:val="17"/>
              </w:rPr>
              <w:t>Cheap Talk</w:t>
            </w:r>
          </w:p>
        </w:tc>
        <w:tc>
          <w:tcPr>
            <w:tcW w:type="dxa" w:w="1757"/>
            <w:vAlign w:val="center"/>
          </w:tcPr>
          <w:p>
            <w:pPr>
              <w:spacing w:after="0" w:line="252" w:lineRule="auto"/>
            </w:pPr>
            <w:r/>
            <w:r>
              <w:rPr>
                <w:rFonts w:ascii="Noto Sans" w:hAnsi="Noto Sans" w:eastAsia="Noto Sans CJK SC" w:cs="Noto Sans"/>
                <w:b w:val="0"/>
                <w:i w:val="0"/>
                <w:sz w:val="17"/>
              </w:rPr>
              <w:t>已有博弈论模型</w:t>
            </w:r>
          </w:p>
        </w:tc>
        <w:tc>
          <w:tcPr>
            <w:tcW w:type="dxa" w:w="1474"/>
            <w:vAlign w:val="center"/>
          </w:tcPr>
          <w:p>
            <w:pPr>
              <w:spacing w:after="0" w:line="252" w:lineRule="auto"/>
            </w:pPr>
            <w:r/>
            <w:r>
              <w:rPr>
                <w:rFonts w:ascii="Noto Sans" w:hAnsi="Noto Sans" w:eastAsia="Noto Sans CJK SC" w:cs="Noto Sans"/>
                <w:b w:val="0"/>
                <w:i w:val="0"/>
                <w:sz w:val="17"/>
              </w:rPr>
              <w:t>[R4]</w:t>
            </w:r>
          </w:p>
        </w:tc>
        <w:tc>
          <w:tcPr>
            <w:tcW w:type="dxa" w:w="3969"/>
            <w:vAlign w:val="center"/>
          </w:tcPr>
          <w:p>
            <w:pPr>
              <w:spacing w:after="0" w:line="252" w:lineRule="auto"/>
            </w:pPr>
            <w:r/>
            <w:r>
              <w:rPr>
                <w:rFonts w:ascii="Noto Sans" w:hAnsi="Noto Sans" w:eastAsia="Noto Sans CJK SC" w:cs="Noto Sans"/>
                <w:b w:val="0"/>
                <w:i w:val="0"/>
                <w:sz w:val="17"/>
              </w:rPr>
              <w:t>解释公聊中低成本但可能有偏的信息传递</w:t>
            </w:r>
          </w:p>
        </w:tc>
      </w:tr>
      <w:tr>
        <w:tc>
          <w:tcPr>
            <w:tcW w:type="dxa" w:w="2268"/>
            <w:vAlign w:val="center"/>
          </w:tcPr>
          <w:p>
            <w:pPr>
              <w:spacing w:after="0" w:line="252" w:lineRule="auto"/>
            </w:pPr>
            <w:r/>
            <w:r>
              <w:rPr>
                <w:rFonts w:ascii="Noto Sans" w:hAnsi="Noto Sans" w:eastAsia="Noto Sans CJK SC" w:cs="Noto Sans"/>
                <w:b w:val="0"/>
                <w:i w:val="0"/>
                <w:sz w:val="17"/>
              </w:rPr>
              <w:t>Bayesian Persuasion</w:t>
            </w:r>
          </w:p>
        </w:tc>
        <w:tc>
          <w:tcPr>
            <w:tcW w:type="dxa" w:w="1757"/>
            <w:vAlign w:val="center"/>
          </w:tcPr>
          <w:p>
            <w:pPr>
              <w:spacing w:after="0" w:line="252" w:lineRule="auto"/>
            </w:pPr>
            <w:r/>
            <w:r>
              <w:rPr>
                <w:rFonts w:ascii="Noto Sans" w:hAnsi="Noto Sans" w:eastAsia="Noto Sans CJK SC" w:cs="Noto Sans"/>
                <w:b w:val="0"/>
                <w:i w:val="0"/>
                <w:sz w:val="17"/>
              </w:rPr>
              <w:t>已有信息设计理论</w:t>
            </w:r>
          </w:p>
        </w:tc>
        <w:tc>
          <w:tcPr>
            <w:tcW w:type="dxa" w:w="1474"/>
            <w:vAlign w:val="center"/>
          </w:tcPr>
          <w:p>
            <w:pPr>
              <w:spacing w:after="0" w:line="252" w:lineRule="auto"/>
            </w:pPr>
            <w:r/>
            <w:r>
              <w:rPr>
                <w:rFonts w:ascii="Noto Sans" w:hAnsi="Noto Sans" w:eastAsia="Noto Sans CJK SC" w:cs="Noto Sans"/>
                <w:b w:val="0"/>
                <w:i w:val="0"/>
                <w:sz w:val="17"/>
              </w:rPr>
              <w:t>[R5]</w:t>
            </w:r>
          </w:p>
        </w:tc>
        <w:tc>
          <w:tcPr>
            <w:tcW w:type="dxa" w:w="3969"/>
            <w:vAlign w:val="center"/>
          </w:tcPr>
          <w:p>
            <w:pPr>
              <w:spacing w:after="0" w:line="252" w:lineRule="auto"/>
            </w:pPr>
            <w:r/>
            <w:r>
              <w:rPr>
                <w:rFonts w:ascii="Noto Sans" w:hAnsi="Noto Sans" w:eastAsia="Noto Sans CJK SC" w:cs="Noto Sans"/>
                <w:b w:val="0"/>
                <w:i w:val="0"/>
                <w:sz w:val="17"/>
              </w:rPr>
              <w:t>解释 PersuaderAgent 如何选择性披露信号</w:t>
            </w:r>
          </w:p>
        </w:tc>
      </w:tr>
      <w:tr>
        <w:tc>
          <w:tcPr>
            <w:tcW w:type="dxa" w:w="2268"/>
            <w:vAlign w:val="center"/>
          </w:tcPr>
          <w:p>
            <w:pPr>
              <w:spacing w:after="0" w:line="252" w:lineRule="auto"/>
            </w:pPr>
            <w:r/>
            <w:r>
              <w:rPr>
                <w:rFonts w:ascii="Noto Sans" w:hAnsi="Noto Sans" w:eastAsia="Noto Sans CJK SC" w:cs="Noto Sans"/>
                <w:b w:val="0"/>
                <w:i w:val="0"/>
                <w:sz w:val="17"/>
              </w:rPr>
              <w:t>DeGroot 共识</w:t>
            </w:r>
          </w:p>
        </w:tc>
        <w:tc>
          <w:tcPr>
            <w:tcW w:type="dxa" w:w="1757"/>
            <w:vAlign w:val="center"/>
          </w:tcPr>
          <w:p>
            <w:pPr>
              <w:spacing w:after="0" w:line="252" w:lineRule="auto"/>
            </w:pPr>
            <w:r/>
            <w:r>
              <w:rPr>
                <w:rFonts w:ascii="Noto Sans" w:hAnsi="Noto Sans" w:eastAsia="Noto Sans CJK SC" w:cs="Noto Sans"/>
                <w:b w:val="0"/>
                <w:i w:val="0"/>
                <w:sz w:val="17"/>
              </w:rPr>
              <w:t>已有社会学习模型</w:t>
            </w:r>
          </w:p>
        </w:tc>
        <w:tc>
          <w:tcPr>
            <w:tcW w:type="dxa" w:w="1474"/>
            <w:vAlign w:val="center"/>
          </w:tcPr>
          <w:p>
            <w:pPr>
              <w:spacing w:after="0" w:line="252" w:lineRule="auto"/>
            </w:pPr>
            <w:r/>
            <w:r>
              <w:rPr>
                <w:rFonts w:ascii="Noto Sans" w:hAnsi="Noto Sans" w:eastAsia="Noto Sans CJK SC" w:cs="Noto Sans"/>
                <w:b w:val="0"/>
                <w:i w:val="0"/>
                <w:sz w:val="17"/>
              </w:rPr>
              <w:t>[R3]</w:t>
            </w:r>
          </w:p>
        </w:tc>
        <w:tc>
          <w:tcPr>
            <w:tcW w:type="dxa" w:w="3969"/>
            <w:vAlign w:val="center"/>
          </w:tcPr>
          <w:p>
            <w:pPr>
              <w:spacing w:after="0" w:line="252" w:lineRule="auto"/>
            </w:pPr>
            <w:r/>
            <w:r>
              <w:rPr>
                <w:rFonts w:ascii="Noto Sans" w:hAnsi="Noto Sans" w:eastAsia="Noto Sans CJK SC" w:cs="Noto Sans"/>
                <w:b w:val="0"/>
                <w:i w:val="0"/>
                <w:sz w:val="17"/>
              </w:rPr>
              <w:t>把聊天网络转化为信念加权更新</w:t>
            </w:r>
          </w:p>
        </w:tc>
      </w:tr>
      <w:tr>
        <w:tc>
          <w:tcPr>
            <w:tcW w:type="dxa" w:w="2268"/>
            <w:vAlign w:val="center"/>
          </w:tcPr>
          <w:p>
            <w:pPr>
              <w:spacing w:after="0" w:line="252" w:lineRule="auto"/>
            </w:pPr>
            <w:r/>
            <w:r>
              <w:rPr>
                <w:rFonts w:ascii="Noto Sans" w:hAnsi="Noto Sans" w:eastAsia="Noto Sans CJK SC" w:cs="Noto Sans"/>
                <w:b w:val="0"/>
                <w:i w:val="0"/>
                <w:sz w:val="17"/>
              </w:rPr>
              <w:t>Black-Litterman</w:t>
            </w:r>
          </w:p>
        </w:tc>
        <w:tc>
          <w:tcPr>
            <w:tcW w:type="dxa" w:w="1757"/>
            <w:vAlign w:val="center"/>
          </w:tcPr>
          <w:p>
            <w:pPr>
              <w:spacing w:after="0" w:line="252" w:lineRule="auto"/>
            </w:pPr>
            <w:r/>
            <w:r>
              <w:rPr>
                <w:rFonts w:ascii="Noto Sans" w:hAnsi="Noto Sans" w:eastAsia="Noto Sans CJK SC" w:cs="Noto Sans"/>
                <w:b w:val="0"/>
                <w:i w:val="0"/>
                <w:sz w:val="17"/>
              </w:rPr>
              <w:t>已有投资组合模型</w:t>
            </w:r>
          </w:p>
        </w:tc>
        <w:tc>
          <w:tcPr>
            <w:tcW w:type="dxa" w:w="1474"/>
            <w:vAlign w:val="center"/>
          </w:tcPr>
          <w:p>
            <w:pPr>
              <w:spacing w:after="0" w:line="252" w:lineRule="auto"/>
            </w:pPr>
            <w:r/>
            <w:r>
              <w:rPr>
                <w:rFonts w:ascii="Noto Sans" w:hAnsi="Noto Sans" w:eastAsia="Noto Sans CJK SC" w:cs="Noto Sans"/>
                <w:b w:val="0"/>
                <w:i w:val="0"/>
                <w:sz w:val="17"/>
              </w:rPr>
              <w:t>[R6]</w:t>
            </w:r>
          </w:p>
        </w:tc>
        <w:tc>
          <w:tcPr>
            <w:tcW w:type="dxa" w:w="3969"/>
            <w:vAlign w:val="center"/>
          </w:tcPr>
          <w:p>
            <w:pPr>
              <w:spacing w:after="0" w:line="252" w:lineRule="auto"/>
            </w:pPr>
            <w:r/>
            <w:r>
              <w:rPr>
                <w:rFonts w:ascii="Noto Sans" w:hAnsi="Noto Sans" w:eastAsia="Noto Sans CJK SC" w:cs="Noto Sans"/>
                <w:b w:val="0"/>
                <w:i w:val="0"/>
                <w:sz w:val="17"/>
              </w:rPr>
              <w:t>把多个 agent 的观点和置信度融合为后验收益</w:t>
            </w:r>
          </w:p>
        </w:tc>
      </w:tr>
      <w:tr>
        <w:tc>
          <w:tcPr>
            <w:tcW w:type="dxa" w:w="2268"/>
            <w:vAlign w:val="center"/>
          </w:tcPr>
          <w:p>
            <w:pPr>
              <w:spacing w:after="0" w:line="252" w:lineRule="auto"/>
            </w:pPr>
            <w:r/>
            <w:r>
              <w:rPr>
                <w:rFonts w:ascii="Noto Sans" w:hAnsi="Noto Sans" w:eastAsia="Noto Sans CJK SC" w:cs="Noto Sans"/>
                <w:b w:val="0"/>
                <w:i w:val="0"/>
                <w:sz w:val="17"/>
              </w:rPr>
              <w:t>Weighted Majority / Hedge</w:t>
            </w:r>
          </w:p>
        </w:tc>
        <w:tc>
          <w:tcPr>
            <w:tcW w:type="dxa" w:w="1757"/>
            <w:vAlign w:val="center"/>
          </w:tcPr>
          <w:p>
            <w:pPr>
              <w:spacing w:after="0" w:line="252" w:lineRule="auto"/>
            </w:pPr>
            <w:r/>
            <w:r>
              <w:rPr>
                <w:rFonts w:ascii="Noto Sans" w:hAnsi="Noto Sans" w:eastAsia="Noto Sans CJK SC" w:cs="Noto Sans"/>
                <w:b w:val="0"/>
                <w:i w:val="0"/>
                <w:sz w:val="17"/>
              </w:rPr>
              <w:t>已有在线学习方法</w:t>
            </w:r>
          </w:p>
        </w:tc>
        <w:tc>
          <w:tcPr>
            <w:tcW w:type="dxa" w:w="1474"/>
            <w:vAlign w:val="center"/>
          </w:tcPr>
          <w:p>
            <w:pPr>
              <w:spacing w:after="0" w:line="252" w:lineRule="auto"/>
            </w:pPr>
            <w:r/>
            <w:r>
              <w:rPr>
                <w:rFonts w:ascii="Noto Sans" w:hAnsi="Noto Sans" w:eastAsia="Noto Sans CJK SC" w:cs="Noto Sans"/>
                <w:b w:val="0"/>
                <w:i w:val="0"/>
                <w:sz w:val="17"/>
              </w:rPr>
              <w:t>[R7][R8]</w:t>
            </w:r>
          </w:p>
        </w:tc>
        <w:tc>
          <w:tcPr>
            <w:tcW w:type="dxa" w:w="3969"/>
            <w:vAlign w:val="center"/>
          </w:tcPr>
          <w:p>
            <w:pPr>
              <w:spacing w:after="0" w:line="252" w:lineRule="auto"/>
            </w:pPr>
            <w:r/>
            <w:r>
              <w:rPr>
                <w:rFonts w:ascii="Noto Sans" w:hAnsi="Noto Sans" w:eastAsia="Noto Sans CJK SC" w:cs="Noto Sans"/>
                <w:b w:val="0"/>
                <w:i w:val="0"/>
                <w:sz w:val="17"/>
              </w:rPr>
              <w:t>动态调整团队成员话语权</w:t>
            </w:r>
          </w:p>
        </w:tc>
      </w:tr>
      <w:tr>
        <w:tc>
          <w:tcPr>
            <w:tcW w:type="dxa" w:w="2268"/>
            <w:vAlign w:val="center"/>
          </w:tcPr>
          <w:p>
            <w:pPr>
              <w:spacing w:after="0" w:line="252" w:lineRule="auto"/>
            </w:pPr>
            <w:r/>
            <w:r>
              <w:rPr>
                <w:rFonts w:ascii="Noto Sans" w:hAnsi="Noto Sans" w:eastAsia="Noto Sans CJK SC" w:cs="Noto Sans"/>
                <w:b w:val="0"/>
                <w:i w:val="0"/>
                <w:sz w:val="17"/>
              </w:rPr>
              <w:t>Generative Agents 记忆/反思</w:t>
            </w:r>
          </w:p>
        </w:tc>
        <w:tc>
          <w:tcPr>
            <w:tcW w:type="dxa" w:w="1757"/>
            <w:vAlign w:val="center"/>
          </w:tcPr>
          <w:p>
            <w:pPr>
              <w:spacing w:after="0" w:line="252" w:lineRule="auto"/>
            </w:pPr>
            <w:r/>
            <w:r>
              <w:rPr>
                <w:rFonts w:ascii="Noto Sans" w:hAnsi="Noto Sans" w:eastAsia="Noto Sans CJK SC" w:cs="Noto Sans"/>
                <w:b w:val="0"/>
                <w:i w:val="0"/>
                <w:sz w:val="17"/>
              </w:rPr>
              <w:t>已有 LLM agent 架构</w:t>
            </w:r>
          </w:p>
        </w:tc>
        <w:tc>
          <w:tcPr>
            <w:tcW w:type="dxa" w:w="1474"/>
            <w:vAlign w:val="center"/>
          </w:tcPr>
          <w:p>
            <w:pPr>
              <w:spacing w:after="0" w:line="252" w:lineRule="auto"/>
            </w:pPr>
            <w:r/>
            <w:r>
              <w:rPr>
                <w:rFonts w:ascii="Noto Sans" w:hAnsi="Noto Sans" w:eastAsia="Noto Sans CJK SC" w:cs="Noto Sans"/>
                <w:b w:val="0"/>
                <w:i w:val="0"/>
                <w:sz w:val="17"/>
              </w:rPr>
              <w:t>[R10]</w:t>
            </w:r>
          </w:p>
        </w:tc>
        <w:tc>
          <w:tcPr>
            <w:tcW w:type="dxa" w:w="3969"/>
            <w:vAlign w:val="center"/>
          </w:tcPr>
          <w:p>
            <w:pPr>
              <w:spacing w:after="0" w:line="252" w:lineRule="auto"/>
            </w:pPr>
            <w:r/>
            <w:r>
              <w:rPr>
                <w:rFonts w:ascii="Noto Sans" w:hAnsi="Noto Sans" w:eastAsia="Noto Sans CJK SC" w:cs="Noto Sans"/>
                <w:b w:val="0"/>
                <w:i w:val="0"/>
                <w:sz w:val="17"/>
              </w:rPr>
              <w:t>为 agent 增加消息记忆与事后反思</w:t>
            </w:r>
          </w:p>
        </w:tc>
      </w:tr>
      <w:tr>
        <w:tc>
          <w:tcPr>
            <w:tcW w:type="dxa" w:w="2268"/>
            <w:vAlign w:val="center"/>
          </w:tcPr>
          <w:p>
            <w:pPr>
              <w:spacing w:after="0" w:line="252" w:lineRule="auto"/>
            </w:pPr>
            <w:r/>
            <w:r>
              <w:rPr>
                <w:rFonts w:ascii="Noto Sans" w:hAnsi="Noto Sans" w:eastAsia="Noto Sans CJK SC" w:cs="Noto Sans"/>
                <w:b w:val="0"/>
                <w:i w:val="0"/>
                <w:sz w:val="17"/>
              </w:rPr>
              <w:t>CAMEL / AutoGen 对话 agent</w:t>
            </w:r>
          </w:p>
        </w:tc>
        <w:tc>
          <w:tcPr>
            <w:tcW w:type="dxa" w:w="1757"/>
            <w:vAlign w:val="center"/>
          </w:tcPr>
          <w:p>
            <w:pPr>
              <w:spacing w:after="0" w:line="252" w:lineRule="auto"/>
            </w:pPr>
            <w:r/>
            <w:r>
              <w:rPr>
                <w:rFonts w:ascii="Noto Sans" w:hAnsi="Noto Sans" w:eastAsia="Noto Sans CJK SC" w:cs="Noto Sans"/>
                <w:b w:val="0"/>
                <w:i w:val="0"/>
                <w:sz w:val="17"/>
              </w:rPr>
              <w:t>已有多 agent 对话框架</w:t>
            </w:r>
          </w:p>
        </w:tc>
        <w:tc>
          <w:tcPr>
            <w:tcW w:type="dxa" w:w="1474"/>
            <w:vAlign w:val="center"/>
          </w:tcPr>
          <w:p>
            <w:pPr>
              <w:spacing w:after="0" w:line="252" w:lineRule="auto"/>
            </w:pPr>
            <w:r/>
            <w:r>
              <w:rPr>
                <w:rFonts w:ascii="Noto Sans" w:hAnsi="Noto Sans" w:eastAsia="Noto Sans CJK SC" w:cs="Noto Sans"/>
                <w:b w:val="0"/>
                <w:i w:val="0"/>
                <w:sz w:val="17"/>
              </w:rPr>
              <w:t>[R11][R12]</w:t>
            </w:r>
          </w:p>
        </w:tc>
        <w:tc>
          <w:tcPr>
            <w:tcW w:type="dxa" w:w="3969"/>
            <w:vAlign w:val="center"/>
          </w:tcPr>
          <w:p>
            <w:pPr>
              <w:spacing w:after="0" w:line="252" w:lineRule="auto"/>
            </w:pPr>
            <w:r/>
            <w:r>
              <w:rPr>
                <w:rFonts w:ascii="Noto Sans" w:hAnsi="Noto Sans" w:eastAsia="Noto Sans CJK SC" w:cs="Noto Sans"/>
                <w:b w:val="0"/>
                <w:i w:val="0"/>
                <w:sz w:val="17"/>
              </w:rPr>
              <w:t>为公聊、私聊和团队辩论提供工程参考</w:t>
            </w:r>
          </w:p>
        </w:tc>
      </w:tr>
      <w:tr>
        <w:tc>
          <w:tcPr>
            <w:tcW w:type="dxa" w:w="2268"/>
            <w:vAlign w:val="center"/>
          </w:tcPr>
          <w:p>
            <w:pPr>
              <w:spacing w:after="0" w:line="252" w:lineRule="auto"/>
            </w:pPr>
            <w:r/>
            <w:r>
              <w:rPr>
                <w:rFonts w:ascii="Noto Sans" w:hAnsi="Noto Sans" w:eastAsia="Noto Sans CJK SC" w:cs="Noto Sans"/>
                <w:b w:val="0"/>
                <w:i w:val="0"/>
                <w:sz w:val="17"/>
              </w:rPr>
              <w:t>StockAgent / TradingAgents</w:t>
            </w:r>
          </w:p>
        </w:tc>
        <w:tc>
          <w:tcPr>
            <w:tcW w:type="dxa" w:w="1757"/>
            <w:vAlign w:val="center"/>
          </w:tcPr>
          <w:p>
            <w:pPr>
              <w:spacing w:after="0" w:line="252" w:lineRule="auto"/>
            </w:pPr>
            <w:r/>
            <w:r>
              <w:rPr>
                <w:rFonts w:ascii="Noto Sans" w:hAnsi="Noto Sans" w:eastAsia="Noto Sans CJK SC" w:cs="Noto Sans"/>
                <w:b w:val="0"/>
                <w:i w:val="0"/>
                <w:sz w:val="17"/>
              </w:rPr>
              <w:t>已有金融 LLM agent 系统</w:t>
            </w:r>
          </w:p>
        </w:tc>
        <w:tc>
          <w:tcPr>
            <w:tcW w:type="dxa" w:w="1474"/>
            <w:vAlign w:val="center"/>
          </w:tcPr>
          <w:p>
            <w:pPr>
              <w:spacing w:after="0" w:line="252" w:lineRule="auto"/>
            </w:pPr>
            <w:r/>
            <w:r>
              <w:rPr>
                <w:rFonts w:ascii="Noto Sans" w:hAnsi="Noto Sans" w:eastAsia="Noto Sans CJK SC" w:cs="Noto Sans"/>
                <w:b w:val="0"/>
                <w:i w:val="0"/>
                <w:sz w:val="17"/>
              </w:rPr>
              <w:t>[R13][R14]</w:t>
            </w:r>
          </w:p>
        </w:tc>
        <w:tc>
          <w:tcPr>
            <w:tcW w:type="dxa" w:w="3969"/>
            <w:vAlign w:val="center"/>
          </w:tcPr>
          <w:p>
            <w:pPr>
              <w:spacing w:after="0" w:line="252" w:lineRule="auto"/>
            </w:pPr>
            <w:r/>
            <w:r>
              <w:rPr>
                <w:rFonts w:ascii="Noto Sans" w:hAnsi="Noto Sans" w:eastAsia="Noto Sans CJK SC" w:cs="Noto Sans"/>
                <w:b w:val="0"/>
                <w:i w:val="0"/>
                <w:sz w:val="17"/>
              </w:rPr>
              <w:t>角色化金融 agent 与风险管理团队设计参考</w:t>
            </w:r>
          </w:p>
        </w:tc>
      </w:tr>
      <w:tr>
        <w:tc>
          <w:tcPr>
            <w:tcW w:type="dxa" w:w="2268"/>
            <w:vAlign w:val="center"/>
          </w:tcPr>
          <w:p>
            <w:pPr>
              <w:spacing w:after="0" w:line="252" w:lineRule="auto"/>
            </w:pPr>
            <w:r/>
            <w:r>
              <w:rPr>
                <w:rFonts w:ascii="Noto Sans" w:hAnsi="Noto Sans" w:eastAsia="Noto Sans CJK SC" w:cs="Noto Sans"/>
                <w:b w:val="0"/>
                <w:i w:val="0"/>
                <w:sz w:val="17"/>
              </w:rPr>
              <w:t>CryptoTrade / LLMFactor</w:t>
            </w:r>
          </w:p>
        </w:tc>
        <w:tc>
          <w:tcPr>
            <w:tcW w:type="dxa" w:w="1757"/>
            <w:vAlign w:val="center"/>
          </w:tcPr>
          <w:p>
            <w:pPr>
              <w:spacing w:after="0" w:line="252" w:lineRule="auto"/>
            </w:pPr>
            <w:r/>
            <w:r>
              <w:rPr>
                <w:rFonts w:ascii="Noto Sans" w:hAnsi="Noto Sans" w:eastAsia="Noto Sans CJK SC" w:cs="Noto Sans"/>
                <w:b w:val="0"/>
                <w:i w:val="0"/>
                <w:sz w:val="17"/>
              </w:rPr>
              <w:t>已有金融 LLM 方法</w:t>
            </w:r>
          </w:p>
        </w:tc>
        <w:tc>
          <w:tcPr>
            <w:tcW w:type="dxa" w:w="1474"/>
            <w:vAlign w:val="center"/>
          </w:tcPr>
          <w:p>
            <w:pPr>
              <w:spacing w:after="0" w:line="252" w:lineRule="auto"/>
            </w:pPr>
            <w:r/>
            <w:r>
              <w:rPr>
                <w:rFonts w:ascii="Noto Sans" w:hAnsi="Noto Sans" w:eastAsia="Noto Sans CJK SC" w:cs="Noto Sans"/>
                <w:b w:val="0"/>
                <w:i w:val="0"/>
                <w:sz w:val="17"/>
              </w:rPr>
              <w:t>[R16][R17]</w:t>
            </w:r>
          </w:p>
        </w:tc>
        <w:tc>
          <w:tcPr>
            <w:tcW w:type="dxa" w:w="3969"/>
            <w:vAlign w:val="center"/>
          </w:tcPr>
          <w:p>
            <w:pPr>
              <w:spacing w:after="0" w:line="252" w:lineRule="auto"/>
            </w:pPr>
            <w:r/>
            <w:r>
              <w:rPr>
                <w:rFonts w:ascii="Noto Sans" w:hAnsi="Noto Sans" w:eastAsia="Noto Sans CJK SC" w:cs="Noto Sans"/>
                <w:b w:val="0"/>
                <w:i w:val="0"/>
                <w:sz w:val="17"/>
              </w:rPr>
              <w:t>反思机制与文本因子抽取参考</w:t>
            </w:r>
          </w:p>
        </w:tc>
      </w:tr>
      <w:tr>
        <w:tc>
          <w:tcPr>
            <w:tcW w:type="dxa" w:w="2268"/>
            <w:vAlign w:val="center"/>
          </w:tcPr>
          <w:p>
            <w:pPr>
              <w:spacing w:after="0" w:line="252" w:lineRule="auto"/>
            </w:pPr>
            <w:r/>
            <w:r>
              <w:rPr>
                <w:rFonts w:ascii="Noto Sans" w:hAnsi="Noto Sans" w:eastAsia="Noto Sans CJK SC" w:cs="Noto Sans"/>
                <w:b w:val="0"/>
                <w:i w:val="0"/>
                <w:sz w:val="17"/>
              </w:rPr>
              <w:t>AlphaAgents / ContestTrade</w:t>
            </w:r>
          </w:p>
        </w:tc>
        <w:tc>
          <w:tcPr>
            <w:tcW w:type="dxa" w:w="1757"/>
            <w:vAlign w:val="center"/>
          </w:tcPr>
          <w:p>
            <w:pPr>
              <w:spacing w:after="0" w:line="252" w:lineRule="auto"/>
            </w:pPr>
            <w:r/>
            <w:r>
              <w:rPr>
                <w:rFonts w:ascii="Noto Sans" w:hAnsi="Noto Sans" w:eastAsia="Noto Sans CJK SC" w:cs="Noto Sans"/>
                <w:b w:val="0"/>
                <w:i w:val="0"/>
                <w:sz w:val="17"/>
              </w:rPr>
              <w:t>近期多 agent 金融系统</w:t>
            </w:r>
          </w:p>
        </w:tc>
        <w:tc>
          <w:tcPr>
            <w:tcW w:type="dxa" w:w="1474"/>
            <w:vAlign w:val="center"/>
          </w:tcPr>
          <w:p>
            <w:pPr>
              <w:spacing w:after="0" w:line="252" w:lineRule="auto"/>
            </w:pPr>
            <w:r/>
            <w:r>
              <w:rPr>
                <w:rFonts w:ascii="Noto Sans" w:hAnsi="Noto Sans" w:eastAsia="Noto Sans CJK SC" w:cs="Noto Sans"/>
                <w:b w:val="0"/>
                <w:i w:val="0"/>
                <w:sz w:val="17"/>
              </w:rPr>
              <w:t>[R18][R19]</w:t>
            </w:r>
          </w:p>
        </w:tc>
        <w:tc>
          <w:tcPr>
            <w:tcW w:type="dxa" w:w="3969"/>
            <w:vAlign w:val="center"/>
          </w:tcPr>
          <w:p>
            <w:pPr>
              <w:spacing w:after="0" w:line="252" w:lineRule="auto"/>
            </w:pPr>
            <w:r/>
            <w:r>
              <w:rPr>
                <w:rFonts w:ascii="Noto Sans" w:hAnsi="Noto Sans" w:eastAsia="Noto Sans CJK SC" w:cs="Noto Sans"/>
                <w:b w:val="0"/>
                <w:i w:val="0"/>
                <w:sz w:val="17"/>
              </w:rPr>
              <w:t>角色化投研团队与内部竞赛/排名参考</w:t>
            </w:r>
          </w:p>
        </w:tc>
      </w:tr>
      <w:tr>
        <w:tc>
          <w:tcPr>
            <w:tcW w:type="dxa" w:w="2268"/>
            <w:vAlign w:val="center"/>
          </w:tcPr>
          <w:p>
            <w:pPr>
              <w:spacing w:after="0" w:line="252" w:lineRule="auto"/>
            </w:pPr>
            <w:r/>
            <w:r>
              <w:rPr>
                <w:rFonts w:ascii="Noto Sans" w:hAnsi="Noto Sans" w:eastAsia="Noto Sans CJK SC" w:cs="Noto Sans"/>
                <w:b w:val="0"/>
                <w:i w:val="0"/>
                <w:sz w:val="17"/>
              </w:rPr>
              <w:t>Constrained LLM / JSON Schema</w:t>
            </w:r>
          </w:p>
        </w:tc>
        <w:tc>
          <w:tcPr>
            <w:tcW w:type="dxa" w:w="1757"/>
            <w:vAlign w:val="center"/>
          </w:tcPr>
          <w:p>
            <w:pPr>
              <w:spacing w:after="0" w:line="252" w:lineRule="auto"/>
            </w:pPr>
            <w:r/>
            <w:r>
              <w:rPr>
                <w:rFonts w:ascii="Noto Sans" w:hAnsi="Noto Sans" w:eastAsia="Noto Sans CJK SC" w:cs="Noto Sans"/>
                <w:b w:val="0"/>
                <w:i w:val="0"/>
                <w:sz w:val="17"/>
              </w:rPr>
              <w:t>已有结构化输出方法</w:t>
            </w:r>
          </w:p>
        </w:tc>
        <w:tc>
          <w:tcPr>
            <w:tcW w:type="dxa" w:w="1474"/>
            <w:vAlign w:val="center"/>
          </w:tcPr>
          <w:p>
            <w:pPr>
              <w:spacing w:after="0" w:line="252" w:lineRule="auto"/>
            </w:pPr>
            <w:r/>
            <w:r>
              <w:rPr>
                <w:rFonts w:ascii="Noto Sans" w:hAnsi="Noto Sans" w:eastAsia="Noto Sans CJK SC" w:cs="Noto Sans"/>
                <w:b w:val="0"/>
                <w:i w:val="0"/>
                <w:sz w:val="17"/>
              </w:rPr>
              <w:t>[R20][R21][R22]</w:t>
            </w:r>
          </w:p>
        </w:tc>
        <w:tc>
          <w:tcPr>
            <w:tcW w:type="dxa" w:w="3969"/>
            <w:vAlign w:val="center"/>
          </w:tcPr>
          <w:p>
            <w:pPr>
              <w:spacing w:after="0" w:line="252" w:lineRule="auto"/>
            </w:pPr>
            <w:r/>
            <w:r>
              <w:rPr>
                <w:rFonts w:ascii="Noto Sans" w:hAnsi="Noto Sans" w:eastAsia="Noto Sans CJK SC" w:cs="Noto Sans"/>
                <w:b w:val="0"/>
                <w:i w:val="0"/>
                <w:sz w:val="17"/>
              </w:rPr>
              <w:t>保证 LLM 消息和交易建议可解析、可审计</w:t>
            </w:r>
          </w:p>
        </w:tc>
      </w:tr>
      <w:tr>
        <w:tc>
          <w:tcPr>
            <w:tcW w:type="dxa" w:w="2268"/>
            <w:vAlign w:val="center"/>
          </w:tcPr>
          <w:p>
            <w:pPr>
              <w:spacing w:after="0" w:line="252" w:lineRule="auto"/>
            </w:pPr>
            <w:r/>
            <w:r>
              <w:rPr>
                <w:rFonts w:ascii="Noto Sans" w:hAnsi="Noto Sans" w:eastAsia="Noto Sans CJK SC" w:cs="Noto Sans"/>
                <w:b w:val="0"/>
                <w:i w:val="0"/>
                <w:sz w:val="17"/>
              </w:rPr>
              <w:t>公聊/私聊/朋友圈三通道金融社交实验</w:t>
            </w:r>
          </w:p>
        </w:tc>
        <w:tc>
          <w:tcPr>
            <w:tcW w:type="dxa" w:w="1757"/>
            <w:vAlign w:val="center"/>
          </w:tcPr>
          <w:p>
            <w:pPr>
              <w:spacing w:after="0" w:line="252" w:lineRule="auto"/>
            </w:pPr>
            <w:r/>
            <w:r>
              <w:rPr>
                <w:rFonts w:ascii="Noto Sans" w:hAnsi="Noto Sans" w:eastAsia="Noto Sans CJK SC" w:cs="Noto Sans"/>
                <w:b w:val="0"/>
                <w:i w:val="0"/>
                <w:sz w:val="17"/>
              </w:rPr>
              <w:t>本项目组合设计</w:t>
            </w:r>
          </w:p>
        </w:tc>
        <w:tc>
          <w:tcPr>
            <w:tcW w:type="dxa" w:w="1474"/>
            <w:vAlign w:val="center"/>
          </w:tcPr>
          <w:p>
            <w:pPr>
              <w:spacing w:after="0" w:line="252" w:lineRule="auto"/>
            </w:pPr>
            <w:r/>
            <w:r>
              <w:rPr>
                <w:rFonts w:ascii="Noto Sans" w:hAnsi="Noto Sans" w:eastAsia="Noto Sans CJK SC" w:cs="Noto Sans"/>
                <w:b w:val="0"/>
                <w:i w:val="0"/>
                <w:sz w:val="17"/>
              </w:rPr>
              <w:t>基于上述文献综合</w:t>
            </w:r>
          </w:p>
        </w:tc>
        <w:tc>
          <w:tcPr>
            <w:tcW w:type="dxa" w:w="3969"/>
            <w:vAlign w:val="center"/>
          </w:tcPr>
          <w:p>
            <w:pPr>
              <w:spacing w:after="0" w:line="252" w:lineRule="auto"/>
            </w:pPr>
            <w:r/>
            <w:r>
              <w:rPr>
                <w:rFonts w:ascii="Noto Sans" w:hAnsi="Noto Sans" w:eastAsia="Noto Sans CJK SC" w:cs="Noto Sans"/>
                <w:b w:val="0"/>
                <w:i w:val="0"/>
                <w:sz w:val="17"/>
              </w:rPr>
              <w:t>把社交传播、私有信息和交易行动放入同一仿真平台</w:t>
            </w:r>
          </w:p>
        </w:tc>
      </w:tr>
      <w:tr>
        <w:tc>
          <w:tcPr>
            <w:tcW w:type="dxa" w:w="2268"/>
            <w:vAlign w:val="center"/>
          </w:tcPr>
          <w:p>
            <w:pPr>
              <w:spacing w:after="0" w:line="252" w:lineRule="auto"/>
            </w:pPr>
            <w:r/>
            <w:r>
              <w:rPr>
                <w:rFonts w:ascii="Noto Sans" w:hAnsi="Noto Sans" w:eastAsia="Noto Sans CJK SC" w:cs="Noto Sans"/>
                <w:b w:val="0"/>
                <w:i w:val="0"/>
                <w:sz w:val="17"/>
              </w:rPr>
              <w:t>声誉加权消息聚合公式</w:t>
            </w:r>
          </w:p>
        </w:tc>
        <w:tc>
          <w:tcPr>
            <w:tcW w:type="dxa" w:w="1757"/>
            <w:vAlign w:val="center"/>
          </w:tcPr>
          <w:p>
            <w:pPr>
              <w:spacing w:after="0" w:line="252" w:lineRule="auto"/>
            </w:pPr>
            <w:r/>
            <w:r>
              <w:rPr>
                <w:rFonts w:ascii="Noto Sans" w:hAnsi="Noto Sans" w:eastAsia="Noto Sans CJK SC" w:cs="Noto Sans"/>
                <w:b w:val="0"/>
                <w:i w:val="0"/>
                <w:sz w:val="17"/>
              </w:rPr>
              <w:t>本项目工程化改造</w:t>
            </w:r>
          </w:p>
        </w:tc>
        <w:tc>
          <w:tcPr>
            <w:tcW w:type="dxa" w:w="1474"/>
            <w:vAlign w:val="center"/>
          </w:tcPr>
          <w:p>
            <w:pPr>
              <w:spacing w:after="0" w:line="252" w:lineRule="auto"/>
            </w:pPr>
            <w:r/>
            <w:r>
              <w:rPr>
                <w:rFonts w:ascii="Noto Sans" w:hAnsi="Noto Sans" w:eastAsia="Noto Sans CJK SC" w:cs="Noto Sans"/>
                <w:b w:val="0"/>
                <w:i w:val="0"/>
                <w:sz w:val="17"/>
              </w:rPr>
              <w:t>受 [R3][R6][R7][R8] 启发</w:t>
            </w:r>
          </w:p>
        </w:tc>
        <w:tc>
          <w:tcPr>
            <w:tcW w:type="dxa" w:w="3969"/>
            <w:vAlign w:val="center"/>
          </w:tcPr>
          <w:p>
            <w:pPr>
              <w:spacing w:after="0" w:line="252" w:lineRule="auto"/>
            </w:pPr>
            <w:r/>
            <w:r>
              <w:rPr>
                <w:rFonts w:ascii="Noto Sans" w:hAnsi="Noto Sans" w:eastAsia="Noto Sans CJK SC" w:cs="Noto Sans"/>
                <w:b w:val="0"/>
                <w:i w:val="0"/>
                <w:sz w:val="17"/>
              </w:rPr>
              <w:t>统一量化信号、LLM 信号和消息信号</w:t>
            </w:r>
          </w:p>
        </w:tc>
      </w:tr>
    </w:tbl>
    <w:p/>
    <w:p>
      <w:pPr>
        <w:pStyle w:val="Heading1"/>
        <w:spacing w:before="200" w:after="120"/>
      </w:pPr>
      <w:r>
        <w:t>12 代码开发计划概览</w:t>
      </w:r>
    </w:p>
    <w:p>
      <w:pPr>
        <w:spacing w:line="276" w:lineRule="auto" w:after="100"/>
        <w:ind w:firstLine="420"/>
      </w:pPr>
      <w:r>
        <w:rPr>
          <w:rFonts w:ascii="Noto Sans" w:hAnsi="Noto Sans" w:eastAsia="Noto Sans CJK SC" w:cs="Noto Sans"/>
          <w:b w:val="0"/>
          <w:i w:val="0"/>
          <w:sz w:val="21"/>
        </w:rPr>
        <w:t>完整开发计划已单独输出为《AI_Agent_代码开发Plan_博弈论通信版.docx》。报告中只给出与研究设计相关的概览。</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1701"/>
            <w:vAlign w:val="center"/>
            <w:shd w:fill="D9EAF7"/>
          </w:tcPr>
          <w:p>
            <w:pPr>
              <w:spacing w:after="0" w:line="252" w:lineRule="auto"/>
            </w:pPr>
            <w:r/>
            <w:r>
              <w:rPr>
                <w:rFonts w:ascii="Noto Sans" w:hAnsi="Noto Sans" w:eastAsia="Noto Sans CJK SC" w:cs="Noto Sans"/>
                <w:b/>
                <w:i w:val="0"/>
                <w:sz w:val="17"/>
              </w:rPr>
              <w:t>阶段</w:t>
            </w:r>
          </w:p>
        </w:tc>
        <w:tc>
          <w:tcPr>
            <w:tcW w:type="dxa" w:w="2835"/>
            <w:vAlign w:val="center"/>
            <w:shd w:fill="D9EAF7"/>
          </w:tcPr>
          <w:p>
            <w:pPr>
              <w:spacing w:after="0" w:line="252" w:lineRule="auto"/>
            </w:pPr>
            <w:r/>
            <w:r>
              <w:rPr>
                <w:rFonts w:ascii="Noto Sans" w:hAnsi="Noto Sans" w:eastAsia="Noto Sans CJK SC" w:cs="Noto Sans"/>
                <w:b/>
                <w:i w:val="0"/>
                <w:sz w:val="17"/>
              </w:rPr>
              <w:t>目标</w:t>
            </w:r>
          </w:p>
        </w:tc>
        <w:tc>
          <w:tcPr>
            <w:tcW w:type="dxa" w:w="2438"/>
            <w:vAlign w:val="center"/>
            <w:shd w:fill="D9EAF7"/>
          </w:tcPr>
          <w:p>
            <w:pPr>
              <w:spacing w:after="0" w:line="252" w:lineRule="auto"/>
            </w:pPr>
            <w:r/>
            <w:r>
              <w:rPr>
                <w:rFonts w:ascii="Noto Sans" w:hAnsi="Noto Sans" w:eastAsia="Noto Sans CJK SC" w:cs="Noto Sans"/>
                <w:b/>
                <w:i w:val="0"/>
                <w:sz w:val="17"/>
              </w:rPr>
              <w:t>关键产物</w:t>
            </w:r>
          </w:p>
        </w:tc>
        <w:tc>
          <w:tcPr>
            <w:tcW w:type="dxa" w:w="2665"/>
            <w:vAlign w:val="center"/>
            <w:shd w:fill="D9EAF7"/>
          </w:tcPr>
          <w:p>
            <w:pPr>
              <w:spacing w:after="0" w:line="252" w:lineRule="auto"/>
            </w:pPr>
            <w:r/>
            <w:r>
              <w:rPr>
                <w:rFonts w:ascii="Noto Sans" w:hAnsi="Noto Sans" w:eastAsia="Noto Sans CJK SC" w:cs="Noto Sans"/>
                <w:b/>
                <w:i w:val="0"/>
                <w:sz w:val="17"/>
              </w:rPr>
              <w:t>验收标准</w:t>
            </w:r>
          </w:p>
        </w:tc>
      </w:tr>
      <w:tr>
        <w:tc>
          <w:tcPr>
            <w:tcW w:type="dxa" w:w="1701"/>
            <w:vAlign w:val="center"/>
          </w:tcPr>
          <w:p>
            <w:pPr>
              <w:spacing w:after="0" w:line="252" w:lineRule="auto"/>
            </w:pPr>
            <w:r/>
            <w:r>
              <w:rPr>
                <w:rFonts w:ascii="Noto Sans" w:hAnsi="Noto Sans" w:eastAsia="Noto Sans CJK SC" w:cs="Noto Sans"/>
                <w:b w:val="0"/>
                <w:i w:val="0"/>
                <w:sz w:val="17"/>
              </w:rPr>
              <w:t>P0 项目重构</w:t>
            </w:r>
          </w:p>
        </w:tc>
        <w:tc>
          <w:tcPr>
            <w:tcW w:type="dxa" w:w="2835"/>
            <w:vAlign w:val="center"/>
          </w:tcPr>
          <w:p>
            <w:pPr>
              <w:spacing w:after="0" w:line="252" w:lineRule="auto"/>
            </w:pPr>
            <w:r/>
            <w:r>
              <w:rPr>
                <w:rFonts w:ascii="Noto Sans" w:hAnsi="Noto Sans" w:eastAsia="Noto Sans CJK SC" w:cs="Noto Sans"/>
                <w:b w:val="0"/>
                <w:i w:val="0"/>
                <w:sz w:val="17"/>
              </w:rPr>
              <w:t>整理目录、配置、随机种子和实验参数</w:t>
            </w:r>
          </w:p>
        </w:tc>
        <w:tc>
          <w:tcPr>
            <w:tcW w:type="dxa" w:w="2438"/>
            <w:vAlign w:val="center"/>
          </w:tcPr>
          <w:p>
            <w:pPr>
              <w:spacing w:after="0" w:line="252" w:lineRule="auto"/>
            </w:pPr>
            <w:r/>
            <w:r>
              <w:rPr>
                <w:rFonts w:ascii="Noto Sans" w:hAnsi="Noto Sans" w:eastAsia="Noto Sans CJK SC" w:cs="Noto Sans"/>
                <w:b w:val="0"/>
                <w:i w:val="0"/>
                <w:sz w:val="17"/>
              </w:rPr>
              <w:t>config.yaml、src/、data/、tests/</w:t>
            </w:r>
          </w:p>
        </w:tc>
        <w:tc>
          <w:tcPr>
            <w:tcW w:type="dxa" w:w="2665"/>
            <w:vAlign w:val="center"/>
          </w:tcPr>
          <w:p>
            <w:pPr>
              <w:spacing w:after="0" w:line="252" w:lineRule="auto"/>
            </w:pPr>
            <w:r/>
            <w:r>
              <w:rPr>
                <w:rFonts w:ascii="Noto Sans" w:hAnsi="Noto Sans" w:eastAsia="Noto Sans CJK SC" w:cs="Noto Sans"/>
                <w:b w:val="0"/>
                <w:i w:val="0"/>
                <w:sz w:val="17"/>
              </w:rPr>
              <w:t>可以一键运行 baseline</w:t>
            </w:r>
          </w:p>
        </w:tc>
      </w:tr>
      <w:tr>
        <w:tc>
          <w:tcPr>
            <w:tcW w:type="dxa" w:w="1701"/>
            <w:vAlign w:val="center"/>
          </w:tcPr>
          <w:p>
            <w:pPr>
              <w:spacing w:after="0" w:line="252" w:lineRule="auto"/>
            </w:pPr>
            <w:r/>
            <w:r>
              <w:rPr>
                <w:rFonts w:ascii="Noto Sans" w:hAnsi="Noto Sans" w:eastAsia="Noto Sans CJK SC" w:cs="Noto Sans"/>
                <w:b w:val="0"/>
                <w:i w:val="0"/>
                <w:sz w:val="17"/>
              </w:rPr>
              <w:t>P1 市场与回测</w:t>
            </w:r>
          </w:p>
        </w:tc>
        <w:tc>
          <w:tcPr>
            <w:tcW w:type="dxa" w:w="2835"/>
            <w:vAlign w:val="center"/>
          </w:tcPr>
          <w:p>
            <w:pPr>
              <w:spacing w:after="0" w:line="252" w:lineRule="auto"/>
            </w:pPr>
            <w:r/>
            <w:r>
              <w:rPr>
                <w:rFonts w:ascii="Noto Sans" w:hAnsi="Noto Sans" w:eastAsia="Noto Sans CJK SC" w:cs="Noto Sans"/>
                <w:b w:val="0"/>
                <w:i w:val="0"/>
                <w:sz w:val="17"/>
              </w:rPr>
              <w:t>复现原有价格数据、纸面资金和绩效指标</w:t>
            </w:r>
          </w:p>
        </w:tc>
        <w:tc>
          <w:tcPr>
            <w:tcW w:type="dxa" w:w="2438"/>
            <w:vAlign w:val="center"/>
          </w:tcPr>
          <w:p>
            <w:pPr>
              <w:spacing w:after="0" w:line="252" w:lineRule="auto"/>
            </w:pPr>
            <w:r/>
            <w:r>
              <w:rPr>
                <w:rFonts w:ascii="Noto Sans" w:hAnsi="Noto Sans" w:eastAsia="Noto Sans CJK SC" w:cs="Noto Sans"/>
                <w:b w:val="0"/>
                <w:i w:val="0"/>
                <w:sz w:val="17"/>
              </w:rPr>
              <w:t>MarketEnv、Portfolio、Backtester</w:t>
            </w:r>
          </w:p>
        </w:tc>
        <w:tc>
          <w:tcPr>
            <w:tcW w:type="dxa" w:w="2665"/>
            <w:vAlign w:val="center"/>
          </w:tcPr>
          <w:p>
            <w:pPr>
              <w:spacing w:after="0" w:line="252" w:lineRule="auto"/>
            </w:pPr>
            <w:r/>
            <w:r>
              <w:rPr>
                <w:rFonts w:ascii="Noto Sans" w:hAnsi="Noto Sans" w:eastAsia="Noto Sans CJK SC" w:cs="Noto Sans"/>
                <w:b w:val="0"/>
                <w:i w:val="0"/>
                <w:sz w:val="17"/>
              </w:rPr>
              <w:t>输出净值曲线和绩效表</w:t>
            </w:r>
          </w:p>
        </w:tc>
      </w:tr>
      <w:tr>
        <w:tc>
          <w:tcPr>
            <w:tcW w:type="dxa" w:w="1701"/>
            <w:vAlign w:val="center"/>
          </w:tcPr>
          <w:p>
            <w:pPr>
              <w:spacing w:after="0" w:line="252" w:lineRule="auto"/>
            </w:pPr>
            <w:r/>
            <w:r>
              <w:rPr>
                <w:rFonts w:ascii="Noto Sans" w:hAnsi="Noto Sans" w:eastAsia="Noto Sans CJK SC" w:cs="Noto Sans"/>
                <w:b w:val="0"/>
                <w:i w:val="0"/>
                <w:sz w:val="17"/>
              </w:rPr>
              <w:t>P2 Agent 接口</w:t>
            </w:r>
          </w:p>
        </w:tc>
        <w:tc>
          <w:tcPr>
            <w:tcW w:type="dxa" w:w="2835"/>
            <w:vAlign w:val="center"/>
          </w:tcPr>
          <w:p>
            <w:pPr>
              <w:spacing w:after="0" w:line="252" w:lineRule="auto"/>
            </w:pPr>
            <w:r/>
            <w:r>
              <w:rPr>
                <w:rFonts w:ascii="Noto Sans" w:hAnsi="Noto Sans" w:eastAsia="Noto Sans CJK SC" w:cs="Noto Sans"/>
                <w:b w:val="0"/>
                <w:i w:val="0"/>
                <w:sz w:val="17"/>
              </w:rPr>
              <w:t>统一规则 agent 与 LLM agent</w:t>
            </w:r>
          </w:p>
        </w:tc>
        <w:tc>
          <w:tcPr>
            <w:tcW w:type="dxa" w:w="2438"/>
            <w:vAlign w:val="center"/>
          </w:tcPr>
          <w:p>
            <w:pPr>
              <w:spacing w:after="0" w:line="252" w:lineRule="auto"/>
            </w:pPr>
            <w:r/>
            <w:r>
              <w:rPr>
                <w:rFonts w:ascii="Noto Sans" w:hAnsi="Noto Sans" w:eastAsia="Noto Sans CJK SC" w:cs="Noto Sans"/>
                <w:b w:val="0"/>
                <w:i w:val="0"/>
                <w:sz w:val="17"/>
              </w:rPr>
              <w:t>BaseAgent、Signal、Decision</w:t>
            </w:r>
          </w:p>
        </w:tc>
        <w:tc>
          <w:tcPr>
            <w:tcW w:type="dxa" w:w="2665"/>
            <w:vAlign w:val="center"/>
          </w:tcPr>
          <w:p>
            <w:pPr>
              <w:spacing w:after="0" w:line="252" w:lineRule="auto"/>
            </w:pPr>
            <w:r/>
            <w:r>
              <w:rPr>
                <w:rFonts w:ascii="Noto Sans" w:hAnsi="Noto Sans" w:eastAsia="Noto Sans CJK SC" w:cs="Noto Sans"/>
                <w:b w:val="0"/>
                <w:i w:val="0"/>
                <w:sz w:val="17"/>
              </w:rPr>
              <w:t>所有 agent 能在同一环境运行</w:t>
            </w:r>
          </w:p>
        </w:tc>
      </w:tr>
      <w:tr>
        <w:tc>
          <w:tcPr>
            <w:tcW w:type="dxa" w:w="1701"/>
            <w:vAlign w:val="center"/>
          </w:tcPr>
          <w:p>
            <w:pPr>
              <w:spacing w:after="0" w:line="252" w:lineRule="auto"/>
            </w:pPr>
            <w:r/>
            <w:r>
              <w:rPr>
                <w:rFonts w:ascii="Noto Sans" w:hAnsi="Noto Sans" w:eastAsia="Noto Sans CJK SC" w:cs="Noto Sans"/>
                <w:b w:val="0"/>
                <w:i w:val="0"/>
                <w:sz w:val="17"/>
              </w:rPr>
              <w:t>P3 通信系统</w:t>
            </w:r>
          </w:p>
        </w:tc>
        <w:tc>
          <w:tcPr>
            <w:tcW w:type="dxa" w:w="2835"/>
            <w:vAlign w:val="center"/>
          </w:tcPr>
          <w:p>
            <w:pPr>
              <w:spacing w:after="0" w:line="252" w:lineRule="auto"/>
            </w:pPr>
            <w:r/>
            <w:r>
              <w:rPr>
                <w:rFonts w:ascii="Noto Sans" w:hAnsi="Noto Sans" w:eastAsia="Noto Sans CJK SC" w:cs="Noto Sans"/>
                <w:b w:val="0"/>
                <w:i w:val="0"/>
                <w:sz w:val="17"/>
              </w:rPr>
              <w:t>实现公聊、私聊、朋友圈和消息日志</w:t>
            </w:r>
          </w:p>
        </w:tc>
        <w:tc>
          <w:tcPr>
            <w:tcW w:type="dxa" w:w="2438"/>
            <w:vAlign w:val="center"/>
          </w:tcPr>
          <w:p>
            <w:pPr>
              <w:spacing w:after="0" w:line="252" w:lineRule="auto"/>
            </w:pPr>
            <w:r/>
            <w:r>
              <w:rPr>
                <w:rFonts w:ascii="Noto Sans" w:hAnsi="Noto Sans" w:eastAsia="Noto Sans CJK SC" w:cs="Noto Sans"/>
                <w:b w:val="0"/>
                <w:i w:val="0"/>
                <w:sz w:val="17"/>
              </w:rPr>
              <w:t>Message、Channel、SocialGraph</w:t>
            </w:r>
          </w:p>
        </w:tc>
        <w:tc>
          <w:tcPr>
            <w:tcW w:type="dxa" w:w="2665"/>
            <w:vAlign w:val="center"/>
          </w:tcPr>
          <w:p>
            <w:pPr>
              <w:spacing w:after="0" w:line="252" w:lineRule="auto"/>
            </w:pPr>
            <w:r/>
            <w:r>
              <w:rPr>
                <w:rFonts w:ascii="Noto Sans" w:hAnsi="Noto Sans" w:eastAsia="Noto Sans CJK SC" w:cs="Noto Sans"/>
                <w:b w:val="0"/>
                <w:i w:val="0"/>
                <w:sz w:val="17"/>
              </w:rPr>
              <w:t>前端可筛选展示消息</w:t>
            </w:r>
          </w:p>
        </w:tc>
      </w:tr>
      <w:tr>
        <w:tc>
          <w:tcPr>
            <w:tcW w:type="dxa" w:w="1701"/>
            <w:vAlign w:val="center"/>
          </w:tcPr>
          <w:p>
            <w:pPr>
              <w:spacing w:after="0" w:line="252" w:lineRule="auto"/>
            </w:pPr>
            <w:r/>
            <w:r>
              <w:rPr>
                <w:rFonts w:ascii="Noto Sans" w:hAnsi="Noto Sans" w:eastAsia="Noto Sans CJK SC" w:cs="Noto Sans"/>
                <w:b w:val="0"/>
                <w:i w:val="0"/>
                <w:sz w:val="17"/>
              </w:rPr>
              <w:t>P4 聚合模块</w:t>
            </w:r>
          </w:p>
        </w:tc>
        <w:tc>
          <w:tcPr>
            <w:tcW w:type="dxa" w:w="2835"/>
            <w:vAlign w:val="center"/>
          </w:tcPr>
          <w:p>
            <w:pPr>
              <w:spacing w:after="0" w:line="252" w:lineRule="auto"/>
            </w:pPr>
            <w:r/>
            <w:r>
              <w:rPr>
                <w:rFonts w:ascii="Noto Sans" w:hAnsi="Noto Sans" w:eastAsia="Noto Sans CJK SC" w:cs="Noto Sans"/>
                <w:b w:val="0"/>
                <w:i w:val="0"/>
                <w:sz w:val="17"/>
              </w:rPr>
              <w:t>实现声誉加权、DeGroot、Black-Litterman、Hedge</w:t>
            </w:r>
          </w:p>
        </w:tc>
        <w:tc>
          <w:tcPr>
            <w:tcW w:type="dxa" w:w="2438"/>
            <w:vAlign w:val="center"/>
          </w:tcPr>
          <w:p>
            <w:pPr>
              <w:spacing w:after="0" w:line="252" w:lineRule="auto"/>
            </w:pPr>
            <w:r/>
            <w:r>
              <w:rPr>
                <w:rFonts w:ascii="Noto Sans" w:hAnsi="Noto Sans" w:eastAsia="Noto Sans CJK SC" w:cs="Noto Sans"/>
                <w:b w:val="0"/>
                <w:i w:val="0"/>
                <w:sz w:val="17"/>
              </w:rPr>
              <w:t>aggregators/</w:t>
            </w:r>
          </w:p>
        </w:tc>
        <w:tc>
          <w:tcPr>
            <w:tcW w:type="dxa" w:w="2665"/>
            <w:vAlign w:val="center"/>
          </w:tcPr>
          <w:p>
            <w:pPr>
              <w:spacing w:after="0" w:line="252" w:lineRule="auto"/>
            </w:pPr>
            <w:r/>
            <w:r>
              <w:rPr>
                <w:rFonts w:ascii="Noto Sans" w:hAnsi="Noto Sans" w:eastAsia="Noto Sans CJK SC" w:cs="Noto Sans"/>
                <w:b w:val="0"/>
                <w:i w:val="0"/>
                <w:sz w:val="17"/>
              </w:rPr>
              <w:t>可切换聚合方法并记录中间信念</w:t>
            </w:r>
          </w:p>
        </w:tc>
      </w:tr>
      <w:tr>
        <w:tc>
          <w:tcPr>
            <w:tcW w:type="dxa" w:w="1701"/>
            <w:vAlign w:val="center"/>
          </w:tcPr>
          <w:p>
            <w:pPr>
              <w:spacing w:after="0" w:line="252" w:lineRule="auto"/>
            </w:pPr>
            <w:r/>
            <w:r>
              <w:rPr>
                <w:rFonts w:ascii="Noto Sans" w:hAnsi="Noto Sans" w:eastAsia="Noto Sans CJK SC" w:cs="Noto Sans"/>
                <w:b w:val="0"/>
                <w:i w:val="0"/>
                <w:sz w:val="17"/>
              </w:rPr>
              <w:t>P5 约束 LLM</w:t>
            </w:r>
          </w:p>
        </w:tc>
        <w:tc>
          <w:tcPr>
            <w:tcW w:type="dxa" w:w="2835"/>
            <w:vAlign w:val="center"/>
          </w:tcPr>
          <w:p>
            <w:pPr>
              <w:spacing w:after="0" w:line="252" w:lineRule="auto"/>
            </w:pPr>
            <w:r/>
            <w:r>
              <w:rPr>
                <w:rFonts w:ascii="Noto Sans" w:hAnsi="Noto Sans" w:eastAsia="Noto Sans CJK SC" w:cs="Noto Sans"/>
                <w:b w:val="0"/>
                <w:i w:val="0"/>
                <w:sz w:val="17"/>
              </w:rPr>
              <w:t>接入 schema、校验、重试和回退</w:t>
            </w:r>
          </w:p>
        </w:tc>
        <w:tc>
          <w:tcPr>
            <w:tcW w:type="dxa" w:w="2438"/>
            <w:vAlign w:val="center"/>
          </w:tcPr>
          <w:p>
            <w:pPr>
              <w:spacing w:after="0" w:line="252" w:lineRule="auto"/>
            </w:pPr>
            <w:r/>
            <w:r>
              <w:rPr>
                <w:rFonts w:ascii="Noto Sans" w:hAnsi="Noto Sans" w:eastAsia="Noto Sans CJK SC" w:cs="Noto Sans"/>
                <w:b w:val="0"/>
                <w:i w:val="0"/>
                <w:sz w:val="17"/>
              </w:rPr>
              <w:t>schemas.py、llm_adapter.py</w:t>
            </w:r>
          </w:p>
        </w:tc>
        <w:tc>
          <w:tcPr>
            <w:tcW w:type="dxa" w:w="2665"/>
            <w:vAlign w:val="center"/>
          </w:tcPr>
          <w:p>
            <w:pPr>
              <w:spacing w:after="0" w:line="252" w:lineRule="auto"/>
            </w:pPr>
            <w:r/>
            <w:r>
              <w:rPr>
                <w:rFonts w:ascii="Noto Sans" w:hAnsi="Noto Sans" w:eastAsia="Noto Sans CJK SC" w:cs="Noto Sans"/>
                <w:b w:val="0"/>
                <w:i w:val="0"/>
                <w:sz w:val="17"/>
              </w:rPr>
              <w:t>解析失败不导致仿真中断</w:t>
            </w:r>
          </w:p>
        </w:tc>
      </w:tr>
      <w:tr>
        <w:tc>
          <w:tcPr>
            <w:tcW w:type="dxa" w:w="1701"/>
            <w:vAlign w:val="center"/>
          </w:tcPr>
          <w:p>
            <w:pPr>
              <w:spacing w:after="0" w:line="252" w:lineRule="auto"/>
            </w:pPr>
            <w:r/>
            <w:r>
              <w:rPr>
                <w:rFonts w:ascii="Noto Sans" w:hAnsi="Noto Sans" w:eastAsia="Noto Sans CJK SC" w:cs="Noto Sans"/>
                <w:b w:val="0"/>
                <w:i w:val="0"/>
                <w:sz w:val="17"/>
              </w:rPr>
              <w:t>P6 博弈实验</w:t>
            </w:r>
          </w:p>
        </w:tc>
        <w:tc>
          <w:tcPr>
            <w:tcW w:type="dxa" w:w="2835"/>
            <w:vAlign w:val="center"/>
          </w:tcPr>
          <w:p>
            <w:pPr>
              <w:spacing w:after="0" w:line="252" w:lineRule="auto"/>
            </w:pPr>
            <w:r/>
            <w:r>
              <w:rPr>
                <w:rFonts w:ascii="Noto Sans" w:hAnsi="Noto Sans" w:eastAsia="Noto Sans CJK SC" w:cs="Noto Sans"/>
                <w:b w:val="0"/>
                <w:i w:val="0"/>
                <w:sz w:val="17"/>
              </w:rPr>
              <w:t>实现 no-chat/public/private/moments/full-social 对照</w:t>
            </w:r>
          </w:p>
        </w:tc>
        <w:tc>
          <w:tcPr>
            <w:tcW w:type="dxa" w:w="2438"/>
            <w:vAlign w:val="center"/>
          </w:tcPr>
          <w:p>
            <w:pPr>
              <w:spacing w:after="0" w:line="252" w:lineRule="auto"/>
            </w:pPr>
            <w:r/>
            <w:r>
              <w:rPr>
                <w:rFonts w:ascii="Noto Sans" w:hAnsi="Noto Sans" w:eastAsia="Noto Sans CJK SC" w:cs="Noto Sans"/>
                <w:b w:val="0"/>
                <w:i w:val="0"/>
                <w:sz w:val="17"/>
              </w:rPr>
              <w:t>experiments/*.yaml</w:t>
            </w:r>
          </w:p>
        </w:tc>
        <w:tc>
          <w:tcPr>
            <w:tcW w:type="dxa" w:w="2665"/>
            <w:vAlign w:val="center"/>
          </w:tcPr>
          <w:p>
            <w:pPr>
              <w:spacing w:after="0" w:line="252" w:lineRule="auto"/>
            </w:pPr>
            <w:r/>
            <w:r>
              <w:rPr>
                <w:rFonts w:ascii="Noto Sans" w:hAnsi="Noto Sans" w:eastAsia="Noto Sans CJK SC" w:cs="Noto Sans"/>
                <w:b w:val="0"/>
                <w:i w:val="0"/>
                <w:sz w:val="17"/>
              </w:rPr>
              <w:t>一键复现实验组结果</w:t>
            </w:r>
          </w:p>
        </w:tc>
      </w:tr>
      <w:tr>
        <w:tc>
          <w:tcPr>
            <w:tcW w:type="dxa" w:w="1701"/>
            <w:vAlign w:val="center"/>
          </w:tcPr>
          <w:p>
            <w:pPr>
              <w:spacing w:after="0" w:line="252" w:lineRule="auto"/>
            </w:pPr>
            <w:r/>
            <w:r>
              <w:rPr>
                <w:rFonts w:ascii="Noto Sans" w:hAnsi="Noto Sans" w:eastAsia="Noto Sans CJK SC" w:cs="Noto Sans"/>
                <w:b w:val="0"/>
                <w:i w:val="0"/>
                <w:sz w:val="17"/>
              </w:rPr>
              <w:t>P7 Dashboard</w:t>
            </w:r>
          </w:p>
        </w:tc>
        <w:tc>
          <w:tcPr>
            <w:tcW w:type="dxa" w:w="2835"/>
            <w:vAlign w:val="center"/>
          </w:tcPr>
          <w:p>
            <w:pPr>
              <w:spacing w:after="0" w:line="252" w:lineRule="auto"/>
            </w:pPr>
            <w:r/>
            <w:r>
              <w:rPr>
                <w:rFonts w:ascii="Noto Sans" w:hAnsi="Noto Sans" w:eastAsia="Noto Sans CJK SC" w:cs="Noto Sans"/>
                <w:b w:val="0"/>
                <w:i w:val="0"/>
                <w:sz w:val="17"/>
              </w:rPr>
              <w:t>展示聊天、网络、信念、组合和指标</w:t>
            </w:r>
          </w:p>
        </w:tc>
        <w:tc>
          <w:tcPr>
            <w:tcW w:type="dxa" w:w="2438"/>
            <w:vAlign w:val="center"/>
          </w:tcPr>
          <w:p>
            <w:pPr>
              <w:spacing w:after="0" w:line="252" w:lineRule="auto"/>
            </w:pPr>
            <w:r/>
            <w:r>
              <w:rPr>
                <w:rFonts w:ascii="Noto Sans" w:hAnsi="Noto Sans" w:eastAsia="Noto Sans CJK SC" w:cs="Noto Sans"/>
                <w:b w:val="0"/>
                <w:i w:val="0"/>
                <w:sz w:val="17"/>
              </w:rPr>
              <w:t>Streamlit app</w:t>
            </w:r>
          </w:p>
        </w:tc>
        <w:tc>
          <w:tcPr>
            <w:tcW w:type="dxa" w:w="2665"/>
            <w:vAlign w:val="center"/>
          </w:tcPr>
          <w:p>
            <w:pPr>
              <w:spacing w:after="0" w:line="252" w:lineRule="auto"/>
            </w:pPr>
            <w:r/>
            <w:r>
              <w:rPr>
                <w:rFonts w:ascii="Noto Sans" w:hAnsi="Noto Sans" w:eastAsia="Noto Sans CJK SC" w:cs="Noto Sans"/>
                <w:b w:val="0"/>
                <w:i w:val="0"/>
                <w:sz w:val="17"/>
              </w:rPr>
              <w:t>课堂汇报可交互演示</w:t>
            </w:r>
          </w:p>
        </w:tc>
      </w:tr>
      <w:tr>
        <w:tc>
          <w:tcPr>
            <w:tcW w:type="dxa" w:w="1701"/>
            <w:vAlign w:val="center"/>
          </w:tcPr>
          <w:p>
            <w:pPr>
              <w:spacing w:after="0" w:line="252" w:lineRule="auto"/>
            </w:pPr>
            <w:r/>
            <w:r>
              <w:rPr>
                <w:rFonts w:ascii="Noto Sans" w:hAnsi="Noto Sans" w:eastAsia="Noto Sans CJK SC" w:cs="Noto Sans"/>
                <w:b w:val="0"/>
                <w:i w:val="0"/>
                <w:sz w:val="17"/>
              </w:rPr>
              <w:t>P8 测试与文档</w:t>
            </w:r>
          </w:p>
        </w:tc>
        <w:tc>
          <w:tcPr>
            <w:tcW w:type="dxa" w:w="2835"/>
            <w:vAlign w:val="center"/>
          </w:tcPr>
          <w:p>
            <w:pPr>
              <w:spacing w:after="0" w:line="252" w:lineRule="auto"/>
            </w:pPr>
            <w:r/>
            <w:r>
              <w:rPr>
                <w:rFonts w:ascii="Noto Sans" w:hAnsi="Noto Sans" w:eastAsia="Noto Sans CJK SC" w:cs="Noto Sans"/>
                <w:b w:val="0"/>
                <w:i w:val="0"/>
                <w:sz w:val="17"/>
              </w:rPr>
              <w:t>补单元测试、集成测试和 README</w:t>
            </w:r>
          </w:p>
        </w:tc>
        <w:tc>
          <w:tcPr>
            <w:tcW w:type="dxa" w:w="2438"/>
            <w:vAlign w:val="center"/>
          </w:tcPr>
          <w:p>
            <w:pPr>
              <w:spacing w:after="0" w:line="252" w:lineRule="auto"/>
            </w:pPr>
            <w:r/>
            <w:r>
              <w:rPr>
                <w:rFonts w:ascii="Noto Sans" w:hAnsi="Noto Sans" w:eastAsia="Noto Sans CJK SC" w:cs="Noto Sans"/>
                <w:b w:val="0"/>
                <w:i w:val="0"/>
                <w:sz w:val="17"/>
              </w:rPr>
              <w:t>pytest、README、示例数据</w:t>
            </w:r>
          </w:p>
        </w:tc>
        <w:tc>
          <w:tcPr>
            <w:tcW w:type="dxa" w:w="2665"/>
            <w:vAlign w:val="center"/>
          </w:tcPr>
          <w:p>
            <w:pPr>
              <w:spacing w:after="0" w:line="252" w:lineRule="auto"/>
            </w:pPr>
            <w:r/>
            <w:r>
              <w:rPr>
                <w:rFonts w:ascii="Noto Sans" w:hAnsi="Noto Sans" w:eastAsia="Noto Sans CJK SC" w:cs="Noto Sans"/>
                <w:b w:val="0"/>
                <w:i w:val="0"/>
                <w:sz w:val="17"/>
              </w:rPr>
              <w:t>离线数据可完整运行</w:t>
            </w:r>
          </w:p>
        </w:tc>
      </w:tr>
    </w:tbl>
    <w:p/>
    <w:p>
      <w:pPr>
        <w:pStyle w:val="Heading1"/>
        <w:spacing w:before="200" w:after="120"/>
      </w:pPr>
      <w:r>
        <w:t>13 局限性与风险控制</w:t>
      </w:r>
    </w:p>
    <w:p>
      <w:pPr>
        <w:spacing w:line="276" w:lineRule="auto" w:after="100"/>
        <w:ind w:firstLine="420"/>
      </w:pPr>
      <w:r>
        <w:rPr>
          <w:rFonts w:ascii="Noto Sans" w:hAnsi="Noto Sans" w:eastAsia="Noto Sans CJK SC" w:cs="Noto Sans"/>
          <w:b w:val="0"/>
          <w:i w:val="0"/>
          <w:sz w:val="21"/>
        </w:rPr>
        <w:t>第一，本项目仍然是纸面交易和课程模拟，不能用于真实投资。agent 的收益仅反映特定样本、特定交易规则和特定信息结构下的仿真结果。第二，LLM agent 可能产生幻觉、过度自信或格式错误，因此必须使用结构化输出、schema 验证和风险引擎。第三，私聊和劝说型 agent 在真实市场中可能涉及操纵风险，本项目只把它们作为博弈论实验变量，不应解释为真实交易建议或市场操作方案。</w:t>
      </w:r>
    </w:p>
    <w:p>
      <w:pPr>
        <w:spacing w:line="276" w:lineRule="auto" w:after="100"/>
        <w:ind w:firstLine="420"/>
      </w:pPr>
      <w:r>
        <w:rPr>
          <w:rFonts w:ascii="Noto Sans" w:hAnsi="Noto Sans" w:eastAsia="Noto Sans CJK SC" w:cs="Noto Sans"/>
          <w:b w:val="0"/>
          <w:i w:val="0"/>
          <w:sz w:val="21"/>
        </w:rPr>
        <w:t>第四，真实金融市场包含订单簿、流动性、滑点、冲击成本、监管约束和交易延迟。本项目初版使用日频收盘价成交，适合课程展示；后续若扩展为研究项目，应加入更真实的市场微观结构。第五，信息聚合公式中的参数需要通过网格搜索、交叉验证或稳健性分析确定，不能只展示单次运行结果。</w:t>
      </w:r>
    </w:p>
    <w:p>
      <w:pPr>
        <w:pStyle w:val="Heading1"/>
        <w:spacing w:before="200" w:after="120"/>
      </w:pPr>
      <w:r>
        <w:t>14 结论</w:t>
      </w:r>
    </w:p>
    <w:p>
      <w:pPr>
        <w:spacing w:line="276" w:lineRule="auto" w:after="100"/>
        <w:ind w:firstLine="420"/>
      </w:pPr>
      <w:r>
        <w:rPr>
          <w:rFonts w:ascii="Noto Sans" w:hAnsi="Noto Sans" w:eastAsia="Noto Sans CJK SC" w:cs="Noto Sans"/>
          <w:b w:val="0"/>
          <w:i w:val="0"/>
          <w:sz w:val="21"/>
        </w:rPr>
        <w:t>修改后的项目更明确地体现了博弈论知识：agent 是玩家，价格和消息构成状态，公聊/私聊/朋友圈构成信息结构，发言和交易构成行动，收益、风险、声誉和约束构成效用。通过比较无聊天、公聊、私聊、朋友圈和完整社交环境，项目可以观察信息如何扩散、谁影响谁、团队何时优于单体、私有信息何时带来优势以及约束 LLM 如何提高系统稳定性。</w:t>
      </w:r>
    </w:p>
    <w:p>
      <w:pPr>
        <w:spacing w:line="276" w:lineRule="auto" w:after="100"/>
        <w:ind w:firstLine="420"/>
      </w:pPr>
      <w:r>
        <w:rPr>
          <w:rFonts w:ascii="Noto Sans" w:hAnsi="Noto Sans" w:eastAsia="Noto Sans CJK SC" w:cs="Noto Sans"/>
          <w:b w:val="0"/>
          <w:i w:val="0"/>
          <w:sz w:val="21"/>
        </w:rPr>
        <w:t>在技术实现上，项目保持课程可落地：先用规则型 agent 和离线数据保证可运行，再引入结构化消息、信息聚合公式和多页 dashboard；LLM agent 可作为高级扩展，通过 JSON Schema 和风险审查接入。这样既保留原报告的可展示性，也把项目从普通策略回测提升为“多智能体金融信息博弈实验平台”。</w:t>
      </w:r>
    </w:p>
    <w:p>
      <w:pPr>
        <w:pStyle w:val="Heading1"/>
        <w:spacing w:before="200" w:after="120"/>
      </w:pPr>
      <w:r>
        <w:t>参考文献</w:t>
      </w:r>
    </w:p>
    <w:p>
      <w:pPr>
        <w:spacing w:after="40"/>
        <w:ind w:left="283" w:hanging="283"/>
      </w:pPr>
      <w:r>
        <w:rPr>
          <w:rFonts w:ascii="Noto Sans" w:hAnsi="Noto Sans" w:eastAsia="Noto Sans CJK SC" w:cs="Noto Sans"/>
          <w:b w:val="0"/>
          <w:i w:val="0"/>
          <w:sz w:val="18"/>
        </w:rPr>
        <w:t>[R1] Tesfatsion, L. (2006). Agent-Based Computational Economics: A Constructive Approach to Economic Theory. Handbook of Computational Economics, Vol. 2.</w:t>
      </w:r>
    </w:p>
    <w:p>
      <w:pPr>
        <w:spacing w:after="40"/>
        <w:ind w:left="283" w:hanging="283"/>
      </w:pPr>
      <w:r>
        <w:rPr>
          <w:rFonts w:ascii="Noto Sans" w:hAnsi="Noto Sans" w:eastAsia="Noto Sans CJK SC" w:cs="Noto Sans"/>
          <w:b w:val="0"/>
          <w:i w:val="0"/>
          <w:sz w:val="18"/>
        </w:rPr>
        <w:t>[R2] Gode, D. K., &amp; Sunder, S. (1993). Allocative Efficiency of Markets with Zero-Intelligence Traders. Journal of Political Economy, 101(1), 119-137.</w:t>
      </w:r>
    </w:p>
    <w:p>
      <w:pPr>
        <w:spacing w:after="40"/>
        <w:ind w:left="283" w:hanging="283"/>
      </w:pPr>
      <w:r>
        <w:rPr>
          <w:rFonts w:ascii="Noto Sans" w:hAnsi="Noto Sans" w:eastAsia="Noto Sans CJK SC" w:cs="Noto Sans"/>
          <w:b w:val="0"/>
          <w:i w:val="0"/>
          <w:sz w:val="18"/>
        </w:rPr>
        <w:t>[R3] DeGroot, M. H. (1974). Reaching a Consensus. Journal of the American Statistical Association, 69(345), 118-121.</w:t>
      </w:r>
    </w:p>
    <w:p>
      <w:pPr>
        <w:spacing w:after="40"/>
        <w:ind w:left="283" w:hanging="283"/>
      </w:pPr>
      <w:r>
        <w:rPr>
          <w:rFonts w:ascii="Noto Sans" w:hAnsi="Noto Sans" w:eastAsia="Noto Sans CJK SC" w:cs="Noto Sans"/>
          <w:b w:val="0"/>
          <w:i w:val="0"/>
          <w:sz w:val="18"/>
        </w:rPr>
        <w:t>[R4] Crawford, V. P., &amp; Sobel, J. (1982). Strategic Information Transmission. Econometrica, 50(6), 1431-1451.</w:t>
      </w:r>
    </w:p>
    <w:p>
      <w:pPr>
        <w:spacing w:after="40"/>
        <w:ind w:left="283" w:hanging="283"/>
      </w:pPr>
      <w:r>
        <w:rPr>
          <w:rFonts w:ascii="Noto Sans" w:hAnsi="Noto Sans" w:eastAsia="Noto Sans CJK SC" w:cs="Noto Sans"/>
          <w:b w:val="0"/>
          <w:i w:val="0"/>
          <w:sz w:val="18"/>
        </w:rPr>
        <w:t>[R5] Kamenica, E., &amp; Gentzkow, M. (2011). Bayesian Persuasion. American Economic Review, 101(6), 2590-2615.</w:t>
      </w:r>
    </w:p>
    <w:p>
      <w:pPr>
        <w:spacing w:after="40"/>
        <w:ind w:left="283" w:hanging="283"/>
      </w:pPr>
      <w:r>
        <w:rPr>
          <w:rFonts w:ascii="Noto Sans" w:hAnsi="Noto Sans" w:eastAsia="Noto Sans CJK SC" w:cs="Noto Sans"/>
          <w:b w:val="0"/>
          <w:i w:val="0"/>
          <w:sz w:val="18"/>
        </w:rPr>
        <w:t>[R6] Black, F., &amp; Litterman, R. (1992). Global Portfolio Optimization. Financial Analysts Journal, 48(5), 28-43.</w:t>
      </w:r>
    </w:p>
    <w:p>
      <w:pPr>
        <w:spacing w:after="40"/>
        <w:ind w:left="283" w:hanging="283"/>
      </w:pPr>
      <w:r>
        <w:rPr>
          <w:rFonts w:ascii="Noto Sans" w:hAnsi="Noto Sans" w:eastAsia="Noto Sans CJK SC" w:cs="Noto Sans"/>
          <w:b w:val="0"/>
          <w:i w:val="0"/>
          <w:sz w:val="18"/>
        </w:rPr>
        <w:t>[R7] Littlestone, N., &amp; Warmuth, M. K. (1994). The Weighted Majority Algorithm. Information and Computation, 108(2), 212-261.</w:t>
      </w:r>
    </w:p>
    <w:p>
      <w:pPr>
        <w:spacing w:after="40"/>
        <w:ind w:left="283" w:hanging="283"/>
      </w:pPr>
      <w:r>
        <w:rPr>
          <w:rFonts w:ascii="Noto Sans" w:hAnsi="Noto Sans" w:eastAsia="Noto Sans CJK SC" w:cs="Noto Sans"/>
          <w:b w:val="0"/>
          <w:i w:val="0"/>
          <w:sz w:val="18"/>
        </w:rPr>
        <w:t>[R8] Freund, Y., &amp; Schapire, R. E. (1997). A Decision-Theoretic Generalization of On-Line Learning and an Application to Boosting. Journal of Computer and System Sciences, 55(1), 119-139.</w:t>
      </w:r>
    </w:p>
    <w:p>
      <w:pPr>
        <w:spacing w:after="40"/>
        <w:ind w:left="283" w:hanging="283"/>
      </w:pPr>
      <w:r>
        <w:rPr>
          <w:rFonts w:ascii="Noto Sans" w:hAnsi="Noto Sans" w:eastAsia="Noto Sans CJK SC" w:cs="Noto Sans"/>
          <w:b w:val="0"/>
          <w:i w:val="0"/>
          <w:sz w:val="18"/>
        </w:rPr>
        <w:t>[R9] Horton, J. J. (2023/2026). Large Language Models as Simulated Economic Agents: What Can We Learn from Homo Silicus? NBER Working Paper 31122.</w:t>
      </w:r>
    </w:p>
    <w:p>
      <w:pPr>
        <w:spacing w:after="40"/>
        <w:ind w:left="283" w:hanging="283"/>
      </w:pPr>
      <w:r>
        <w:rPr>
          <w:rFonts w:ascii="Noto Sans" w:hAnsi="Noto Sans" w:eastAsia="Noto Sans CJK SC" w:cs="Noto Sans"/>
          <w:b w:val="0"/>
          <w:i w:val="0"/>
          <w:sz w:val="18"/>
        </w:rPr>
        <w:t>[R10] Park, J. S., O'Brien, J. C., Cai, C. J., Morris, M. R., Liang, P., &amp; Bernstein, M. S. (2023). Generative Agents: Interactive Simulacra of Human Behavior. UIST 2023.</w:t>
      </w:r>
    </w:p>
    <w:p>
      <w:pPr>
        <w:spacing w:after="40"/>
        <w:ind w:left="283" w:hanging="283"/>
      </w:pPr>
      <w:r>
        <w:rPr>
          <w:rFonts w:ascii="Noto Sans" w:hAnsi="Noto Sans" w:eastAsia="Noto Sans CJK SC" w:cs="Noto Sans"/>
          <w:b w:val="0"/>
          <w:i w:val="0"/>
          <w:sz w:val="18"/>
        </w:rPr>
        <w:t>[R11] Li, G., Hammoud, H. A. K., Itani, H., Khizbullin, D., &amp; Ghanem, B. (2023). CAMEL: Communicative Agents for Mind Exploration of Large Language Model Society. NeurIPS 2023.</w:t>
      </w:r>
    </w:p>
    <w:p>
      <w:pPr>
        <w:spacing w:after="40"/>
        <w:ind w:left="283" w:hanging="283"/>
      </w:pPr>
      <w:r>
        <w:rPr>
          <w:rFonts w:ascii="Noto Sans" w:hAnsi="Noto Sans" w:eastAsia="Noto Sans CJK SC" w:cs="Noto Sans"/>
          <w:b w:val="0"/>
          <w:i w:val="0"/>
          <w:sz w:val="18"/>
        </w:rPr>
        <w:t>[R12] Wu, Q., Bansal, G., Zhang, J., et al. (2023). AutoGen: Enabling Next-Gen LLM Applications via Multi-Agent Conversation. arXiv:2308.08155.</w:t>
      </w:r>
    </w:p>
    <w:p>
      <w:pPr>
        <w:spacing w:after="40"/>
        <w:ind w:left="283" w:hanging="283"/>
      </w:pPr>
      <w:r>
        <w:rPr>
          <w:rFonts w:ascii="Noto Sans" w:hAnsi="Noto Sans" w:eastAsia="Noto Sans CJK SC" w:cs="Noto Sans"/>
          <w:b w:val="0"/>
          <w:i w:val="0"/>
          <w:sz w:val="18"/>
        </w:rPr>
        <w:t>[R13] Zhang, C., Liu, X., Zhang, Z., et al. (2024). When AI Meets Finance (StockAgent): Large Language Model-based Stock Trading in Simulated Real-world Environments. arXiv:2407.18957.</w:t>
      </w:r>
    </w:p>
    <w:p>
      <w:pPr>
        <w:spacing w:after="40"/>
        <w:ind w:left="283" w:hanging="283"/>
      </w:pPr>
      <w:r>
        <w:rPr>
          <w:rFonts w:ascii="Noto Sans" w:hAnsi="Noto Sans" w:eastAsia="Noto Sans CJK SC" w:cs="Noto Sans"/>
          <w:b w:val="0"/>
          <w:i w:val="0"/>
          <w:sz w:val="18"/>
        </w:rPr>
        <w:t>[R14] Xiao, Y., Sun, E., Luo, D., &amp; Wang, W. (2024/2025). TradingAgents: Multi-Agents LLM Financial Trading Framework. arXiv:2412.20138.</w:t>
      </w:r>
    </w:p>
    <w:p>
      <w:pPr>
        <w:spacing w:after="40"/>
        <w:ind w:left="283" w:hanging="283"/>
      </w:pPr>
      <w:r>
        <w:rPr>
          <w:rFonts w:ascii="Noto Sans" w:hAnsi="Noto Sans" w:eastAsia="Noto Sans CJK SC" w:cs="Noto Sans"/>
          <w:b w:val="0"/>
          <w:i w:val="0"/>
          <w:sz w:val="18"/>
        </w:rPr>
        <w:t>[R15] Ding, H., Li, Y., Wang, J., Chen, H., Guo, D., &amp; Zhang, Y. (2024/2026). Large Language Model Agent in Financial Trading: A Survey. arXiv:2408.06361.</w:t>
      </w:r>
    </w:p>
    <w:p>
      <w:pPr>
        <w:spacing w:after="40"/>
        <w:ind w:left="283" w:hanging="283"/>
      </w:pPr>
      <w:r>
        <w:rPr>
          <w:rFonts w:ascii="Noto Sans" w:hAnsi="Noto Sans" w:eastAsia="Noto Sans CJK SC" w:cs="Noto Sans"/>
          <w:b w:val="0"/>
          <w:i w:val="0"/>
          <w:sz w:val="18"/>
        </w:rPr>
        <w:t>[R16] Li, Y., Luo, B., Wang, Q., Chen, N., Liu, X., &amp; He, B. (2024). CryptoTrade: A Reflective LLM-based Agent to Guide Zero-shot Cryptocurrency Trading. EMNLP 2024.</w:t>
      </w:r>
    </w:p>
    <w:p>
      <w:pPr>
        <w:spacing w:after="40"/>
        <w:ind w:left="283" w:hanging="283"/>
      </w:pPr>
      <w:r>
        <w:rPr>
          <w:rFonts w:ascii="Noto Sans" w:hAnsi="Noto Sans" w:eastAsia="Noto Sans CJK SC" w:cs="Noto Sans"/>
          <w:b w:val="0"/>
          <w:i w:val="0"/>
          <w:sz w:val="18"/>
        </w:rPr>
        <w:t>[R17] Wang, M., Izumi, K., &amp; Sakaji, H. (2024). LLMFactor: Extracting Profitable Factors through Prompts for Explainable Stock Movement Prediction. Findings of ACL 2024.</w:t>
      </w:r>
    </w:p>
    <w:p>
      <w:pPr>
        <w:spacing w:after="40"/>
        <w:ind w:left="283" w:hanging="283"/>
      </w:pPr>
      <w:r>
        <w:rPr>
          <w:rFonts w:ascii="Noto Sans" w:hAnsi="Noto Sans" w:eastAsia="Noto Sans CJK SC" w:cs="Noto Sans"/>
          <w:b w:val="0"/>
          <w:i w:val="0"/>
          <w:sz w:val="18"/>
        </w:rPr>
        <w:t>[R18] Zhao, T., Lyu, J., Jones, S., Garber, H., Pasquali, S., &amp; Mehta, D. (2025). AlphaAgents: Large Language Model based Multi-Agents for Equity Portfolio Constructions. arXiv:2508.11152.</w:t>
      </w:r>
    </w:p>
    <w:p>
      <w:pPr>
        <w:spacing w:after="40"/>
        <w:ind w:left="283" w:hanging="283"/>
      </w:pPr>
      <w:r>
        <w:rPr>
          <w:rFonts w:ascii="Noto Sans" w:hAnsi="Noto Sans" w:eastAsia="Noto Sans CJK SC" w:cs="Noto Sans"/>
          <w:b w:val="0"/>
          <w:i w:val="0"/>
          <w:sz w:val="18"/>
        </w:rPr>
        <w:t>[R19] Zhao, L., Sun, R., Jiang, Z., et al. (2025). ContestTrade: A Multi-Agent Trading System Based on Internal Contest Mechanism. arXiv:2508.00554.</w:t>
      </w:r>
    </w:p>
    <w:p>
      <w:pPr>
        <w:spacing w:after="40"/>
        <w:ind w:left="283" w:hanging="283"/>
      </w:pPr>
      <w:r>
        <w:rPr>
          <w:rFonts w:ascii="Noto Sans" w:hAnsi="Noto Sans" w:eastAsia="Noto Sans CJK SC" w:cs="Noto Sans"/>
          <w:b w:val="0"/>
          <w:i w:val="0"/>
          <w:sz w:val="18"/>
        </w:rPr>
        <w:t>[R20] Beurer-Kellner, L., Fischer, M., &amp; Vechev, M. (2023). Prompting Is Programming: A Query Language for Large Language Models. arXiv:2212.06094.</w:t>
      </w:r>
    </w:p>
    <w:p>
      <w:pPr>
        <w:spacing w:after="40"/>
        <w:ind w:left="283" w:hanging="283"/>
      </w:pPr>
      <w:r>
        <w:rPr>
          <w:rFonts w:ascii="Noto Sans" w:hAnsi="Noto Sans" w:eastAsia="Noto Sans CJK SC" w:cs="Noto Sans"/>
          <w:b w:val="0"/>
          <w:i w:val="0"/>
          <w:sz w:val="18"/>
        </w:rPr>
        <w:t>[R21] Beurer-Kellner, L., Fischer, M., &amp; Vechev, M. (2024). Guiding LLMs The Right Way: Fast, Non-Invasive Constrained Generation. arXiv:2403.06988.</w:t>
      </w:r>
    </w:p>
    <w:p>
      <w:pPr>
        <w:spacing w:after="40"/>
        <w:ind w:left="283" w:hanging="283"/>
      </w:pPr>
      <w:r>
        <w:rPr>
          <w:rFonts w:ascii="Noto Sans" w:hAnsi="Noto Sans" w:eastAsia="Noto Sans CJK SC" w:cs="Noto Sans"/>
          <w:b w:val="0"/>
          <w:i w:val="0"/>
          <w:sz w:val="18"/>
        </w:rPr>
        <w:t>[R22] Geng, S., Cooper, H., Moskal, M., et al. (2025). JSONSchemaBench: A Rigorous Benchmark of Structured Outputs for Language Models. arXiv:2501.10868.</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CJK SC" w:cs="Noto Sans"/>
        <w:b w:val="0"/>
        <w:i w:val="0"/>
        <w:sz w:val="16"/>
      </w:rPr>
      <w:t>AI Agent 虚拟股票市场项目 · 博弈论通信版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w:hAnsi="Noto Sans" w:eastAsia="Noto Sans CJK SC"/>
      <w:i/>
      <w:sz w:val="18"/>
    </w:rPr>
  </w:style>
  <w:style w:type="paragraph" w:customStyle="1" w:styleId="Formula">
    <w:name w:val="Formula"/>
    <w:rPr>
      <w:rFonts w:ascii="Noto Sans" w:hAnsi="Noto Sans" w:eastAsia="Noto Sans CJK S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