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E745">
      <w:pPr>
        <w:spacing w:before="480" w:after="480" w:line="288" w:lineRule="auto"/>
        <w:ind w:left="0"/>
        <w:jc w:val="center"/>
        <w:rPr>
          <w:rFonts w:hint="eastAsia" w:ascii="Arial" w:hAnsi="Arial" w:eastAsia="等线" w:cs="Arial"/>
          <w:b/>
          <w:sz w:val="52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仓颉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生态创新开发挑战赛</w:t>
      </w:r>
    </w:p>
    <w:p w14:paraId="048771C5">
      <w:pPr>
        <w:spacing w:before="480" w:after="480" w:line="288" w:lineRule="auto"/>
        <w:ind w:left="0"/>
        <w:jc w:val="center"/>
        <w:rPr>
          <w:sz w:val="44"/>
          <w:szCs w:val="44"/>
        </w:rPr>
      </w:pPr>
      <w:r>
        <w:rPr>
          <w:rFonts w:ascii="Arial" w:hAnsi="Arial" w:eastAsia="等线" w:cs="Arial"/>
          <w:b/>
          <w:sz w:val="44"/>
          <w:szCs w:val="44"/>
        </w:rPr>
        <w:t xml:space="preserve">regex4cj 作品提交说明</w:t>
      </w:r>
    </w:p>
    <w:p w14:paraId="4B8BD2B2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b/>
          <w:sz w:val="22"/>
        </w:rPr>
        <w:t xml:space="preserve">项目版本：0.3.0 交付候选版　代码基线：8bb4c80</w:t>
      </w:r>
    </w:p>
    <w:p w14:paraId="636226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 xml:space="preserve">提交范围：基于 Rust regex 的仓颉原生正则表达式库及其示例、测试和复现工具。本文以当前本地提交为准，如通过远端仓库提交，须确保远端包含同一版本。团队、联系方式、视频和签字信息待补充。</w:t>
      </w:r>
    </w:p>
    <w:p w14:paraId="41957B8E">
      <w:pPr>
        <w:spacing w:before="120" w:after="120" w:line="288" w:lineRule="auto"/>
        <w:ind w:left="0"/>
        <w:jc w:val="left"/>
        <w:rPr>
          <w:rFonts w:ascii="Arial" w:hAnsi="Arial" w:eastAsia="等线" w:cs="Arial"/>
          <w:b/>
          <w:sz w:val="22"/>
        </w:rPr>
        <w:keepNext/>
      </w:pPr>
      <w:r>
        <w:rPr>
          <w:rFonts w:ascii="Arial" w:hAnsi="Arial" w:eastAsia="等线" w:cs="Arial"/>
          <w:b/>
          <w:sz w:val="22"/>
        </w:rPr>
        <w:t>基础信息（必填）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158"/>
        <w:gridCol w:w="2142"/>
        <w:gridCol w:w="2370"/>
      </w:tblGrid>
      <w:tr w14:paraId="58A7AC77">
        <w:tc>
          <w:tcPr>
            <w:tcW w:w="1851" w:type="dxa"/>
          </w:tcPr>
          <w:p w14:paraId="68DFA0F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赛事作品名称</w:t>
            </w:r>
          </w:p>
        </w:tc>
        <w:tc>
          <w:tcPr>
            <w:tcW w:w="6670" w:type="dxa"/>
            <w:gridSpan w:val="3"/>
          </w:tcPr>
          <w:p w14:paraId="75083C9D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regex4cj：仓颉原生正则表达式库</w:t>
            </w:r>
          </w:p>
        </w:tc>
        <w:trPr>
          <w:cantSplit/>
        </w:trPr>
      </w:tr>
      <w:tr w14:paraId="3D2E55CD">
        <w:tc>
          <w:tcPr>
            <w:tcW w:w="1851" w:type="dxa"/>
          </w:tcPr>
          <w:p w14:paraId="0DB8487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队伍名称</w:t>
            </w:r>
          </w:p>
        </w:tc>
        <w:tc>
          <w:tcPr>
            <w:tcW w:w="6670" w:type="dxa"/>
            <w:gridSpan w:val="3"/>
          </w:tcPr>
          <w:p w14:paraId="0485E359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【待填写】</w:t>
            </w:r>
          </w:p>
        </w:tc>
        <w:trPr>
          <w:cantSplit/>
        </w:trPr>
      </w:tr>
      <w:tr w14:paraId="38425DB1">
        <w:tc>
          <w:tcPr>
            <w:tcW w:w="1851" w:type="dxa"/>
          </w:tcPr>
          <w:p w14:paraId="155C0DF4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队伍负责人</w:t>
            </w:r>
          </w:p>
        </w:tc>
        <w:tc>
          <w:tcPr>
            <w:tcW w:w="6670" w:type="dxa"/>
            <w:gridSpan w:val="3"/>
          </w:tcPr>
          <w:p w14:paraId="7A731025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【待填写】</w:t>
            </w:r>
          </w:p>
        </w:tc>
        <w:trPr>
          <w:cantSplit/>
        </w:trPr>
      </w:tr>
      <w:tr w14:paraId="1C8F0497">
        <w:tc>
          <w:tcPr>
            <w:tcW w:w="1851" w:type="dxa"/>
          </w:tcPr>
          <w:p w14:paraId="367DB0D9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队伍成员</w:t>
            </w:r>
          </w:p>
        </w:tc>
        <w:tc>
          <w:tcPr>
            <w:tcW w:w="6670" w:type="dxa"/>
            <w:gridSpan w:val="3"/>
          </w:tcPr>
          <w:p w14:paraId="19A22216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【待填写】</w:t>
            </w:r>
          </w:p>
        </w:tc>
        <w:trPr>
          <w:cantSplit/>
        </w:trPr>
      </w:tr>
      <w:tr w14:paraId="71DF76D6">
        <w:tc>
          <w:tcPr>
            <w:tcW w:w="1851" w:type="dxa"/>
          </w:tcPr>
          <w:p w14:paraId="5CAA26E1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2158" w:type="dxa"/>
          </w:tcPr>
          <w:p w14:paraId="554A4E4F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【待填写】</w:t>
            </w:r>
          </w:p>
        </w:tc>
        <w:tc>
          <w:tcPr>
            <w:tcW w:w="2142" w:type="dxa"/>
          </w:tcPr>
          <w:p w14:paraId="619920B4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联系邮箱</w:t>
            </w:r>
          </w:p>
        </w:tc>
        <w:tc>
          <w:tcPr>
            <w:tcW w:w="2370" w:type="dxa"/>
          </w:tcPr>
          <w:p w14:paraId="250540AE">
            <w:pPr>
              <w:spacing w:before="120" w:after="120" w:line="288" w:lineRule="auto"/>
              <w:jc w:val="left"/>
              <w:rPr>
                <w:rFonts w:ascii="Arial" w:hAnsi="Arial" w:eastAsia="等线" w:cs="Arial"/>
                <w:b/>
                <w:sz w:val="22"/>
                <w:vertAlign w:val="baseline"/>
              </w:rPr>
            </w:pPr>
            <w:r>
              <w:rPr/>
              <w:t xml:space="preserve">【待填写】</w:t>
            </w:r>
          </w:p>
        </w:tc>
        <w:trPr>
          <w:cantSplit/>
        </w:trPr>
      </w:tr>
      <w:tr w14:paraId="461D4668">
        <w:tc>
          <w:tcPr>
            <w:tcW w:w="1851" w:type="dxa"/>
          </w:tcPr>
          <w:p w14:paraId="4933EE4E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作品类型</w:t>
            </w:r>
          </w:p>
        </w:tc>
        <w:tc>
          <w:tcPr>
            <w:tcW w:w="6670" w:type="dxa"/>
            <w:gridSpan w:val="3"/>
          </w:tcPr>
          <w:p w14:paraId="3C1B7CA5">
            <w:pPr>
              <w:spacing w:before="120" w:after="120" w:line="288" w:lineRule="auto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 xml:space="preserve">☒ 通用工具库</w:t>
              <w:br/>
              <w:t xml:space="preserve">其他作品类型不勾选。</w:t>
            </w:r>
          </w:p>
        </w:tc>
        <w:trPr>
          <w:cantSplit/>
        </w:trPr>
      </w:tr>
      <w:tr w14:paraId="32E2A273">
        <w:tc>
          <w:tcPr>
            <w:tcW w:w="1851" w:type="dxa"/>
          </w:tcPr>
          <w:p w14:paraId="787A4F7A">
            <w:pPr>
              <w:spacing w:before="120" w:after="120" w:line="288" w:lineRule="auto"/>
              <w:jc w:val="left"/>
              <w:rPr>
                <w:rFonts w:hint="default" w:ascii="Arial" w:hAnsi="Arial" w:eastAsia="等线" w:cs="Arial"/>
                <w:b/>
                <w:sz w:val="22"/>
                <w:vertAlign w:val="baseline"/>
                <w:lang w:val="en-US" w:eastAsia="zh-CN"/>
              </w:rPr>
            </w:pPr>
            <w:r>
              <w:rPr>
                <w:rFonts w:hint="eastAsia" w:ascii="Arial" w:hAnsi="Arial" w:eastAsia="等线" w:cs="Arial"/>
                <w:b/>
                <w:sz w:val="22"/>
                <w:vertAlign w:val="baseline"/>
                <w:lang w:val="en-US" w:eastAsia="zh-CN"/>
              </w:rPr>
              <w:t>使用环境</w:t>
            </w:r>
          </w:p>
        </w:tc>
        <w:tc>
          <w:tcPr>
            <w:tcW w:w="6670" w:type="dxa"/>
            <w:gridSpan w:val="3"/>
          </w:tcPr>
          <w:p w14:paraId="7257CF46">
            <w:pPr>
              <w:spacing w:before="120" w:after="120" w:line="288" w:lineRule="auto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 xml:space="preserve">☒ 仓颉原生环境</w:t>
              <w:br/>
              <w:t xml:space="preserve">已验证：STS 仓颉 1.1.3 / Apple Silicon macOS。</w:t>
            </w:r>
          </w:p>
        </w:tc>
        <w:trPr>
          <w:cantSplit/>
        </w:trPr>
      </w:tr>
    </w:tbl>
    <w:p w14:paraId="0DBE8480">
      <w:pPr>
        <w:spacing w:before="320" w:after="120" w:line="288" w:lineRule="auto"/>
        <w:ind w:left="0"/>
        <w:jc w:val="left"/>
        <w:outlineLvl w:val="1"/>
        <w:keepNext/>
      </w:pPr>
      <w:bookmarkStart w:id="0" w:name="heading_0"/>
      <w:r>
        <w:rPr>
          <w:rFonts w:ascii="Arial" w:hAnsi="Arial" w:eastAsia="等线" w:cs="Arial"/>
          <w:b/>
          <w:sz w:val="32"/>
        </w:rPr>
        <w:t>一、项目概述</w:t>
      </w:r>
      <w:bookmarkEnd w:id="0"/>
    </w:p>
    <w:p w14:paraId="5F367A4B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</w:rPr>
        <w:t xml:space="preserve">1. 项目一句话定位：regex4cj 是面向仓颉开发者的原生正则表达式库，提供文本与字节匹配、捕获、替换、拆分及多规则分类，并以可复核测试验证其与原仓库的行为一致性。</w:t>
      </w:r>
    </w:p>
    <w:p w14:paraId="1CF223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项目开发背景：正则表达式广泛用于日志处理、字段校验和文本清洗。将成熟库从 Rust 转为仓颉，不只是改写语法，还需要处理 UTF-8 字节位置、空匹配、分组捕获、匹配优先级等细节。本项目选择 rust-lang/regex 为参考，建立仓颉实现和对照验证流程，降低业务接入和后续维护成本。</w:t>
      </w:r>
    </w:p>
    <w:p w14:paraId="36CAC5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项目核心目标：形成可独立获取、构建、调用和测试的仓颉库；优先保证常用功能可用、行为边界清晰、结果可复现。当前版本不宣称已实现原仓库全部接口，也不以未经定义的覆盖百分比代表完成度。</w:t>
      </w:r>
    </w:p>
    <w:p w14:paraId="279548E3">
      <w:pPr>
        <w:spacing w:before="320" w:after="120" w:line="288" w:lineRule="auto"/>
        <w:ind w:left="0"/>
        <w:jc w:val="left"/>
        <w:outlineLvl w:val="1"/>
        <w:keepNext/>
      </w:pPr>
      <w:bookmarkStart w:id="1" w:name="heading_1"/>
      <w:r>
        <w:rPr>
          <w:rFonts w:ascii="Arial" w:hAnsi="Arial" w:eastAsia="等线" w:cs="Arial"/>
          <w:b/>
          <w:sz w:val="32"/>
        </w:rPr>
        <w:t>二、需求分析与适用人群</w:t>
      </w:r>
      <w:bookmarkEnd w:id="1"/>
    </w:p>
    <w:p w14:paraId="33BF1A8B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</w:rPr>
        <w:t xml:space="preserve">1. 目标用户精准定位：需要在仓颉程序中校验或处理文本的应用开发者；需要批量识别日志、订单等内容的工具开发者；学习正则语法、自动机和跨语言移植的开发者。</w:t>
      </w:r>
    </w:p>
    <w:p w14:paraId="541109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行业开发痛点分析：手写字符串处理容易遗漏边界；多条规则的分类与捕获需求难以统一；跨语言移植中“编译通过”不等于“返回结果相同”。中文与混合编码文本、零长度匹配和重复分组尤其容易产生隐蔽差异。</w:t>
      </w:r>
    </w:p>
    <w:p w14:paraId="299DFC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库解决方案：用统一 API 封装编译、查找、捕获和变换；用 RegexSet 返回命中的规则编号；字符串 API 使用 UTF-8 字节偏移，字节 API 支持任意字节；用固定版本 Rust 参考程序及仓库内测试数据核对结果。</w:t>
      </w:r>
    </w:p>
    <w:p w14:paraId="341747F2">
      <w:pPr>
        <w:spacing w:before="320" w:after="120" w:line="288" w:lineRule="auto"/>
        <w:ind w:left="0"/>
        <w:jc w:val="left"/>
        <w:outlineLvl w:val="1"/>
        <w:keepNext/>
      </w:pPr>
      <w:bookmarkStart w:id="2" w:name="heading_2"/>
      <w:r>
        <w:rPr>
          <w:rFonts w:ascii="Arial" w:hAnsi="Arial" w:eastAsia="等线" w:cs="Arial"/>
          <w:b/>
          <w:sz w:val="32"/>
        </w:rPr>
        <w:t>三、</w:t>
      </w:r>
      <w:r>
        <w:rPr>
          <w:rFonts w:hint="eastAsia" w:ascii="Arial" w:hAnsi="Arial" w:eastAsia="等线" w:cs="Arial"/>
          <w:b/>
          <w:sz w:val="32"/>
          <w:lang w:val="en-US" w:eastAsia="zh-CN"/>
        </w:rPr>
        <w:t>作品</w:t>
      </w:r>
      <w:r>
        <w:rPr>
          <w:rFonts w:ascii="Arial" w:hAnsi="Arial" w:eastAsia="等线" w:cs="Arial"/>
          <w:b/>
          <w:sz w:val="32"/>
        </w:rPr>
        <w:t>核心能力与功能设计</w:t>
      </w:r>
      <w:bookmarkEnd w:id="2"/>
    </w:p>
    <w:p w14:paraId="4287377A">
      <w:pPr>
        <w:spacing w:before="120" w:after="120" w:line="288" w:lineRule="auto"/>
        <w:ind w:left="0"/>
        <w:jc w:val="left"/>
        <w:keepNext/>
      </w:pPr>
      <w:r>
        <w:rPr>
          <w:rFonts w:ascii="Arial" w:hAnsi="Arial" w:eastAsia="等线" w:cs="Arial"/>
          <w:sz w:val="22"/>
        </w:rPr>
        <w:t xml:space="preserve">1. 基础通用能力（作品核心必备功能，保障可用、好用）</w:t>
      </w:r>
    </w:p>
    <w:p w14:paraId="0ED56B36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（1）能力一：文本和字节正则处理</w:t>
        <w:br/>
        <w:t xml:space="preserve">功能介绍：Regex、BytesRegex 提供匹配判断、查找、分组捕获、替换、拆分和指定起点搜索，并支持惰性迭代。</w:t>
        <w:br/>
        <w:t xml:space="preserve">适用开发场景：六位数字校验、订单号提取、日志清洗和字段脱敏。</w:t>
        <w:br/>
        <w:t xml:space="preserve">调用方式简述：构造 Regex("^[0-9]{6}$") 后调用 isMatch("123456")，得到 true。</w:t>
        <w:br/>
        <w:t xml:space="preserve">实现效果与价值：业务代码直接调用库接口，无需自行实现匹配算法；返回位置的单位明确，便于截取原始文本。</w:t>
      </w:r>
    </w:p>
    <w:p w14:paraId="2E6DC64A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（2）能力二：多规则分类与语法、引擎接口</w:t>
        <w:br/>
        <w:t xml:space="preserve">功能介绍：RegexSet、BytesRegexSet 一次返回所有命中规则的编号；另提供部分 AST/HIR 语法结构、字面量提取和自动机接口。</w:t>
        <w:br/>
        <w:t xml:space="preserve">适用开发场景：按订单、退款、发票规则分类文本；观察表达式结构和尝试不同匹配路径。</w:t>
        <w:br/>
        <w:t xml:space="preserve">调用方式简述：预先构造规则集合，再查询文本得到编号集合；需要某条规则的捕获内容时，使用对应 Regex 查询。</w:t>
        <w:br/>
        <w:t xml:space="preserve">实现效果与价值：将分类与内容提取分开，复用规则；语法和引擎接口适合教学与扩展，但其范围小于原仓库完整接口。</w:t>
      </w:r>
    </w:p>
    <w:p w14:paraId="7E85C5E0">
      <w:pPr>
        <w:spacing w:before="120" w:after="120" w:line="288" w:lineRule="auto"/>
        <w:ind w:left="0"/>
        <w:jc w:val="left"/>
        <w:keepNext/>
      </w:pPr>
      <w:r>
        <w:rPr>
          <w:rFonts w:ascii="Arial" w:hAnsi="Arial" w:eastAsia="等线" w:cs="Arial"/>
          <w:sz w:val="22"/>
        </w:rPr>
        <w:t>2. 创新特色能力（赛事加分核心，重点填写）</w:t>
      </w:r>
    </w:p>
    <w:p w14:paraId="240C4593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（1）创新点一：围绕行为建立移植验证闭环</w:t>
        <w:br/>
        <w:t xml:space="preserve">创新详情：将仓颉结果与固定 Rust 版本的结果对照，覆盖捕获、起点、迭代等容易出错的细节；验收记录绑定输入文件哈希。</w:t>
        <w:br/>
        <w:t xml:space="preserve">工程价值：区别于仅检查编译和少量示例，能够追踪行为回归。本项目不宣称发明了新的正则算法，也不宣称优于其他仓颉库。</w:t>
      </w:r>
    </w:p>
    <w:p w14:paraId="02F39B7A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（2）创新点二：可独立复现的交付结构</w:t>
        <w:br/>
        <w:t xml:space="preserve">创新详情：库代码、消费示例、测试数据、脚本、许可和验证记录集中在一个仓库；Rust 对照程序只服务于开发验证，不是运行时依赖。</w:t>
        <w:br/>
        <w:t xml:space="preserve">工程价值：评审和使用者可从统一入口运行演示或测试，不需要开发者电脑上的 regex4cj-local 目录。</w:t>
      </w:r>
    </w:p>
    <w:p w14:paraId="0D4BE9E7">
      <w:pPr>
        <w:spacing w:before="320" w:after="120" w:line="288" w:lineRule="auto"/>
        <w:ind w:left="0"/>
        <w:jc w:val="left"/>
        <w:outlineLvl w:val="1"/>
        <w:keepNext/>
      </w:pPr>
      <w:bookmarkStart w:id="3" w:name="heading_3"/>
      <w:r>
        <w:rPr>
          <w:rFonts w:ascii="Arial" w:hAnsi="Arial" w:eastAsia="等线" w:cs="Arial"/>
          <w:b/>
          <w:sz w:val="32"/>
        </w:rPr>
        <w:t>四、仓颉语言核心特性应用</w:t>
      </w:r>
      <w:bookmarkEnd w:id="3"/>
    </w:p>
    <w:p w14:paraId="0ACBD86C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1. 应用仓颉特性1：枚举与模式匹配</w:t>
        <w:br/>
        <w:t xml:space="preserve">技术实现与封装逻辑：使用枚举描述表达式节点和指令类型，通过 match 分派处理解析与执行逻辑。</w:t>
        <w:br/>
        <w:t xml:space="preserve">落地优势与效果：把不同节点的处理逻辑显式组织起来，使语法结构和执行分支更易检查与维护。</w:t>
      </w:r>
    </w:p>
    <w:p w14:paraId="77EF33D2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2. 应用仓颉特性2：泛型集合与 Option 类型</w:t>
        <w:br/>
        <w:t xml:space="preserve">技术实现与封装逻辑：使用标准集合管理状态和匹配结果，用 Option 表达可缺失的匹配或分组。</w:t>
        <w:br/>
        <w:t xml:space="preserve">落地优势与效果：区分“未匹配”和“匹配到空串”，减少用特殊数字或空字符串表示多种含义的歧义。</w:t>
      </w:r>
    </w:p>
    <w:p w14:paraId="2835AB27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3. 应用仓颉特性3：包与静态类型接口</w:t>
        <w:br/>
        <w:t xml:space="preserve">技术实现与封装逻辑：以 regex4cj 包导出库能力，通过 cjpm 配置供独立消费示例引用，结合仓颉测试设施验证调用。</w:t>
        <w:br/>
        <w:t xml:space="preserve">落地优势与效果：业务程序可按依赖接入，编译阶段检查类型；库实现、命令行和测试职责分离。</w:t>
      </w:r>
    </w:p>
    <w:p w14:paraId="2C34FAB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开发技术栈与工具：STS 仓颉 1.1.3、cjpm、cjc、cjlint、cjfmt；Python 3.9+ 执行验证脚本，Rust/Cargo 用于完整差分验证。开发过程中使用 Codex、Grok 辅助分析和编写；本次不申报独立 AI 工具、Agent、MCP 或 RAG 成果。</w:t>
      </w:r>
    </w:p>
    <w:p w14:paraId="2BC89E6F">
      <w:pPr>
        <w:spacing w:before="320" w:after="120" w:line="288" w:lineRule="auto"/>
        <w:ind w:left="0"/>
        <w:jc w:val="left"/>
        <w:outlineLvl w:val="1"/>
        <w:keepNext/>
      </w:pPr>
      <w:bookmarkStart w:id="4" w:name="heading_4"/>
      <w:r>
        <w:rPr>
          <w:rFonts w:ascii="Arial" w:hAnsi="Arial" w:eastAsia="等线" w:cs="Arial"/>
          <w:b/>
          <w:sz w:val="32"/>
        </w:rPr>
        <w:t>五、库性能与兼容性设计</w:t>
      </w:r>
      <w:bookmarkEnd w:id="4"/>
    </w:p>
    <w:p w14:paraId="4C7DD5AA">
      <w:pPr>
        <w:spacing w:before="120" w:after="120" w:line="288" w:lineRule="auto"/>
        <w:ind w:left="0"/>
        <w:jc w:val="left"/>
        <w:rPr>
          <w:color w:val="A5A5A5" w:themeColor="background1" w:themeShade="A6"/>
        </w:rPr>
      </w:pPr>
      <w:r>
        <w:rPr>
          <w:rFonts w:ascii="Arial" w:hAnsi="Arial" w:eastAsia="等线" w:cs="Arial"/>
          <w:sz w:val="22"/>
        </w:rPr>
        <w:t xml:space="preserve">1. 性能优化设计：复用已编译表达式，使用惰性迭代减少一次性结果构造，并提供 DFA、稀疏状态和 Hybrid 缓存等执行能力。当前没有充分的跨平台性能基准，不承诺与 Rust 实现吞吐量或内存占用相同，也不报告未经测量的加速比例。</w:t>
      </w:r>
    </w:p>
    <w:p w14:paraId="461F302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兼容性设计：当前已验证环境为 Apple Silicon macOS、STS 仓颉 1.1.3。字符串结果使用 UTF-8 字节偏移，Unicode 数据版本为 16。运行库不调用 Rust，也无第三方包运行依赖；构建仍需正确安装仓颉 SDK 和系统工具。Linux、Windows、鸿蒙环境未完成验证。</w:t>
      </w:r>
    </w:p>
    <w:p w14:paraId="5C919D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稳定性与容错设计：对非法表达式返回错误；通过回归及差分用例检查空匹配、捕获优先级、起点与迭代边界。现有验收记录显示 67 个阶段通过，包含 61 项仓颉测试、880 项捕获差分、3213 项原仓库匹配用例、2414 项主 API 契约及 513 项起点测试。以上为不同验证维度，不能相加推算功能覆盖率。cjlint 记录为 0 项强制问题、941 项建议，尚非零提示。</w:t>
      </w:r>
    </w:p>
    <w:p w14:paraId="4DA16FF8">
      <w:pPr>
        <w:spacing w:before="320" w:after="120" w:line="288" w:lineRule="auto"/>
        <w:ind w:left="0"/>
        <w:jc w:val="left"/>
        <w:outlineLvl w:val="1"/>
        <w:keepNext/>
      </w:pPr>
      <w:bookmarkStart w:id="5" w:name="heading_5"/>
      <w:r>
        <w:rPr>
          <w:rFonts w:ascii="Arial" w:hAnsi="Arial" w:eastAsia="等线" w:cs="Arial"/>
          <w:b/>
          <w:sz w:val="32"/>
        </w:rPr>
        <w:t>六、使用说明与落地场景</w:t>
      </w:r>
      <w:bookmarkEnd w:id="5"/>
    </w:p>
    <w:p w14:paraId="3D02E115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1. 快速接入说明</w:t>
        <w:br/>
        <w:t xml:space="preserve">获取提交版本后，在仓库根目录执行：</w:t>
        <w:br/>
        <w:t xml:space="preserve">bash scripts/run.sh demo</w:t>
        <w:br/>
        <w:t xml:space="preserve">bash scripts/run.sh example</w:t>
        <w:br/>
        <w:t xml:space="preserve">bash scripts/run.sh check</w:t>
        <w:br/>
        <w:t xml:space="preserve">分别运行演示、独立消费示例和基础检查。完整差分验证执行 bash scripts/run.sh verify，并按 docs/getting-started.md 准备 Rust/Cargo 等工具及必要缓存。</w:t>
        <w:br/>
        <w:t xml:space="preserve">其他仓颉项目可在 cjpm.toml 中配置本地依赖：</w:t>
        <w:br/>
        <w:t xml:space="preserve">[dependencies]</w:t>
        <w:br/>
        <w:t xml:space="preserve">regex4cj = { path = "../regex4cj/port" }</w:t>
        <w:br/>
        <w:t xml:space="preserve">程序通过 import regex4cj.* 使用 Regex 等接口。这里是源码依赖接入，未声明已发布到中央仓。</w:t>
      </w:r>
    </w:p>
    <w:p w14:paraId="38C8A869">
      <w:pPr>
        <w:spacing w:before="120" w:after="120" w:line="288" w:lineRule="auto"/>
        <w:ind w:left="0"/>
        <w:jc w:val="left"/>
        <w:rPr>
          <w:color w:val="A5A5A5" w:themeColor="background1" w:themeShade="A6"/>
        </w:rPr>
        <w:keepLines/>
      </w:pPr>
      <w:r>
        <w:rPr>
          <w:rFonts w:ascii="Arial" w:hAnsi="Arial" w:eastAsia="等线" w:cs="Arial"/>
          <w:sz w:val="22"/>
        </w:rPr>
        <w:t xml:space="preserve">2. 落地应用场景</w:t>
        <w:br/>
        <w:t xml:space="preserve">字段校验：规则 ^[0-9]{6}$ 接受 123456，拒绝 12345 和 abc123。</w:t>
        <w:br/>
        <w:t xml:space="preserve">中文提取：执行 bash scripts/run.sh find '\p{Han}+' 'A中文α'，匹配“中文”，位置为 [1,7)，单位是 UTF-8 字节，而非字符序号。</w:t>
        <w:br/>
        <w:t xml:space="preserve">业务分类：对“订单 AB-123 需要退款，也需要开发票”执行 classify 演示，可得到相应三条规则的编号 [0,1,2]。以上是随仓库提供的演示场景，不代表已上线商业系统。</w:t>
      </w:r>
    </w:p>
    <w:p w14:paraId="4561DF26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3. 核心价值</w:t>
        <w:br/>
        <w:t xml:space="preserve">开发价值：用可复用接口完成常见文本任务，并提供可直接运行的示例。</w:t>
        <w:br/>
        <w:t xml:space="preserve">生态价值：提供原生仓颉实现、测试与许可说明，便于后续接入和维护。</w:t>
        <w:br/>
        <w:t xml:space="preserve">创新价值：将 AI 辅助移植结果纳入可追溯验证，明确实现范围与未覆盖行为。</w:t>
      </w:r>
    </w:p>
    <w:p w14:paraId="0C526B80">
      <w:pPr>
        <w:spacing w:before="320" w:after="120" w:line="288" w:lineRule="auto"/>
        <w:ind w:left="0"/>
        <w:jc w:val="left"/>
        <w:outlineLvl w:val="1"/>
        <w:keepNext/>
      </w:pPr>
      <w:bookmarkStart w:id="6" w:name="heading_6"/>
      <w:r>
        <w:rPr>
          <w:rFonts w:ascii="Arial" w:hAnsi="Arial" w:eastAsia="等线" w:cs="Arial"/>
          <w:b/>
          <w:sz w:val="32"/>
        </w:rPr>
        <w:t>七、可行性与开发落地规划</w:t>
      </w:r>
      <w:bookmarkEnd w:id="6"/>
    </w:p>
    <w:p w14:paraId="2805571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技术可行性：当前版本已完成本地构建、主功能演示和多层验证。演示用例为 13/13，分类为 7/7；完整验收还记录了 185 个输入文件的 SHA-256。测试结果对应固定代码及输入，不能证明所有可能表达式均与原仓库等价。</w:t>
      </w:r>
    </w:p>
    <w:p w14:paraId="3336E7A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落地可行性：仓库已进行干净副本复现验证，不依赖旧 target 目录或本机原仓库检出目录；离线复现使用显式准备的工具缓存。cjpm 打包后，解包库被独立示例消费，61 项测试与示例通过。打包环境需按记录配置 OpenSSL 3 动态库路径；中央仓上传和比赛平台接收尚未验证。</w:t>
      </w:r>
    </w:p>
    <w:p w14:paraId="778B14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3. 开发进度规划：当前冻结 0.3.0 交付候选版，优先完成提交说明、身份信息与演示材料并确认提交代码版本。后续维护按实际需要补充跨平台验证、尚缺的语法和引擎契约、性能基准；这些是后续方向，不作为本次已完成功能。</w:t>
      </w:r>
    </w:p>
    <w:p w14:paraId="15F292A4">
      <w:pPr>
        <w:spacing w:before="320" w:after="120" w:line="288" w:lineRule="auto"/>
        <w:ind w:left="0"/>
        <w:jc w:val="left"/>
        <w:outlineLvl w:val="1"/>
        <w:keepNext/>
      </w:pPr>
      <w:bookmarkStart w:id="7" w:name="heading_7"/>
      <w:r>
        <w:rPr>
          <w:rFonts w:ascii="Arial" w:hAnsi="Arial" w:eastAsia="等线" w:cs="Arial"/>
          <w:b/>
          <w:sz w:val="32"/>
        </w:rPr>
        <w:t>八、作品总结与未来展望</w:t>
      </w:r>
      <w:bookmarkEnd w:id="7"/>
    </w:p>
    <w:p w14:paraId="0CD05B5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项目总结：项目交付了可构建、可调用、可演示、可验证的仓颉正则库。主要应用功能已有测试支撑，同时提供部分语法及自动机能力。它是对原仓库的移植与适配成果，并非原仓库整个工作区的完整等价替代。</w:t>
      </w:r>
    </w:p>
    <w:p w14:paraId="7A4A2C6A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color w:val="A5A5A5" w:themeColor="background1" w:themeShade="A6"/>
          <w:sz w:val="22"/>
          <w:lang w:val="en-US" w:eastAsia="zh-CN"/>
        </w:rPr>
      </w:pPr>
      <w:r>
        <w:rPr>
          <w:rFonts w:ascii="Arial" w:hAnsi="Arial" w:eastAsia="等线" w:cs="Arial"/>
          <w:sz w:val="22"/>
        </w:rPr>
        <w:t xml:space="preserve">2. 未来展望：优先保持已有行为稳定和文档准确；在有明确需求时扩展平台测试与原仓库契约覆盖，补齐独立执行引擎和序列化等能力，再以可重复基准评价性能。</w:t>
      </w:r>
    </w:p>
    <w:p w14:paraId="3633CAF9">
      <w:pPr>
        <w:keepNext/>
        <w:spacing w:before="320" w:after="120" w:line="288" w:lineRule="auto"/>
        <w:ind w:left="0"/>
        <w:jc w:val="left"/>
        <w:outlineLvl w:val="1"/>
        <w:keepNext/>
      </w:pPr>
      <w:bookmarkStart w:id="8" w:name="heading_8"/>
      <w:r>
        <w:rPr>
          <w:rFonts w:ascii="Arial" w:hAnsi="Arial" w:eastAsia="等线" w:cs="Arial"/>
          <w:b/>
          <w:sz w:val="32"/>
        </w:rPr>
        <w:t>九、仓颉AI生态贡献加分申请（可选）</w:t>
      </w:r>
    </w:p>
    <w:p w14:paraId="423C3DB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本次不申请此项加分。项目使用 AI 辅助开发，但未提交独立可复用的仓颉 AI 生态工具成果；一般 AI 辅助开发不作为本项贡献申报。</w:t>
      </w:r>
    </w:p>
    <w:p w14:paraId="18E443F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申请情况（必选）：☒ 不申请仓颉AI生态贡献加分　□ 申请仓颉AI生态贡献加分</w:t>
      </w:r>
    </w:p>
    <w:p w14:paraId="5C7245ED">
      <w:pPr>
        <w:spacing w:before="320" w:after="120" w:line="288" w:lineRule="auto"/>
        <w:ind w:left="0"/>
        <w:jc w:val="left"/>
        <w:outlineLvl w:val="1"/>
        <w:keepNext/>
      </w:pPr>
      <w:r>
        <w:rPr>
          <w:rFonts w:ascii="Arial" w:hAnsi="Arial" w:eastAsia="等线" w:cs="Arial"/>
          <w:b/>
          <w:sz w:val="32"/>
        </w:rPr>
        <w:t>十、补充说明（可选）</w:t>
      </w:r>
      <w:bookmarkEnd w:id="8"/>
    </w:p>
    <w:p w14:paraId="4C84943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代码与参考材料</w:t>
        <w:br/>
        <w:t xml:space="preserve">项目仓库：https://github.com/lapluma1219/regex4cj</w:t>
        <w:br/>
        <w:t xml:space="preserve">提交代码基线：8bb4c80bae85362e390dea7f6e4fc05bd1c0fbeb（须核对远端是否已同步）。</w:t>
        <w:br/>
        <w:t xml:space="preserve">原仓库：https://github.com/rust-lang/regex</w:t>
        <w:br/>
        <w:t xml:space="preserve">参考版本：regex 1.13.1，提交 72d650cb0a880a01ab6dc2137c0888e8f89740f7。</w:t>
        <w:br/>
        <w:t xml:space="preserve">文档入口：README.md、docs/getting-started.md、docs/api.md、docs/api-catalog.md、docs/status.md。</w:t>
        <w:br/>
        <w:t xml:space="preserve">验收证据：docs/validation/latest.json、latest.log、lint.json、package.json。</w:t>
        <w:br/>
        <w:t xml:space="preserve">代码结构：port/ 为库，cli/ 为演示入口，examples/ 为消费示例，tests/ 与 data/ 为验证材料，scripts/ 为统一脚本，oracle/ 为开发用 Rust 对照程序。</w:t>
        <w:br/>
        <w:t xml:space="preserve">演示视频链接：【待补充】。</w:t>
      </w:r>
    </w:p>
    <w:p w14:paraId="4C84943A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本次实现边界</w:t>
        <w:br/>
        <w:t xml:space="preserve">AST/HIR 和自动机接口只实现原仓库的一部分；OnePass 当前通过适用性检查后使用锚定 PikeVM 执行，尚非独立 OnePass 引擎；Meta、Lite 仅覆盖部分能力。Rure 为仓颉包装接口，不提供 C ABI。CJD1 保存默认配置模式并重新编译，不兼容原仓库的二进制格式；不支持的配置会拒绝导出。缓存和资源限制亦不承诺与原仓库完全一致。</w:t>
      </w:r>
    </w:p>
    <w:p w14:paraId="4C84943A">
      <w:pPr>
        <w:spacing w:before="120" w:after="120" w:line="288" w:lineRule="auto"/>
        <w:ind w:left="0"/>
        <w:jc w:val="left"/>
        <w:keepLines/>
      </w:pPr>
      <w:r>
        <w:rPr>
          <w:rFonts w:ascii="Arial" w:hAnsi="Arial" w:eastAsia="等线" w:cs="Arial"/>
          <w:sz w:val="22"/>
        </w:rPr>
        <w:t xml:space="preserve">来源与许可</w:t>
        <w:br/>
        <w:t xml:space="preserve">本作品基于 Rust regex 移植、适配与验证，遵循 MIT OR Apache-2.0，并保留 Unicode 数据相关许可。来源和第三方声明见 README.OpenSource、THIRD_PARTY_NOTICES.md。下方模板承诺须由参赛者结合移植事实核实后签署；本文不将原仓库已有算法或代码主张为团队独立原创。</w:t>
      </w:r>
    </w:p>
    <w:p w14:paraId="2172F462">
      <w:pPr>
        <w:spacing w:before="120" w:after="120" w:line="288" w:lineRule="auto"/>
        <w:ind w:left="0"/>
        <w:jc w:val="left"/>
        <w:keepLines/>
        <w:keepNext/>
      </w:pPr>
      <w:r>
        <w:rPr>
          <w:rFonts w:ascii="Arial" w:hAnsi="Arial" w:eastAsia="等线" w:cs="Arial"/>
          <w:b/>
          <w:sz w:val="22"/>
        </w:rPr>
        <w:t>填报承诺</w:t>
      </w:r>
      <w:r>
        <w:rPr>
          <w:rFonts w:ascii="Arial" w:hAnsi="Arial" w:eastAsia="等线" w:cs="Arial"/>
          <w:sz w:val="22"/>
        </w:rPr>
        <w:t>：本团队承诺本次</w:t>
      </w:r>
      <w:r>
        <w:rPr>
          <w:rFonts w:hint="eastAsia" w:ascii="Arial" w:hAnsi="Arial" w:eastAsia="等线" w:cs="Arial"/>
          <w:sz w:val="22"/>
          <w:lang w:val="en-US" w:eastAsia="zh-CN"/>
        </w:rPr>
        <w:t>参赛作品为</w:t>
      </w:r>
      <w:r>
        <w:rPr>
          <w:rFonts w:ascii="Arial" w:hAnsi="Arial" w:eastAsia="等线" w:cs="Arial"/>
          <w:sz w:val="22"/>
        </w:rPr>
        <w:t>原创开源作品，无抄袭、盗用、侵权、搬运行为，代码与文档内容真实有效，符合赛事参赛规则，特此承诺。</w:t>
      </w:r>
    </w:p>
    <w:p w14:paraId="02339A7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团队签字：___________  日期：___________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7BB2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96D11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FEEC2B2"/>
    <w:rsid w:val="77F77F27"/>
    <w:rsid w:val="7BFEB7D2"/>
    <w:rsid w:val="EB9FBEE5"/>
    <w:rsid w:val="F77B58D7"/>
    <w:rsid w:val="FF1F06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16</TotalTime>
  <ScaleCrop>false</ScaleCrop>
  <LinksUpToDate>false</LinksUpToDate>
  <Application>WPS Office_12.1.26046.26046_F1E327BC-269C-435d-A152-05C5408002CA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2026-08-18T05:51:00Z</dcterms:created>
  <dc:creator>Apache POI</dc:creator>
  <cp:lastModifiedBy>人天自两空</cp:lastModifiedBy>
  <dcterms:modified xsi:type="dcterms:W3CDTF">2026-08-18T14:24:33Z</dcterms:modified>
  <dc:subject>赛事作品提交及仓颉AI生态贡献加分申请</dc:subject>
  <dc:title>仓颉生态创新开发挑战赛作品提交模板（AI生态贡献10分最新版）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{"Label":"1","ContentProducer":"001191110102MACQD9K64010000","ProduceID":"7674874260141477139","ReservedCode1":"","ContentPropagator":"","PropagateID":"","ReservedCode2":""}</vt:lpwstr>
  </property>
  <property fmtid="{D5CDD505-2E9C-101B-9397-08002B2CF9AE}" pid="3" name="KSOProductBuildVer">
    <vt:lpwstr>2052-12.1.26046.26046</vt:lpwstr>
  </property>
  <property fmtid="{D5CDD505-2E9C-101B-9397-08002B2CF9AE}" pid="4" name="ICV">
    <vt:lpwstr>A12C7042B9CB222682A4826A65B31171_42</vt:lpwstr>
  </property>
</Properties>
</file>