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82" w:rsidRPr="00C21C82" w:rsidRDefault="00C21C82" w:rsidP="00C21C82">
      <w:pPr>
        <w:shd w:val="clear" w:color="auto" w:fill="FFFFFF"/>
        <w:spacing w:before="270" w:after="135" w:line="330" w:lineRule="atLeast"/>
        <w:ind w:left="-993" w:firstLine="567"/>
        <w:contextualSpacing/>
        <w:jc w:val="center"/>
        <w:outlineLvl w:val="1"/>
        <w:rPr>
          <w:rFonts w:ascii="Helvetica" w:eastAsia="Times New Roman" w:hAnsi="Helvetica" w:cs="Times New Roman"/>
          <w:color w:val="199043"/>
          <w:sz w:val="30"/>
          <w:szCs w:val="30"/>
          <w:lang w:eastAsia="ru-RU"/>
        </w:rPr>
      </w:pPr>
      <w:bookmarkStart w:id="0" w:name="_GoBack"/>
      <w:bookmarkEnd w:id="0"/>
      <w:r w:rsidRPr="00C21C82">
        <w:rPr>
          <w:rFonts w:ascii="Helvetica" w:eastAsia="Times New Roman" w:hAnsi="Helvetica" w:cs="Times New Roman"/>
          <w:color w:val="199043"/>
          <w:sz w:val="30"/>
          <w:szCs w:val="30"/>
          <w:lang w:eastAsia="ru-RU"/>
        </w:rPr>
        <w:t>Ход урока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1, 2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Рассматривание портрета Пушкина.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I. Вступительное слово учителя.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Петербурге, после окончания лицея, Пушкин написал первое крупное литературное произведение «Руслан и Людмила». Поэма свидетельствовала о дальнейшем росте литературной самостоятельности гения Пушкина.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3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Поэма имела громадный успех. Она раскупалась нарасхват.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4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Василий Андреевич Жуковский подарил Пушкину свой портрет со следующей надписью: «Победителю ученику от побежденного учителя в тот высокоторжественный день, в который он окончил свою поэму «Руслан и Людмила»».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5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Зато критики, сторонники устарелых книжных теорий в искусстве, пришли от нее в ужас. В вольном обращении Пушкина с преданиями старины, в самом языке они увидели проявление недопустимых с их точки зрения демократических стремлений: «Обратите ваше внимание на новый ужасный предмет, возникающий посреди океана российской словесности».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1828 году Пушкин пишет пролог к поэме «Руслан и Людмила». Пролог был ответом Пушкина на споры по поводу его поэмы, утверждающим, что и простонародное может быт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прекрасным. Одновременно пролог стал своего рода художественным исследованием волшебной сказки.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6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II. Прослушивание учащимися пролога.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7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 xml:space="preserve">III. Обмен мнениями о </w:t>
      </w:r>
      <w:proofErr w:type="gramStart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прослушанном</w:t>
      </w:r>
      <w:proofErr w:type="gramEnd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.</w:t>
      </w:r>
    </w:p>
    <w:p w:rsidR="00C21C82" w:rsidRPr="00C21C82" w:rsidRDefault="00C21C82" w:rsidP="00C21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Каково общее настроение этого текста?</w:t>
      </w: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  <w:t>(</w:t>
      </w:r>
      <w:proofErr w:type="gram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Радостное</w:t>
      </w:r>
      <w:proofErr w:type="gramEnd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так как читатель встречается со сказками, а сказка для народа - такой же праздник, как нарядно расшитый костюм, ярко расписанная игрушка).</w:t>
      </w:r>
    </w:p>
    <w:p w:rsidR="00C21C82" w:rsidRPr="00C21C82" w:rsidRDefault="00C21C82" w:rsidP="00C21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Кто же рассказывает читателю сказки? (Поэт рассказывает сказки, переданные ему чудесным котом.)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 прослушали вступление - пролог к поэме Пушкина «Руслан и Людмила». Эти строки можно назвать мощным, ярким вступлением ко всему сказочному творчеству великого поэта.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IV. Словарная работа.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8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Лукоморье - старинное народное название изогнутого морского берега. Берег, словно лук, изогнулся</w:t>
      </w:r>
      <w:proofErr w:type="gram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..</w:t>
      </w:r>
      <w:proofErr w:type="gramEnd"/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9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Неведомые (дорожки) – незнакомые.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10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Невиданные (звери) – неизвестные, такие, которых никто не видел.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11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Брег песчаный - (устар.). То же, что и берег.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12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Витязь – В Древней Руси: отважный, доблестный воин.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13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Чредой – (устар.). То же, что очередь.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14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Пленяет – взять в плен.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15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Темница – место заключения.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16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Над златом чахнет – над золотом сохнет.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Дети объясняют с помощью учителя значение данных слов.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V. Работа учащихся по вопросам, раскрывающим тематическое, композиционное и языковое своеобразие пролога.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17</w:t>
      </w:r>
    </w:p>
    <w:p w:rsidR="00C21C82" w:rsidRPr="00C21C82" w:rsidRDefault="00C21C82" w:rsidP="00C21C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Какова общая тема произведения?</w:t>
      </w: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proofErr w:type="gram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(Тема сказки получает главное направление:</w:t>
      </w:r>
      <w:proofErr w:type="gramEnd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«Там чудеса...». </w:t>
      </w:r>
      <w:proofErr w:type="gram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Словами там чудеса Пушкин указал на самое важное: мир сказки прекрасен, а красота ее в чудесном).</w:t>
      </w:r>
      <w:proofErr w:type="gramEnd"/>
    </w:p>
    <w:p w:rsidR="00C21C82" w:rsidRPr="00C21C82" w:rsidRDefault="00C21C82" w:rsidP="00C21C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Есть ли в прослушанном вами прологе традиционные для народной сказки зачин и концовка?</w:t>
      </w:r>
      <w:proofErr w:type="gramEnd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(Есть).</w:t>
      </w: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  <w:t>Найдите их в тексте, а затем еще раз внимательно прослушайте. Одинаково ли они читаются? (Зачин и концовка читаются с разной интонацией).</w:t>
      </w:r>
    </w:p>
    <w:p w:rsidR="00C21C82" w:rsidRPr="00C21C82" w:rsidRDefault="00C21C82" w:rsidP="00C21C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чем причина этих изменений?</w:t>
      </w: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proofErr w:type="gram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(Волшебная атмосфера зачина передается таинственной интонацией, а концовка читается с мягким юмором, так как заключительные слова пробуждают нас ото сна.</w:t>
      </w:r>
      <w:proofErr w:type="gramEnd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Сказка кончилась, она такой же вымысел, как и те угощения, которые «отведал» рассказчик, средствами самой сказки Пушкин разомкнул тот чудесный мир, в который он ввел читателя).</w:t>
      </w:r>
      <w:proofErr w:type="gramEnd"/>
    </w:p>
    <w:p w:rsidR="00C21C82" w:rsidRPr="00C21C82" w:rsidRDefault="00C21C82" w:rsidP="00C21C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какой целью автор вводит в текст устаревшие, вышедшие из употребления слова? (С помощью этих слов автор окутывает слушателя «седой» стариной, сказочностью, волшебством).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VI. Конкурсное чтение учащимися пролога по заданию.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Первое, что бросается в глаза, - мозаичность. Весь сказочный мир дробится на ярки кусочки. Маленькими отрывочками мы и будем читать текст, передавая таинственный мир сказки.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 18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proofErr w:type="gramStart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V</w:t>
      </w:r>
      <w:proofErr w:type="gramEnd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 xml:space="preserve">П. Знакомство с произведениями художников, иллюстрирующих пролог. Рассматривание картин художников: </w:t>
      </w:r>
      <w:proofErr w:type="spellStart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Б.Парилова</w:t>
      </w:r>
      <w:proofErr w:type="spellEnd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 xml:space="preserve">, </w:t>
      </w:r>
      <w:proofErr w:type="spellStart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В.Дудорова</w:t>
      </w:r>
      <w:proofErr w:type="spellEnd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.</w:t>
      </w:r>
    </w:p>
    <w:p w:rsidR="00C21C82" w:rsidRPr="00C21C82" w:rsidRDefault="00C21C82" w:rsidP="00C21C82">
      <w:pPr>
        <w:shd w:val="clear" w:color="auto" w:fill="FFFFFF"/>
        <w:spacing w:after="135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Мозаичное построение пролога уже на протяжении полутора веков привлекает внимание художников. Дайте название картинам словами из текста.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proofErr w:type="gramStart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V</w:t>
      </w:r>
      <w:proofErr w:type="gramEnd"/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Ш. Беседа по вопросам с целью выяснения художественных особенностей текста.</w:t>
      </w:r>
    </w:p>
    <w:p w:rsidR="00C21C82" w:rsidRPr="00C21C82" w:rsidRDefault="00C21C82" w:rsidP="00C21C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Какие произведения устного народного творчества вы вспоминаете, слушая</w:t>
      </w: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  <w:t xml:space="preserve">«У лукоморья... »? («Кощей Бессмертный», «Марья </w:t>
      </w:r>
      <w:proofErr w:type="spell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Маревна</w:t>
      </w:r>
      <w:proofErr w:type="spellEnd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», «Баба Яга», «Василиса Прекрасная» и другие).</w:t>
      </w:r>
    </w:p>
    <w:p w:rsidR="00C21C82" w:rsidRPr="00C21C82" w:rsidRDefault="00C21C82" w:rsidP="00C21C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993" w:firstLine="567"/>
        <w:contextualSpacing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Какие сказки </w:t>
      </w:r>
      <w:proofErr w:type="spell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А.С.Пушкина</w:t>
      </w:r>
      <w:proofErr w:type="spellEnd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сохранившие художественные особенные особенности русских народных сказок вы помните?</w:t>
      </w:r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proofErr w:type="gram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(«Сказка о золотом петушке; «Сказка о мертвой царевне и семи богатырях», «Сказка о царе </w:t>
      </w:r>
      <w:proofErr w:type="spell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Салтане</w:t>
      </w:r>
      <w:proofErr w:type="spellEnd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» «Сказка о рыбаке и рыбке», «Сказка о попе и его работнике </w:t>
      </w:r>
      <w:proofErr w:type="spellStart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Балде</w:t>
      </w:r>
      <w:proofErr w:type="spellEnd"/>
      <w:r w:rsidRPr="00C21C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».</w:t>
      </w:r>
      <w:proofErr w:type="gramEnd"/>
    </w:p>
    <w:p w:rsid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eastAsia="Times New Roman" w:cs="Times New Roman"/>
          <w:color w:val="199043"/>
          <w:sz w:val="27"/>
          <w:szCs w:val="27"/>
          <w:lang w:eastAsia="ru-RU"/>
        </w:rPr>
      </w:pPr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IX</w:t>
      </w:r>
      <w:r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 xml:space="preserve">. Викторина по сказкам Пушкина 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колько раз ходил старик к морю по приказу старухи? (5)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азовите все желания старухи по порядку. (1 – корыто, 2 – дом, 3 – стать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столбовой дворянкой, 4 – стать царицей, 5 – стать владычицей морской)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азовите в нужной последовательности все превращения князя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Гвидона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 (1 –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комар; 2– муха; 3– шмель).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еречислить по порядку все чудеса из «Сказки о царе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Салтане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…» (1 – белка, 2 –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33 богатыря, 3 – царевна-лебедь).</w:t>
      </w:r>
      <w:proofErr w:type="gramEnd"/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5.Определите исполнителя песни «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Во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саду ли, в огороде» (белка, царевна-лебедь,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повариха).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6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колько раз закидывал старик невод? (7, 3 , 5)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7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а сколько лет Поп велел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Балде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взять с чертей оброк? (два года, три года, год)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8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К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акую плату назначил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Балда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за свою работу у попа? (три рубля, три щелчка,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три мешка зерна).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9 Что сделал Бесенок, разговаривая с </w:t>
      </w:r>
      <w:proofErr w:type="spellStart"/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Балдой</w:t>
      </w:r>
      <w:proofErr w:type="spellEnd"/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? (заворчал, как медвежонок;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замяукал, как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котено</w:t>
      </w:r>
      <w:proofErr w:type="spellEnd"/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;, 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завизжал, как поросенок)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10 Что входит в обязанности золотого петушка? (охранять царство, воевать за</w:t>
      </w:r>
      <w:proofErr w:type="gramEnd"/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царство, будить царя).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11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КудааШамаханская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царица уложила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Дадона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отдыхать? (пуховую кровать,</w:t>
      </w:r>
      <w:proofErr w:type="gramEnd"/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парчовую кровать, тесовую кровать).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12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Кудабочка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 женой и сыном царя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Салтана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поплыла? (на север, на запад, на юг).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13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азовите кличку собаки: (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Полкаша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Соколко</w:t>
      </w:r>
      <w:proofErr w:type="spell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Дружок).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14</w:t>
      </w:r>
      <w:proofErr w:type="gramStart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К</w:t>
      </w:r>
      <w:proofErr w:type="gramEnd"/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акие волшебные предметы здесь лишние? (волшебное зеркальце, волшебная</w:t>
      </w:r>
    </w:p>
    <w:p w:rsidR="00C21C82" w:rsidRPr="00C21C82" w:rsidRDefault="00C21C82" w:rsidP="00C21C8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21C8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метла, волшебная шляпа).</w:t>
      </w:r>
    </w:p>
    <w:p w:rsidR="00C21C82" w:rsidRPr="00C21C82" w:rsidRDefault="00C21C82" w:rsidP="00C21C82">
      <w:pPr>
        <w:shd w:val="clear" w:color="auto" w:fill="FFFFFF"/>
        <w:spacing w:before="270" w:after="135" w:line="285" w:lineRule="atLeast"/>
        <w:ind w:left="-993" w:firstLine="567"/>
        <w:contextualSpacing/>
        <w:jc w:val="both"/>
        <w:outlineLvl w:val="2"/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</w:pPr>
      <w:r w:rsidRPr="00C21C82">
        <w:rPr>
          <w:rFonts w:ascii="Helvetica" w:eastAsia="Times New Roman" w:hAnsi="Helvetica" w:cs="Times New Roman"/>
          <w:color w:val="199043"/>
          <w:sz w:val="27"/>
          <w:szCs w:val="27"/>
          <w:lang w:eastAsia="ru-RU"/>
        </w:rPr>
        <w:t>Х. Д/3 Выучить наизусть пролог.</w:t>
      </w:r>
    </w:p>
    <w:p w:rsidR="000D3CA1" w:rsidRDefault="000D3CA1"/>
    <w:sectPr w:rsidR="000D3CA1" w:rsidSect="00C21C8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97C9D"/>
    <w:multiLevelType w:val="multilevel"/>
    <w:tmpl w:val="DE82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A58B1"/>
    <w:multiLevelType w:val="multilevel"/>
    <w:tmpl w:val="6B46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532DA4"/>
    <w:multiLevelType w:val="multilevel"/>
    <w:tmpl w:val="389E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99"/>
    <w:rsid w:val="000D3CA1"/>
    <w:rsid w:val="00A34D99"/>
    <w:rsid w:val="00C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1C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C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1C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1C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C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1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2021-10-19T17:41:00Z</dcterms:created>
  <dcterms:modified xsi:type="dcterms:W3CDTF">2021-10-19T17:42:00Z</dcterms:modified>
</cp:coreProperties>
</file>