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before="0" w:after="220"/>
        <w:jc w:val="right"/>
        <w:widowControl/>
      </w:pPr>
      <w:r>
        <w:rPr>
          <w:rFonts w:ascii="Aptos" w:hAnsi="Aptos"/>
          <w:b/>
          <w:color w:val="0B2E59"/>
          <w:sz w:val="16"/>
        </w:rPr>
        <w:t>NORTHSTAR ANALYTICS   |   FAMILY AND MEDICAL LEAVE POLICY</w:t>
      </w:r>
    </w:p>
    <w:p>
      <w:pPr>
        <w:spacing w:before="0" w:after="60"/>
      </w:pPr>
      <w:r>
        <w:drawing>
          <wp:inline xmlns:a="http://schemas.openxmlformats.org/drawingml/2006/main" xmlns:pic="http://schemas.openxmlformats.org/drawingml/2006/picture">
            <wp:extent cx="2057400" cy="685800"/>
            <wp:docPr id="1" name="Picture 1" descr="Northstar Analytics logo with a compass star and rising data line" title="Northstar Analytics logo"/>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2057400" cy="685800"/>
                    </a:xfrm>
                    <a:prstGeom prst="rect"/>
                  </pic:spPr>
                </pic:pic>
              </a:graphicData>
            </a:graphic>
          </wp:inline>
        </w:drawing>
      </w:r>
    </w:p>
    <w:p>
      <w:pPr>
        <w:pStyle w:val="Title"/>
      </w:pPr>
      <w:r>
        <w:t>Northstar Analytics Family and Medical Leave Policy</w:t>
      </w:r>
    </w:p>
    <w:p>
      <w:pPr>
        <w:spacing w:after="100"/>
      </w:pPr>
      <w:r>
        <w:rPr>
          <w:rFonts w:ascii="Aptos" w:hAnsi="Aptos"/>
          <w:i/>
          <w:color w:val="60666D"/>
          <w:sz w:val="20"/>
        </w:rPr>
        <w:t>Protected leave eligibility administration benefits and return to work</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1656"/>
            <w:vAlign w:val="center"/>
            <w:tcMar>
              <w:top w:w="60" w:type="dxa"/>
              <w:start w:w="100" w:type="dxa"/>
              <w:bottom w:w="60" w:type="dxa"/>
              <w:end w:w="100" w:type="dxa"/>
            </w:tcMar>
            <w:shd w:fill="0B2E59"/>
          </w:tcPr>
          <w:p>
            <w:pPr>
              <w:spacing w:after="0"/>
            </w:pPr>
            <w:r>
              <w:rPr>
                <w:rFonts w:ascii="Aptos" w:hAnsi="Aptos"/>
                <w:b/>
                <w:color w:val="FFFFFF"/>
                <w:sz w:val="16"/>
              </w:rPr>
              <w:t>Policy owner</w:t>
            </w:r>
          </w:p>
        </w:tc>
        <w:tc>
          <w:tcPr>
            <w:tcW w:type="dxa" w:w="3096"/>
            <w:vAlign w:val="center"/>
            <w:tcMar>
              <w:top w:w="60" w:type="dxa"/>
              <w:start w:w="100" w:type="dxa"/>
              <w:bottom w:w="60" w:type="dxa"/>
              <w:end w:w="100" w:type="dxa"/>
            </w:tcMar>
          </w:tcPr>
          <w:p>
            <w:pPr>
              <w:spacing w:after="0"/>
            </w:pPr>
            <w:r>
              <w:rPr>
                <w:rFonts w:ascii="Aptos" w:hAnsi="Aptos"/>
                <w:b w:val="0"/>
                <w:color w:val="000000"/>
                <w:sz w:val="16"/>
              </w:rPr>
              <w:t>People Operations</w:t>
            </w:r>
          </w:p>
        </w:tc>
        <w:tc>
          <w:tcPr>
            <w:tcW w:type="dxa" w:w="1656"/>
            <w:vAlign w:val="center"/>
            <w:tcMar>
              <w:top w:w="60" w:type="dxa"/>
              <w:start w:w="100" w:type="dxa"/>
              <w:bottom w:w="60" w:type="dxa"/>
              <w:end w:w="100" w:type="dxa"/>
            </w:tcMar>
            <w:shd w:fill="0B2E59"/>
          </w:tcPr>
          <w:p>
            <w:pPr>
              <w:spacing w:after="0"/>
            </w:pPr>
            <w:r>
              <w:rPr>
                <w:rFonts w:ascii="Aptos" w:hAnsi="Aptos"/>
                <w:b/>
                <w:color w:val="FFFFFF"/>
                <w:sz w:val="16"/>
              </w:rPr>
              <w:t>Version</w:t>
            </w:r>
          </w:p>
        </w:tc>
        <w:tc>
          <w:tcPr>
            <w:tcW w:type="dxa" w:w="3096"/>
            <w:vAlign w:val="center"/>
            <w:tcMar>
              <w:top w:w="60" w:type="dxa"/>
              <w:start w:w="100" w:type="dxa"/>
              <w:bottom w:w="60" w:type="dxa"/>
              <w:end w:w="100" w:type="dxa"/>
            </w:tcMar>
          </w:tcPr>
          <w:p>
            <w:pPr>
              <w:spacing w:after="0"/>
            </w:pPr>
            <w:r>
              <w:rPr>
                <w:rFonts w:ascii="Aptos" w:hAnsi="Aptos"/>
                <w:b w:val="0"/>
                <w:color w:val="000000"/>
                <w:sz w:val="16"/>
              </w:rPr>
              <w:t>1.0</w:t>
            </w:r>
          </w:p>
        </w:tc>
      </w:tr>
      <w:tr>
        <w:tc>
          <w:tcPr>
            <w:tcW w:type="dxa" w:w="1656"/>
            <w:vAlign w:val="center"/>
            <w:tcMar>
              <w:top w:w="60" w:type="dxa"/>
              <w:start w:w="100" w:type="dxa"/>
              <w:bottom w:w="60" w:type="dxa"/>
              <w:end w:w="100" w:type="dxa"/>
            </w:tcMar>
            <w:shd w:fill="0B2E59"/>
          </w:tcPr>
          <w:p>
            <w:pPr>
              <w:spacing w:after="0"/>
            </w:pPr>
            <w:r>
              <w:rPr>
                <w:rFonts w:ascii="Aptos" w:hAnsi="Aptos"/>
                <w:b/>
                <w:color w:val="FFFFFF"/>
                <w:sz w:val="16"/>
              </w:rPr>
              <w:t>Effective date</w:t>
            </w:r>
          </w:p>
        </w:tc>
        <w:tc>
          <w:tcPr>
            <w:tcW w:type="dxa" w:w="3096"/>
            <w:vAlign w:val="center"/>
            <w:tcMar>
              <w:top w:w="60" w:type="dxa"/>
              <w:start w:w="100" w:type="dxa"/>
              <w:bottom w:w="60" w:type="dxa"/>
              <w:end w:w="100" w:type="dxa"/>
            </w:tcMar>
            <w:shd w:fill="EAF4F8"/>
          </w:tcPr>
          <w:p>
            <w:pPr>
              <w:spacing w:after="0"/>
            </w:pPr>
            <w:r>
              <w:rPr>
                <w:rFonts w:ascii="Aptos" w:hAnsi="Aptos"/>
                <w:b w:val="0"/>
                <w:color w:val="000000"/>
                <w:sz w:val="16"/>
              </w:rPr>
              <w:t>September 26 2026</w:t>
            </w:r>
          </w:p>
        </w:tc>
        <w:tc>
          <w:tcPr>
            <w:tcW w:type="dxa" w:w="1656"/>
            <w:vAlign w:val="center"/>
            <w:tcMar>
              <w:top w:w="60" w:type="dxa"/>
              <w:start w:w="100" w:type="dxa"/>
              <w:bottom w:w="60" w:type="dxa"/>
              <w:end w:w="100" w:type="dxa"/>
            </w:tcMar>
            <w:shd w:fill="0B2E59"/>
          </w:tcPr>
          <w:p>
            <w:pPr>
              <w:spacing w:after="0"/>
            </w:pPr>
            <w:r>
              <w:rPr>
                <w:rFonts w:ascii="Aptos" w:hAnsi="Aptos"/>
                <w:b/>
                <w:color w:val="FFFFFF"/>
                <w:sz w:val="16"/>
              </w:rPr>
              <w:t>Applies to</w:t>
            </w:r>
          </w:p>
        </w:tc>
        <w:tc>
          <w:tcPr>
            <w:tcW w:type="dxa" w:w="3096"/>
            <w:vAlign w:val="center"/>
            <w:tcMar>
              <w:top w:w="60" w:type="dxa"/>
              <w:start w:w="100" w:type="dxa"/>
              <w:bottom w:w="60" w:type="dxa"/>
              <w:end w:w="100" w:type="dxa"/>
            </w:tcMar>
            <w:shd w:fill="EAF4F8"/>
          </w:tcPr>
          <w:p>
            <w:pPr>
              <w:spacing w:after="0"/>
            </w:pPr>
            <w:r>
              <w:rPr>
                <w:rFonts w:ascii="Aptos" w:hAnsi="Aptos"/>
                <w:b w:val="0"/>
                <w:color w:val="000000"/>
                <w:sz w:val="16"/>
              </w:rPr>
              <w:t>United States employees</w:t>
            </w:r>
          </w:p>
        </w:tc>
      </w:tr>
    </w:tbl>
    <w:p>
      <w:pPr>
        <w:pStyle w:val="Heading1"/>
        <w:keepNext/>
        <w:widowControl/>
      </w:pPr>
      <w:r>
        <w:t>1 Purpose and Scope</w:t>
      </w:r>
    </w:p>
    <w:p>
      <w:pPr>
        <w:spacing w:after="60" w:line="240" w:lineRule="auto"/>
        <w:widowControl/>
      </w:pPr>
      <w:r>
        <w:t>Northstar Analytics provides family and medical leave in accordance with the federal Family and Medical Leave Act when Northstar is a covered employer and an employee is eligible. This policy explains qualifying reasons, notice and certification requirements, benefits, job restoration, and coordination with other leave.</w:t>
      </w:r>
    </w:p>
    <w:p>
      <w:pPr>
        <w:spacing w:after="60" w:line="240" w:lineRule="auto"/>
        <w:widowControl/>
      </w:pPr>
      <w:r>
        <w:t>Federal law establishes the baseline. State or local law, a collective bargaining agreement, or another Northstar policy may provide additional rights. The more protective applicable requirement will govern. People Operations will evaluate each request under the laws in effect for the employee's work location.</w:t>
      </w:r>
    </w:p>
    <w:p>
      <w:pPr>
        <w:pStyle w:val="Heading1"/>
        <w:keepNext/>
        <w:widowControl/>
      </w:pPr>
      <w:r>
        <w:t>2 Federal Eligibility</w:t>
      </w:r>
    </w:p>
    <w:p>
      <w:pPr>
        <w:spacing w:after="60" w:line="240" w:lineRule="auto"/>
        <w:widowControl/>
      </w:pPr>
      <w:r>
        <w:t>An employee is eligible for federal FMLA leave when the employee has worked for Northstar for at least 12 months, has at least 1,250 hours of service during the 12 months immediately before leave begins, and works at a location where Northstar employs at least 50 employees within 75 miles. For remote employees, the worksite is the office to which the employee reports or from which assignments are made, not the employee's home. Service need not be consecutive when the law requires prior service to be counted.</w:t>
      </w:r>
    </w:p>
    <w:p>
      <w:pPr>
        <w:spacing w:after="60" w:line="240" w:lineRule="auto"/>
        <w:widowControl/>
      </w:pPr>
      <w:r>
        <w:t>Eligibility is determined when leave begins and may differ for later leave periods. Employees who do not meet the federal requirements may still qualify for another protected leave, accommodation, paid-leave program, or company leave. People Operations will provide an eligibility determination after receiving enough information to evaluate the request.</w:t>
      </w:r>
    </w:p>
    <w:p>
      <w:pPr>
        <w:pStyle w:val="Heading1"/>
        <w:keepNext/>
        <w:widowControl/>
      </w:pPr>
      <w:r>
        <w:t>3 Qualifying Reasons and Duration</w:t>
      </w:r>
    </w:p>
    <w:p>
      <w:pPr>
        <w:spacing w:after="60" w:line="240" w:lineRule="auto"/>
        <w:widowControl/>
      </w:pPr>
      <w:r>
        <w:t>An eligible employee may take up to 12 workweeks of FMLA leave during Northstar's designated 12-month leave year for a qualifying reason. People Operations will identify the applicable leave-year method in the employee's rights and responsibilities notice and apply it consistently.</w:t>
      </w:r>
    </w:p>
    <w:p>
      <w:pPr>
        <w:pStyle w:val="ListBullet"/>
        <w:spacing w:after="24" w:line="240" w:lineRule="auto"/>
        <w:widowControl/>
      </w:pPr>
      <w:r>
        <w:rPr>
          <w:b/>
        </w:rPr>
        <w:t xml:space="preserve">Bonding. </w:t>
      </w:r>
      <w:r>
        <w:t>Birth of a child or placement for adoption or foster care, with bonding leave completed within 12 months of the event.</w:t>
      </w:r>
    </w:p>
    <w:p>
      <w:pPr>
        <w:pStyle w:val="ListBullet"/>
        <w:spacing w:after="24" w:line="240" w:lineRule="auto"/>
        <w:widowControl/>
      </w:pPr>
      <w:r>
        <w:rPr>
          <w:b/>
        </w:rPr>
        <w:t xml:space="preserve">Serious health condition. </w:t>
      </w:r>
      <w:r>
        <w:t>The employee's own condition that prevents performance of essential job functions, or care for a covered spouse, child, or parent.</w:t>
      </w:r>
    </w:p>
    <w:p>
      <w:pPr>
        <w:pStyle w:val="ListBullet"/>
        <w:spacing w:after="24" w:line="240" w:lineRule="auto"/>
        <w:widowControl/>
      </w:pPr>
      <w:r>
        <w:rPr>
          <w:b/>
        </w:rPr>
        <w:t xml:space="preserve">Military exigency. </w:t>
      </w:r>
      <w:r>
        <w:t>A qualifying need arising from a covered deployment of the employee's spouse, child, or parent.</w:t>
      </w:r>
    </w:p>
    <w:p>
      <w:pPr>
        <w:pStyle w:val="ListBullet"/>
        <w:spacing w:after="24" w:line="240" w:lineRule="auto"/>
        <w:widowControl/>
      </w:pPr>
      <w:r>
        <w:rPr>
          <w:b/>
        </w:rPr>
        <w:t xml:space="preserve">Military caregiver. </w:t>
      </w:r>
      <w:r>
        <w:t>Up to 26 workweeks in a single 12-month period to care for a covered servicemember when the employee is an eligible spouse, child, parent, or next of kin.</w:t>
      </w:r>
    </w:p>
    <w:p>
      <w:pPr>
        <w:pStyle w:val="Heading1"/>
        <w:keepNext/>
        <w:widowControl/>
      </w:pPr>
      <w:r>
        <w:t>4 Requesting Leave and Notice</w:t>
      </w:r>
    </w:p>
    <w:p>
      <w:pPr>
        <w:spacing w:after="60" w:line="240" w:lineRule="auto"/>
        <w:widowControl/>
      </w:pPr>
      <w:r>
        <w:t>Employees should contact People Operations and their manager when leave may be needed. The employee does not have to use the term FMLA but must provide enough information to indicate that the absence may qualify. Medical details should be sent only to People Operations or the designated leave administrator, not to the manager.</w:t>
      </w:r>
    </w:p>
    <w:p>
      <w:pPr>
        <w:spacing w:after="60" w:line="240" w:lineRule="auto"/>
        <w:widowControl/>
      </w:pPr>
      <w:r>
        <w:t>When the need is foreseeable, employees should provide at least 30 days' notice. If 30 days is not possible, notice must be given as soon as practicable and in accordance with normal call-in procedures, absent unusual circumstances. Employees must promptly report changes to the expected timing, duration, or schedule.</w:t>
      </w:r>
    </w:p>
    <w:p>
      <w:pPr>
        <w:pStyle w:val="Heading1"/>
        <w:keepNext/>
        <w:widowControl/>
      </w:pPr>
      <w:r>
        <w:t>5 Employer Notices and Designation</w:t>
      </w:r>
    </w:p>
    <w:p>
      <w:pPr>
        <w:spacing w:after="60" w:line="240" w:lineRule="auto"/>
        <w:widowControl/>
      </w:pPr>
      <w:r>
        <w:t>People Operations will provide required eligibility, rights and responsibilities, and designation notices within applicable deadlines. Northstar is responsible for designating qualifying leave as FMLA leave based on available information, even if the employee does not request the designation. FMLA leave may run concurrently with other qualifying leave when permitted by law.</w:t>
      </w:r>
    </w:p>
    <w:p>
      <w:pPr>
        <w:pageBreakBefore/>
        <w:spacing w:before="0" w:after="220"/>
        <w:jc w:val="right"/>
        <w:widowControl/>
      </w:pPr>
      <w:r>
        <w:rPr>
          <w:rFonts w:ascii="Aptos" w:hAnsi="Aptos"/>
          <w:b/>
          <w:color w:val="0B2E59"/>
          <w:sz w:val="16"/>
        </w:rPr>
        <w:t>NORTHSTAR ANALYTICS   |   FAMILY AND MEDICAL LEAVE POLICY</w:t>
      </w:r>
    </w:p>
    <w:p>
      <w:pPr>
        <w:pStyle w:val="Heading1"/>
        <w:keepNext/>
        <w:widowControl/>
      </w:pPr>
      <w:r>
        <w:t>6 Certification and Supporting Information</w:t>
      </w:r>
    </w:p>
    <w:p>
      <w:pPr>
        <w:spacing w:after="60" w:line="240" w:lineRule="auto"/>
        <w:widowControl/>
      </w:pPr>
      <w:r>
        <w:t>Northstar may require a complete and sufficient certification for a serious health condition, military family leave, or another permitted purpose. Employees generally receive at least 15 calendar days after the request to provide certification and should notify People Operations promptly if diligent good-faith efforts cannot meet the deadline.</w:t>
      </w:r>
    </w:p>
    <w:p>
      <w:pPr>
        <w:spacing w:after="60" w:line="240" w:lineRule="auto"/>
        <w:widowControl/>
      </w:pPr>
      <w:r>
        <w:t>If a certification is incomplete or insufficient, Northstar will identify the deficiency in writing and generally allow at least seven calendar days to correct it. Northstar may seek clarification, authentication, recertification, or a second or third opinion only as allowed by law. A diagnosis is not required when the certification otherwise supplies the legally required information.</w:t>
      </w:r>
    </w:p>
    <w:p>
      <w:pPr>
        <w:pStyle w:val="Heading1"/>
        <w:keepNext/>
        <w:widowControl/>
      </w:pPr>
      <w:r>
        <w:t>7 Continuous Intermittent and Reduced Schedule Leave</w:t>
      </w:r>
    </w:p>
    <w:p>
      <w:pPr>
        <w:spacing w:after="60" w:line="240" w:lineRule="auto"/>
        <w:widowControl/>
      </w:pPr>
      <w:r>
        <w:t>Leave may be taken continuously or, when medically necessary or otherwise permitted, intermittently or on a reduced schedule. Bonding leave on an intermittent or reduced schedule requires Northstar approval unless applicable law provides otherwise. Employees should make reasonable efforts to schedule planned treatment to limit operational disruption, subject to medical needs.</w:t>
      </w:r>
    </w:p>
    <w:p>
      <w:pPr>
        <w:spacing w:after="60" w:line="240" w:lineRule="auto"/>
        <w:widowControl/>
      </w:pPr>
      <w:r>
        <w:t>Employees must follow normal timekeeping and absence-reporting procedures and identify qualifying intermittent absences to People Operations. Only the amount of leave actually taken will be charged against the available FMLA entitlement.</w:t>
      </w:r>
    </w:p>
    <w:p>
      <w:pPr>
        <w:pStyle w:val="Heading1"/>
        <w:keepNext/>
        <w:widowControl/>
      </w:pPr>
      <w:r>
        <w:t>8 Pay During Leave</w:t>
      </w:r>
    </w:p>
    <w:p>
      <w:pPr>
        <w:spacing w:after="60" w:line="240" w:lineRule="auto"/>
        <w:widowControl/>
      </w:pPr>
      <w:r>
        <w:t>FMLA leave is unpaid. Available PTO, paid sick leave, parental leave, short-term disability, workers' compensation, or a government paid-leave benefit may run concurrently when the absence qualifies and the law or applicable plan permits. Employees must follow the rules for the paid benefit. Receipt of wage replacement does not extend the FMLA entitlement.</w:t>
      </w:r>
    </w:p>
    <w:p>
      <w:pPr>
        <w:pStyle w:val="Heading1"/>
        <w:keepNext/>
        <w:widowControl/>
      </w:pPr>
      <w:r>
        <w:t>9 Benefits During Leave</w:t>
      </w:r>
    </w:p>
    <w:p>
      <w:pPr>
        <w:spacing w:after="60" w:line="240" w:lineRule="auto"/>
        <w:widowControl/>
      </w:pPr>
      <w:r>
        <w:t>During FMLA leave, Northstar will maintain group health coverage on the same terms that would apply if the employee continued working. The employee must continue paying the employee share of premiums by the method and deadlines provided by People Operations. Other benefits are governed by their plan documents and the treatment of comparable non-FMLA leave.</w:t>
      </w:r>
    </w:p>
    <w:p>
      <w:pPr>
        <w:spacing w:after="60" w:line="240" w:lineRule="auto"/>
        <w:widowControl/>
      </w:pPr>
      <w:r>
        <w:t>Coverage may lapse after required notice if an employee does not make timely payments, subject to law. In limited circumstances, Northstar may recover employer-paid health premiums if the employee does not return after leave for reasons not protected by law.</w:t>
      </w:r>
    </w:p>
    <w:p>
      <w:pPr>
        <w:pStyle w:val="Heading1"/>
        <w:keepNext/>
        <w:widowControl/>
      </w:pPr>
      <w:r>
        <w:t>10 Employee Responsibilities During Leave</w:t>
      </w:r>
    </w:p>
    <w:p>
      <w:pPr>
        <w:pStyle w:val="ListBullet"/>
        <w:spacing w:after="24" w:line="240" w:lineRule="auto"/>
        <w:widowControl/>
      </w:pPr>
      <w:r>
        <w:rPr>
          <w:b/>
        </w:rPr>
        <w:t xml:space="preserve">Communication. </w:t>
      </w:r>
      <w:r>
        <w:t>Provide reasonable status and return-date updates and respond to lawful requests for information.</w:t>
      </w:r>
    </w:p>
    <w:p>
      <w:pPr>
        <w:pStyle w:val="ListBullet"/>
        <w:spacing w:after="24" w:line="240" w:lineRule="auto"/>
        <w:widowControl/>
      </w:pPr>
      <w:r>
        <w:rPr>
          <w:b/>
        </w:rPr>
        <w:t xml:space="preserve">Use of leave. </w:t>
      </w:r>
      <w:r>
        <w:t>Use leave only for the approved purpose and comply with applicable call-in and time-recording procedures.</w:t>
      </w:r>
    </w:p>
    <w:p>
      <w:pPr>
        <w:pStyle w:val="ListBullet"/>
        <w:spacing w:after="24" w:line="240" w:lineRule="auto"/>
        <w:widowControl/>
      </w:pPr>
      <w:r>
        <w:rPr>
          <w:b/>
        </w:rPr>
        <w:t xml:space="preserve">Changes. </w:t>
      </w:r>
      <w:r>
        <w:t>Notify People Operations if the condition, schedule, need for leave, or expected return date changes.</w:t>
      </w:r>
    </w:p>
    <w:p>
      <w:pPr>
        <w:pStyle w:val="ListBullet"/>
        <w:spacing w:after="24" w:line="240" w:lineRule="auto"/>
        <w:widowControl/>
      </w:pPr>
      <w:r>
        <w:rPr>
          <w:b/>
        </w:rPr>
        <w:t xml:space="preserve">Fitness for duty. </w:t>
      </w:r>
      <w:r>
        <w:t>Provide a uniformly required fitness-for-duty certification for the employee's own condition when timely notice states that one is required.</w:t>
      </w:r>
    </w:p>
    <w:p>
      <w:pPr>
        <w:pageBreakBefore/>
        <w:spacing w:before="0" w:after="220"/>
        <w:jc w:val="right"/>
        <w:widowControl/>
      </w:pPr>
      <w:r>
        <w:rPr>
          <w:rFonts w:ascii="Aptos" w:hAnsi="Aptos"/>
          <w:b/>
          <w:color w:val="0B2E59"/>
          <w:sz w:val="16"/>
        </w:rPr>
        <w:t>NORTHSTAR ANALYTICS   |   FAMILY AND MEDICAL LEAVE POLICY</w:t>
      </w:r>
    </w:p>
    <w:p>
      <w:pPr>
        <w:pStyle w:val="Heading1"/>
        <w:keepNext/>
        <w:widowControl/>
      </w:pPr>
      <w:r>
        <w:t>11 Return to Work and Restoration</w:t>
      </w:r>
    </w:p>
    <w:p>
      <w:pPr>
        <w:spacing w:after="60" w:line="240" w:lineRule="auto"/>
        <w:widowControl/>
      </w:pPr>
      <w:r>
        <w:t>An employee who timely returns from FMLA leave will generally be restored to the same position or an equivalent position with equivalent pay, benefits, and other employment terms. The employee has no greater right to continued employment or benefits than if continuously employed. Limited exceptions allowed by law, including certain key-employee rules, will be communicated in writing when applicable.</w:t>
      </w:r>
    </w:p>
    <w:p>
      <w:pPr>
        <w:pStyle w:val="Heading1"/>
        <w:keepNext/>
        <w:widowControl/>
      </w:pPr>
      <w:r>
        <w:t>12 Other Laws and Workplace Accommodations</w:t>
      </w:r>
    </w:p>
    <w:p>
      <w:pPr>
        <w:spacing w:after="60" w:line="240" w:lineRule="auto"/>
        <w:widowControl/>
      </w:pPr>
      <w:r>
        <w:t>A leave request may also involve state or local family and medical leave, pregnancy-related protections, disability accommodation, military leave, workers' compensation, or paid family and medical leave. Exhaustion of FMLA leave does not automatically end employment. People Operations will evaluate whether another leave or reasonable accommodation process applies before an employment decision is made.</w:t>
      </w:r>
    </w:p>
    <w:p>
      <w:pPr>
        <w:pStyle w:val="Heading1"/>
        <w:keepNext/>
        <w:widowControl/>
      </w:pPr>
      <w:r>
        <w:t>13 Confidentiality and Nonretaliation</w:t>
      </w:r>
    </w:p>
    <w:p>
      <w:pPr>
        <w:spacing w:after="60" w:line="240" w:lineRule="auto"/>
        <w:widowControl/>
      </w:pPr>
      <w:r>
        <w:t>Medical and leave records will be maintained confidentially and separately from general personnel records, with access limited to those who need the information for administration or as required by law. Northstar prohibits interference with FMLA rights and retaliation against anyone who requests or uses protected leave, provides information, or participates in an inquiry.</w:t>
      </w:r>
    </w:p>
    <w:p>
      <w:pPr>
        <w:pStyle w:val="Heading1"/>
        <w:keepNext/>
        <w:widowControl/>
      </w:pPr>
      <w:r>
        <w:t>14 Leave Administration Workflow</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1944"/>
            <w:vAlign w:val="center"/>
            <w:tcMar>
              <w:top w:w="75" w:type="dxa"/>
              <w:start w:w="100" w:type="dxa"/>
              <w:bottom w:w="75" w:type="dxa"/>
              <w:end w:w="100" w:type="dxa"/>
            </w:tcMar>
            <w:shd w:fill="0B2E59"/>
          </w:tcPr>
          <w:p>
            <w:pPr>
              <w:spacing w:after="0"/>
            </w:pPr>
            <w:r>
              <w:rPr>
                <w:rFonts w:ascii="Aptos" w:hAnsi="Aptos"/>
                <w:b/>
                <w:color w:val="FFFFFF"/>
                <w:sz w:val="16"/>
              </w:rPr>
              <w:t>Step</w:t>
            </w:r>
          </w:p>
        </w:tc>
        <w:tc>
          <w:tcPr>
            <w:tcW w:type="dxa" w:w="8136"/>
            <w:vAlign w:val="center"/>
            <w:tcMar>
              <w:top w:w="75" w:type="dxa"/>
              <w:start w:w="100" w:type="dxa"/>
              <w:bottom w:w="75" w:type="dxa"/>
              <w:end w:w="100" w:type="dxa"/>
            </w:tcMar>
            <w:shd w:fill="0B2E59"/>
          </w:tcPr>
          <w:p>
            <w:pPr>
              <w:spacing w:after="0"/>
            </w:pPr>
            <w:r>
              <w:rPr>
                <w:rFonts w:ascii="Aptos" w:hAnsi="Aptos"/>
                <w:b/>
                <w:color w:val="FFFFFF"/>
                <w:sz w:val="16"/>
              </w:rPr>
              <w:t>Required action</w:t>
            </w:r>
          </w:p>
        </w:tc>
      </w:tr>
      <w:tr>
        <w:tc>
          <w:tcPr>
            <w:tcW w:type="dxa" w:w="1944"/>
            <w:vAlign w:val="center"/>
            <w:tcMar>
              <w:top w:w="75" w:type="dxa"/>
              <w:start w:w="100" w:type="dxa"/>
              <w:bottom w:w="75" w:type="dxa"/>
              <w:end w:w="100" w:type="dxa"/>
            </w:tcMar>
          </w:tcPr>
          <w:p>
            <w:pPr>
              <w:spacing w:after="0" w:line="240" w:lineRule="auto"/>
            </w:pPr>
            <w:r>
              <w:rPr>
                <w:rFonts w:ascii="Aptos" w:hAnsi="Aptos"/>
                <w:sz w:val="16"/>
              </w:rPr>
              <w:t>1 Notify</w:t>
            </w:r>
          </w:p>
        </w:tc>
        <w:tc>
          <w:tcPr>
            <w:tcW w:type="dxa" w:w="8136"/>
            <w:vAlign w:val="center"/>
            <w:tcMar>
              <w:top w:w="75" w:type="dxa"/>
              <w:start w:w="100" w:type="dxa"/>
              <w:bottom w:w="75" w:type="dxa"/>
              <w:end w:w="100" w:type="dxa"/>
            </w:tcMar>
          </w:tcPr>
          <w:p>
            <w:pPr>
              <w:spacing w:after="0" w:line="240" w:lineRule="auto"/>
            </w:pPr>
            <w:r>
              <w:rPr>
                <w:rFonts w:ascii="Aptos" w:hAnsi="Aptos"/>
                <w:sz w:val="16"/>
              </w:rPr>
              <w:t>Employee reports the potential need for leave and provides the expected timing and duration.</w:t>
            </w:r>
          </w:p>
        </w:tc>
      </w:tr>
      <w:tr>
        <w:tc>
          <w:tcPr>
            <w:tcW w:type="dxa" w:w="1944"/>
            <w:vAlign w:val="center"/>
            <w:tcMar>
              <w:top w:w="75" w:type="dxa"/>
              <w:start w:w="100" w:type="dxa"/>
              <w:bottom w:w="75" w:type="dxa"/>
              <w:end w:w="100" w:type="dxa"/>
            </w:tcMar>
            <w:shd w:fill="EAF4F8"/>
          </w:tcPr>
          <w:p>
            <w:pPr>
              <w:spacing w:after="0" w:line="240" w:lineRule="auto"/>
            </w:pPr>
            <w:r>
              <w:rPr>
                <w:rFonts w:ascii="Aptos" w:hAnsi="Aptos"/>
                <w:sz w:val="16"/>
              </w:rPr>
              <w:t>2 Assess</w:t>
            </w:r>
          </w:p>
        </w:tc>
        <w:tc>
          <w:tcPr>
            <w:tcW w:type="dxa" w:w="8136"/>
            <w:vAlign w:val="center"/>
            <w:tcMar>
              <w:top w:w="75" w:type="dxa"/>
              <w:start w:w="100" w:type="dxa"/>
              <w:bottom w:w="75" w:type="dxa"/>
              <w:end w:w="100" w:type="dxa"/>
            </w:tcMar>
            <w:shd w:fill="EAF4F8"/>
          </w:tcPr>
          <w:p>
            <w:pPr>
              <w:spacing w:after="0" w:line="240" w:lineRule="auto"/>
            </w:pPr>
            <w:r>
              <w:rPr>
                <w:rFonts w:ascii="Aptos" w:hAnsi="Aptos"/>
                <w:sz w:val="16"/>
              </w:rPr>
              <w:t>People Operations reviews coverage and eligibility and provides required notices and forms.</w:t>
            </w:r>
          </w:p>
        </w:tc>
      </w:tr>
      <w:tr>
        <w:tc>
          <w:tcPr>
            <w:tcW w:type="dxa" w:w="1944"/>
            <w:vAlign w:val="center"/>
            <w:tcMar>
              <w:top w:w="75" w:type="dxa"/>
              <w:start w:w="100" w:type="dxa"/>
              <w:bottom w:w="75" w:type="dxa"/>
              <w:end w:w="100" w:type="dxa"/>
            </w:tcMar>
          </w:tcPr>
          <w:p>
            <w:pPr>
              <w:spacing w:after="0" w:line="240" w:lineRule="auto"/>
            </w:pPr>
            <w:r>
              <w:rPr>
                <w:rFonts w:ascii="Aptos" w:hAnsi="Aptos"/>
                <w:sz w:val="16"/>
              </w:rPr>
              <w:t>3 Certify</w:t>
            </w:r>
          </w:p>
        </w:tc>
        <w:tc>
          <w:tcPr>
            <w:tcW w:type="dxa" w:w="8136"/>
            <w:vAlign w:val="center"/>
            <w:tcMar>
              <w:top w:w="75" w:type="dxa"/>
              <w:start w:w="100" w:type="dxa"/>
              <w:bottom w:w="75" w:type="dxa"/>
              <w:end w:w="100" w:type="dxa"/>
            </w:tcMar>
          </w:tcPr>
          <w:p>
            <w:pPr>
              <w:spacing w:after="0" w:line="240" w:lineRule="auto"/>
            </w:pPr>
            <w:r>
              <w:rPr>
                <w:rFonts w:ascii="Aptos" w:hAnsi="Aptos"/>
                <w:sz w:val="16"/>
              </w:rPr>
              <w:t>Employee returns complete supporting information by the stated deadline or requests additional time when permitted.</w:t>
            </w:r>
          </w:p>
        </w:tc>
      </w:tr>
      <w:tr>
        <w:tc>
          <w:tcPr>
            <w:tcW w:type="dxa" w:w="1944"/>
            <w:vAlign w:val="center"/>
            <w:tcMar>
              <w:top w:w="75" w:type="dxa"/>
              <w:start w:w="100" w:type="dxa"/>
              <w:bottom w:w="75" w:type="dxa"/>
              <w:end w:w="100" w:type="dxa"/>
            </w:tcMar>
            <w:shd w:fill="EAF4F8"/>
          </w:tcPr>
          <w:p>
            <w:pPr>
              <w:spacing w:after="0" w:line="240" w:lineRule="auto"/>
            </w:pPr>
            <w:r>
              <w:rPr>
                <w:rFonts w:ascii="Aptos" w:hAnsi="Aptos"/>
                <w:sz w:val="16"/>
              </w:rPr>
              <w:t>4 Designate</w:t>
            </w:r>
          </w:p>
        </w:tc>
        <w:tc>
          <w:tcPr>
            <w:tcW w:type="dxa" w:w="8136"/>
            <w:vAlign w:val="center"/>
            <w:tcMar>
              <w:top w:w="75" w:type="dxa"/>
              <w:start w:w="100" w:type="dxa"/>
              <w:bottom w:w="75" w:type="dxa"/>
              <w:end w:w="100" w:type="dxa"/>
            </w:tcMar>
            <w:shd w:fill="EAF4F8"/>
          </w:tcPr>
          <w:p>
            <w:pPr>
              <w:spacing w:after="0" w:line="240" w:lineRule="auto"/>
            </w:pPr>
            <w:r>
              <w:rPr>
                <w:rFonts w:ascii="Aptos" w:hAnsi="Aptos"/>
                <w:sz w:val="16"/>
              </w:rPr>
              <w:t>People Operations confirms whether leave is protected and explains pay, benefits, reporting, and leave accounting.</w:t>
            </w:r>
          </w:p>
        </w:tc>
      </w:tr>
      <w:tr>
        <w:tc>
          <w:tcPr>
            <w:tcW w:type="dxa" w:w="1944"/>
            <w:vAlign w:val="center"/>
            <w:tcMar>
              <w:top w:w="75" w:type="dxa"/>
              <w:start w:w="100" w:type="dxa"/>
              <w:bottom w:w="75" w:type="dxa"/>
              <w:end w:w="100" w:type="dxa"/>
            </w:tcMar>
          </w:tcPr>
          <w:p>
            <w:pPr>
              <w:spacing w:after="0" w:line="240" w:lineRule="auto"/>
            </w:pPr>
            <w:r>
              <w:rPr>
                <w:rFonts w:ascii="Aptos" w:hAnsi="Aptos"/>
                <w:sz w:val="16"/>
              </w:rPr>
              <w:t>5 Return</w:t>
            </w:r>
          </w:p>
        </w:tc>
        <w:tc>
          <w:tcPr>
            <w:tcW w:type="dxa" w:w="8136"/>
            <w:vAlign w:val="center"/>
            <w:tcMar>
              <w:top w:w="75" w:type="dxa"/>
              <w:start w:w="100" w:type="dxa"/>
              <w:bottom w:w="75" w:type="dxa"/>
              <w:end w:w="100" w:type="dxa"/>
            </w:tcMar>
          </w:tcPr>
          <w:p>
            <w:pPr>
              <w:spacing w:after="0" w:line="240" w:lineRule="auto"/>
            </w:pPr>
            <w:r>
              <w:rPr>
                <w:rFonts w:ascii="Aptos" w:hAnsi="Aptos"/>
                <w:sz w:val="16"/>
              </w:rPr>
              <w:t>Employee confirms the return date and provides any required fitness-for-duty documentation.</w:t>
            </w:r>
          </w:p>
        </w:tc>
      </w:tr>
    </w:tbl>
    <w:p>
      <w:pPr>
        <w:spacing w:after="0"/>
      </w:pPr>
    </w:p>
    <w:p>
      <w:pPr>
        <w:pStyle w:val="Heading1"/>
        <w:keepNext/>
        <w:widowControl/>
      </w:pPr>
      <w:r>
        <w:t>15 Administration and Related Documents</w:t>
      </w:r>
    </w:p>
    <w:p>
      <w:pPr>
        <w:spacing w:after="60" w:line="240" w:lineRule="auto"/>
        <w:widowControl/>
      </w:pPr>
      <w:r>
        <w:t>Questions and leave requests should be directed to People Operations. Managers must promptly refer potential family or medical leave issues and may not request diagnoses, discourage leave, promise approval, or retaliate. Suspected misuse will be reviewed based on facts and handled consistently with law and Northstar policy.</w:t>
      </w:r>
    </w:p>
    <w:p>
      <w:pPr>
        <w:spacing w:after="60" w:line="240" w:lineRule="auto"/>
        <w:widowControl/>
      </w:pPr>
      <w:r>
        <w:t>Related documents include the Employee Handbook; Paid Time Off Policy; Benefits Eligibility and Enrollment Procedure; Leave of Absence Procedure; Remote and Hybrid Work Policy; Information Security and Acceptable Use Policy; and applicable benefit plan documents and federal, state, and local notices.</w:t>
      </w:r>
    </w:p>
    <w:sectPr w:rsidR="00FC693F" w:rsidRPr="0006063C" w:rsidSect="00034616">
      <w:pgSz w:w="12240" w:h="15840"/>
      <w:pgMar w:top="835" w:right="1037" w:bottom="835" w:left="1037"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color w:val="26344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ptos Display" w:hAnsi="Aptos Display"/>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70" w:after="30"/>
      <w:outlineLvl w:val="1"/>
    </w:pPr>
    <w:rPr>
      <w:rFonts w:asciiTheme="majorHAnsi" w:eastAsiaTheme="majorEastAsia" w:hAnsiTheme="majorHAnsi" w:cstheme="majorBidi" w:ascii="Aptos Display" w:hAnsi="Aptos Display"/>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7FD841FC6CB714D9E4CE7F4241874E8" ma:contentTypeVersion="18" ma:contentTypeDescription="Create a new document." ma:contentTypeScope="" ma:versionID="25f6662a12cfda61a915c2e747a709c5">
  <xsd:schema xmlns:xsd="http://www.w3.org/2001/XMLSchema" xmlns:xs="http://www.w3.org/2001/XMLSchema" xmlns:p="http://schemas.microsoft.com/office/2006/metadata/properties" xmlns:ns2="c853ee15-1d9d-438f-87f3-791cb84d622e" xmlns:ns3="110aadb1-612e-4dab-8f83-303f0b1eadee" targetNamespace="http://schemas.microsoft.com/office/2006/metadata/properties" ma:root="true" ma:fieldsID="5edf4d0162f729654ea64ac1793df616" ns2:_="" ns3:_="">
    <xsd:import namespace="c853ee15-1d9d-438f-87f3-791cb84d622e"/>
    <xsd:import namespace="110aadb1-612e-4dab-8f83-303f0b1eade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53ee15-1d9d-438f-87f3-791cb84d62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a8470d6d-5c81-48ea-892f-8c469a46a81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10aadb1-612e-4dab-8f83-303f0b1ead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ef429d54-ae46-425d-89c5-6f1560174663}" ma:internalName="TaxCatchAll" ma:showField="CatchAllData" ma:web="110aadb1-612e-4dab-8f83-303f0b1ead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10aadb1-612e-4dab-8f83-303f0b1eadee" xsi:nil="true"/>
    <lcf76f155ced4ddcb4097134ff3c332f xmlns="c853ee15-1d9d-438f-87f3-791cb84d62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3D9DE9A-DAA8-4A12-AC68-B3A4DF64CBAA}"/>
</file>

<file path=customXml/itemProps3.xml><?xml version="1.0" encoding="utf-8"?>
<ds:datastoreItem xmlns:ds="http://schemas.openxmlformats.org/officeDocument/2006/customXml" ds:itemID="{B3698AD7-C3C5-46D1-B8A3-E43C8BEFDD50}"/>
</file>

<file path=customXml/itemProps4.xml><?xml version="1.0" encoding="utf-8"?>
<ds:datastoreItem xmlns:ds="http://schemas.openxmlformats.org/officeDocument/2006/customXml" ds:itemID="{47A5FE15-EED8-4106-9C9F-2F7C390453C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Northstar Analytics Family and Medical Leave Policy</dc:title>
  <dc:subject>Protected leave eligibility administration benefits and return to work</dc:subject>
  <dc:creator>Northstar Analytics</dc:creator>
  <cp:keywords>FMLA, family leave, medical leave, military caregiver, job restoration, benefits, Northstar Analytics</cp:keywords>
  <dc:description>Version 1.0</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0x01010087FD841FC6CB714D9E4CE7F4241874E8</vt:lpwstr>
  </property>
  <property fmtid="{D5CDD505-2E9C-101B-9397-08002B2CF9AE}" pid="4" name="docLang">
    <vt:lpwstr>en</vt:lpwstr>
  </property>
  <property fmtid="{D5CDD505-2E9C-101B-9397-08002B2CF9AE}" pid="5" name="MediaServiceImageTags">
    <vt:lpwstr/>
  </property>
</Properties>
</file>