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4B2FB8"/>
          <w:sz w:val="52"/>
          <w:szCs w:val="52"/>
        </w:rPr>
        <w:t xml:space="preserve">VELCRO WALLET LLC</w:t>
      </w:r>
    </w:p>
    <w:p>
      <w:pPr>
        <w:spacing w:after="60" w:before="0"/>
      </w:pPr>
      <w:r>
        <w:rPr>
          <w:rFonts w:ascii="Arial" w:cs="Arial" w:eastAsia="Arial" w:hAnsi="Arial"/>
          <w:i/>
          <w:iCs/>
          <w:color w:val="555555"/>
          <w:sz w:val="32"/>
          <w:szCs w:val="32"/>
        </w:rPr>
        <w:t xml:space="preserve">Investor &amp; Funding Overview</w:t>
      </w:r>
    </w:p>
    <w:p>
      <w:pPr>
        <w:spacing w:after="300" w:before="0"/>
      </w:pPr>
      <w:r>
        <w:rPr>
          <w:rFonts w:ascii="Arial" w:cs="Arial" w:eastAsia="Arial" w:hAnsi="Arial"/>
          <w:b/>
          <w:bCs/>
          <w:color w:val="D85A30"/>
          <w:sz w:val="18"/>
          <w:szCs w:val="18"/>
        </w:rPr>
        <w:t xml:space="preserve">CONFIDENTIAL — For Authorized Recipients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EEFF" w:val="clear"/>
            <w:tcMar>
              <w:top w:type="dxa" w:w="80"/>
              <w:left w:type="dxa" w:w="160"/>
              <w:bottom w:type="dxa" w:w="80"/>
              <w:right w:type="dxa" w:w="80"/>
            </w:tcMar>
          </w:tcPr>
          <w:p>
            <w:r>
              <w:rPr>
                <w:rFonts w:ascii="Arial" w:cs="Arial" w:eastAsia="Arial" w:hAnsi="Arial"/>
                <w:b/>
                <w:bCs/>
                <w:color w:val="4B2FB8"/>
                <w:sz w:val="20"/>
                <w:szCs w:val="20"/>
              </w:rPr>
              <w:t xml:space="preserve">Contact</w:t>
            </w:r>
          </w:p>
        </w:tc>
        <w:tc>
          <w:tcPr>
            <w:tcW w:type="dxa" w:w="65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tcPr>
          <w:p>
            <w:r>
              <w:rPr>
                <w:rFonts w:ascii="Arial" w:cs="Arial" w:eastAsia="Arial" w:hAnsi="Arial"/>
                <w:color w:val="333333"/>
                <w:sz w:val="20"/>
                <w:szCs w:val="20"/>
              </w:rPr>
              <w:t xml:space="preserve">lara@loveconcursall.com · velcro.dev</w:t>
            </w:r>
          </w:p>
        </w:tc>
      </w:tr>
      <w:tr>
        <w:tc>
          <w:tcPr>
            <w:tcW w:type="dxa" w:w="2800"/>
            <w:tcBorders>
              <w:top w:val="single" w:color="DDDDDD" w:sz="1"/>
              <w:left w:val="single" w:color="DDDDDD" w:sz="1"/>
              <w:bottom w:val="single" w:color="DDDDDD" w:sz="1"/>
              <w:right w:val="single" w:color="DDDDDD" w:sz="1"/>
            </w:tcBorders>
            <w:shd w:fill="F0EEFF" w:val="clear"/>
            <w:tcMar>
              <w:top w:type="dxa" w:w="80"/>
              <w:left w:type="dxa" w:w="160"/>
              <w:bottom w:type="dxa" w:w="80"/>
              <w:right w:type="dxa" w:w="80"/>
            </w:tcMar>
          </w:tcPr>
          <w:p>
            <w:r>
              <w:rPr>
                <w:rFonts w:ascii="Arial" w:cs="Arial" w:eastAsia="Arial" w:hAnsi="Arial"/>
                <w:b/>
                <w:bCs/>
                <w:color w:val="555555"/>
                <w:sz w:val="20"/>
                <w:szCs w:val="20"/>
              </w:rPr>
              <w:t xml:space="preserve">Entity</w:t>
            </w:r>
          </w:p>
        </w:tc>
        <w:tc>
          <w:tcPr>
            <w:tcW w:type="dxa" w:w="65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tcPr>
          <w:p>
            <w:r>
              <w:rPr>
                <w:rFonts w:ascii="Arial" w:cs="Arial" w:eastAsia="Arial" w:hAnsi="Arial"/>
                <w:color w:val="333333"/>
                <w:sz w:val="20"/>
                <w:szCs w:val="20"/>
              </w:rPr>
              <w:t xml:space="preserve">Velcro Wallet LLC · Wyoming Limited Liability Company</w:t>
            </w:r>
          </w:p>
        </w:tc>
      </w:tr>
      <w:tr>
        <w:tc>
          <w:tcPr>
            <w:tcW w:type="dxa" w:w="2800"/>
            <w:tcBorders>
              <w:top w:val="single" w:color="DDDDDD" w:sz="1"/>
              <w:left w:val="single" w:color="DDDDDD" w:sz="1"/>
              <w:bottom w:val="single" w:color="DDDDDD" w:sz="1"/>
              <w:right w:val="single" w:color="DDDDDD" w:sz="1"/>
            </w:tcBorders>
            <w:shd w:fill="F0EEFF" w:val="clear"/>
            <w:tcMar>
              <w:top w:type="dxa" w:w="80"/>
              <w:left w:type="dxa" w:w="160"/>
              <w:bottom w:type="dxa" w:w="80"/>
              <w:right w:type="dxa" w:w="80"/>
            </w:tcMar>
          </w:tcPr>
          <w:p>
            <w:r>
              <w:rPr>
                <w:rFonts w:ascii="Arial" w:cs="Arial" w:eastAsia="Arial" w:hAnsi="Arial"/>
                <w:b/>
                <w:bCs/>
                <w:color w:val="1D9E75"/>
                <w:sz w:val="20"/>
                <w:szCs w:val="20"/>
              </w:rPr>
              <w:t xml:space="preserve">Stage</w:t>
            </w:r>
          </w:p>
        </w:tc>
        <w:tc>
          <w:tcPr>
            <w:tcW w:type="dxa" w:w="65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tcPr>
          <w:p>
            <w:r>
              <w:rPr>
                <w:rFonts w:ascii="Arial" w:cs="Arial" w:eastAsia="Arial" w:hAnsi="Arial"/>
                <w:color w:val="333333"/>
                <w:sz w:val="20"/>
                <w:szCs w:val="20"/>
              </w:rPr>
              <w:t xml:space="preserve">Active V1 development · Patents filed · Trademarks prepared</w:t>
            </w:r>
          </w:p>
        </w:tc>
      </w:tr>
      <w:tr>
        <w:tc>
          <w:tcPr>
            <w:tcW w:type="dxa" w:w="2800"/>
            <w:tcBorders>
              <w:top w:val="single" w:color="DDDDDD" w:sz="1"/>
              <w:left w:val="single" w:color="DDDDDD" w:sz="1"/>
              <w:bottom w:val="single" w:color="DDDDDD" w:sz="1"/>
              <w:right w:val="single" w:color="DDDDDD" w:sz="1"/>
            </w:tcBorders>
            <w:shd w:fill="F0EEFF" w:val="clear"/>
            <w:tcMar>
              <w:top w:type="dxa" w:w="80"/>
              <w:left w:type="dxa" w:w="160"/>
              <w:bottom w:type="dxa" w:w="80"/>
              <w:right w:type="dxa" w:w="80"/>
            </w:tcMar>
          </w:tcPr>
          <w:p>
            <w:r>
              <w:rPr>
                <w:rFonts w:ascii="Arial" w:cs="Arial" w:eastAsia="Arial" w:hAnsi="Arial"/>
                <w:b/>
                <w:bCs/>
                <w:color w:val="4B2FB8"/>
                <w:sz w:val="20"/>
                <w:szCs w:val="20"/>
              </w:rPr>
              <w:t xml:space="preserve">Seed Ask</w:t>
            </w:r>
          </w:p>
        </w:tc>
        <w:tc>
          <w:tcPr>
            <w:tcW w:type="dxa" w:w="65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tcPr>
          <w:p>
            <w:r>
              <w:rPr>
                <w:rFonts w:ascii="Arial" w:cs="Arial" w:eastAsia="Arial" w:hAnsi="Arial"/>
                <w:color w:val="333333"/>
                <w:sz w:val="20"/>
                <w:szCs w:val="20"/>
              </w:rPr>
              <w:t xml:space="preserve">$150K infrastructure grant · $3.5M Phase 3 target</w:t>
            </w:r>
          </w:p>
        </w:tc>
      </w:tr>
      <w:tr>
        <w:tc>
          <w:tcPr>
            <w:tcW w:type="dxa" w:w="2800"/>
            <w:tcBorders>
              <w:top w:val="single" w:color="DDDDDD" w:sz="1"/>
              <w:left w:val="single" w:color="DDDDDD" w:sz="1"/>
              <w:bottom w:val="single" w:color="DDDDDD" w:sz="1"/>
              <w:right w:val="single" w:color="DDDDDD" w:sz="1"/>
            </w:tcBorders>
            <w:shd w:fill="F0EEFF" w:val="clear"/>
            <w:tcMar>
              <w:top w:type="dxa" w:w="80"/>
              <w:left w:type="dxa" w:w="160"/>
              <w:bottom w:type="dxa" w:w="80"/>
              <w:right w:type="dxa" w:w="80"/>
            </w:tcMar>
          </w:tcPr>
          <w:p>
            <w:r>
              <w:rPr>
                <w:rFonts w:ascii="Arial" w:cs="Arial" w:eastAsia="Arial" w:hAnsi="Arial"/>
                <w:b/>
                <w:bCs/>
                <w:color w:val="555555"/>
                <w:sz w:val="20"/>
                <w:szCs w:val="20"/>
              </w:rPr>
              <w:t xml:space="preserve">Document Vault</w:t>
            </w:r>
          </w:p>
        </w:tc>
        <w:tc>
          <w:tcPr>
            <w:tcW w:type="dxa" w:w="65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tcPr>
          <w:p>
            <w:r>
              <w:rPr>
                <w:rFonts w:ascii="Arial" w:cs="Arial" w:eastAsia="Arial" w:hAnsi="Arial"/>
                <w:color w:val="333333"/>
                <w:sz w:val="20"/>
                <w:szCs w:val="20"/>
              </w:rPr>
              <w:t xml:space="preserve">velcro.dev/documents · Access key: VLCR2026</w:t>
            </w:r>
          </w:p>
        </w:tc>
      </w:tr>
    </w:tbl>
    <w:p>
      <w:pPr>
        <w:spacing w:after="0" w:before="160"/>
      </w:pPr>
      <w:r>
        <w:t xml:space="preserve"/>
      </w:r>
    </w:p>
    <w:p>
      <w:pPr>
        <w:pBdr>
          <w:bottom w:val="single" w:color="4B2FB8" w:sz="6" w:space="6"/>
        </w:pBdr>
        <w:spacing w:after="200" w:before="400"/>
      </w:pPr>
      <w:r>
        <w:rPr>
          <w:rFonts w:ascii="Arial" w:cs="Arial" w:eastAsia="Arial" w:hAnsi="Arial"/>
          <w:b/>
          <w:bCs/>
          <w:color w:val="0A0618"/>
          <w:sz w:val="32"/>
          <w:szCs w:val="32"/>
        </w:rPr>
        <w:t xml:space="preserve">1. Executive Summary</w:t>
      </w:r>
    </w:p>
    <w:p>
      <w:pPr>
        <w:spacing w:after="120" w:before="60"/>
        <w:jc w:val="both"/>
      </w:pPr>
      <w:r>
        <w:rPr>
          <w:rFonts w:ascii="Arial" w:cs="Arial" w:eastAsia="Arial" w:hAnsi="Arial"/>
          <w:color w:val="222222"/>
          <w:sz w:val="22"/>
          <w:szCs w:val="22"/>
        </w:rPr>
        <w:t xml:space="preserve">Velcro Wallet is a non-custodial AI-powered crypto and fiat wallet that makes blockchain finance accessible to everyday users without sacrificing sovereignty or security. Built on the Vela Protocol developer infrastructure, the wallet deploys a six-agent AI coordination stack that analyzes every transaction before the user signs — surfacing risk, explaining mechanics, and presenting recommendations in plain language calibrated to the user’s financial literacy level.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4B2FB8" w:sz="20"/>
              <w:bottom w:val="single" w:color="DDDDDD" w:sz="1"/>
              <w:right w:val="single" w:color="DDDDDD" w:sz="1"/>
            </w:tcBorders>
            <w:shd w:fill="F0EEFF" w:val="clear"/>
            <w:tcMar>
              <w:top w:type="dxa" w:w="140"/>
              <w:left w:type="dxa" w:w="240"/>
              <w:bottom w:type="dxa" w:w="140"/>
              <w:right w:type="dxa" w:w="160"/>
            </w:tcMar>
          </w:tcPr>
          <w:p>
            <w:pPr>
              <w:jc w:val="both"/>
            </w:pPr>
            <w:r>
              <w:rPr>
                <w:rFonts w:ascii="Arial" w:cs="Arial" w:eastAsia="Arial" w:hAnsi="Arial"/>
                <w:i/>
                <w:iCs/>
                <w:color w:val="333333"/>
                <w:sz w:val="21"/>
                <w:szCs w:val="21"/>
              </w:rPr>
              <w:t xml:space="preserve">The core architectural principle: the AI advises. The human executes. Always. That boundary is enforced by design, not by policy, and it is the foundation of everything we build.</w:t>
            </w:r>
          </w:p>
        </w:tc>
      </w:tr>
    </w:tbl>
    <w:p>
      <w:pPr>
        <w:spacing w:after="0" w:before="80"/>
      </w:pPr>
      <w:r>
        <w:t xml:space="preserve"/>
      </w:r>
    </w:p>
    <w:p>
      <w:pPr>
        <w:spacing w:after="120" w:before="60"/>
        <w:jc w:val="both"/>
      </w:pPr>
      <w:r>
        <w:rPr>
          <w:rFonts w:ascii="Arial" w:cs="Arial" w:eastAsia="Arial" w:hAnsi="Arial"/>
          <w:color w:val="222222"/>
          <w:sz w:val="22"/>
          <w:szCs w:val="22"/>
        </w:rPr>
        <w:t xml:space="preserve">The Stanford AI Index 2026 confirms what we have known since day one: organizational AI adoption has reached 88%, model performance gaps have collapsed to 3% between top labs, and the competitive moat has shifted from capability to architecture. Velcro is that architecture — for financial AI.</w:t>
      </w:r>
    </w:p>
    <w:p>
      <w:pPr>
        <w:spacing w:after="0" w:before="160"/>
      </w:pPr>
      <w:r>
        <w:t xml:space="preserve"/>
      </w:r>
    </w:p>
    <w:p>
      <w:pPr>
        <w:pBdr>
          <w:bottom w:val="single" w:color="4B2FB8" w:sz="6" w:space="6"/>
        </w:pBdr>
        <w:spacing w:after="200" w:before="400"/>
      </w:pPr>
      <w:r>
        <w:rPr>
          <w:rFonts w:ascii="Arial" w:cs="Arial" w:eastAsia="Arial" w:hAnsi="Arial"/>
          <w:b/>
          <w:bCs/>
          <w:color w:val="0A0618"/>
          <w:sz w:val="32"/>
          <w:szCs w:val="32"/>
        </w:rPr>
        <w:t xml:space="preserve">2. The Problem</w:t>
      </w:r>
    </w:p>
    <w:p>
      <w:pPr>
        <w:spacing w:after="120" w:before="60"/>
        <w:jc w:val="both"/>
      </w:pPr>
      <w:r>
        <w:rPr>
          <w:rFonts w:ascii="Arial" w:cs="Arial" w:eastAsia="Arial" w:hAnsi="Arial"/>
          <w:color w:val="222222"/>
          <w:sz w:val="22"/>
          <w:szCs w:val="22"/>
        </w:rPr>
        <w:t xml:space="preserve">Crypto promised financial sovereignty. Non-custodial wallets were supposed to deliver it. But the AI layer that makes crypto usable for everyday people — the layer that explains what a transaction does, flags risky contracts, surfaces counterparty risk — that layer is still rented. Still running on someone else’s terms, someone else’s servers, someone else’s judgment about what users should know.</w:t>
      </w:r>
    </w:p>
    <w:p>
      <w:pPr>
        <w:spacing w:after="120" w:before="60"/>
        <w:jc w:val="both"/>
      </w:pPr>
      <w:r>
        <w:rPr>
          <w:rFonts w:ascii="Arial" w:cs="Arial" w:eastAsia="Arial" w:hAnsi="Arial"/>
          <w:color w:val="222222"/>
          <w:sz w:val="22"/>
          <w:szCs w:val="22"/>
        </w:rPr>
        <w:t xml:space="preserve">The consumer crypto market has bifurcated into two layers that most wallets fail to bridge:</w:t>
      </w:r>
    </w:p>
    <w:p>
      <w:pPr>
        <w:spacing w:after="0" w:before="80"/>
      </w:pPr>
      <w:r>
        <w:t xml:space="preserve"/>
      </w:r>
    </w:p>
    <w:p>
      <w:pPr>
        <w:pStyle w:val="ListParagraph"/>
        <w:numPr>
          <w:ilvl w:val="0"/>
          <w:numId w:val="2"/>
        </w:numPr>
        <w:spacing w:after="40" w:before="40"/>
      </w:pPr>
      <w:r>
        <w:rPr>
          <w:rFonts w:ascii="Arial" w:cs="Arial" w:eastAsia="Arial" w:hAnsi="Arial"/>
          <w:b/>
          <w:bCs/>
          <w:color w:val="4B2FB8"/>
          <w:sz w:val="21"/>
          <w:szCs w:val="21"/>
        </w:rPr>
        <w:t xml:space="preserve">The Institutional Layer — </w:t>
      </w:r>
      <w:r>
        <w:rPr>
          <w:rFonts w:ascii="Arial" w:cs="Arial" w:eastAsia="Arial" w:hAnsi="Arial"/>
          <w:color w:val="333333"/>
          <w:sz w:val="21"/>
          <w:szCs w:val="21"/>
        </w:rPr>
        <w:t xml:space="preserve">Regulated, compliance-driven, stablecoins settling value at scale.</w:t>
      </w:r>
    </w:p>
    <w:p>
      <w:pPr>
        <w:pStyle w:val="ListParagraph"/>
        <w:numPr>
          <w:ilvl w:val="0"/>
          <w:numId w:val="2"/>
        </w:numPr>
        <w:spacing w:after="40" w:before="40"/>
      </w:pPr>
      <w:r>
        <w:rPr>
          <w:rFonts w:ascii="Arial" w:cs="Arial" w:eastAsia="Arial" w:hAnsi="Arial"/>
          <w:b/>
          <w:bCs/>
          <w:color w:val="1D9E75"/>
          <w:sz w:val="21"/>
          <w:szCs w:val="21"/>
        </w:rPr>
        <w:t xml:space="preserve">The Open Layer — </w:t>
      </w:r>
      <w:r>
        <w:rPr>
          <w:rFonts w:ascii="Arial" w:cs="Arial" w:eastAsia="Arial" w:hAnsi="Arial"/>
          <w:color w:val="333333"/>
          <w:sz w:val="21"/>
          <w:szCs w:val="21"/>
        </w:rPr>
        <w:t xml:space="preserve">Permissionless, composable, where anyone with $100 can provide liquidity, earn yield, or act like a bank.</w:t>
      </w:r>
    </w:p>
    <w:p>
      <w:pPr>
        <w:spacing w:after="0" w:before="80"/>
      </w:pPr>
      <w:r>
        <w:t xml:space="preserve"/>
      </w:r>
    </w:p>
    <w:p>
      <w:pPr>
        <w:spacing w:after="120" w:before="60"/>
        <w:jc w:val="both"/>
      </w:pPr>
      <w:r>
        <w:rPr>
          <w:rFonts w:ascii="Arial" w:cs="Arial" w:eastAsia="Arial" w:hAnsi="Arial"/>
          <w:color w:val="222222"/>
          <w:sz w:val="22"/>
          <w:szCs w:val="22"/>
        </w:rPr>
        <w:t xml:space="preserve">Most wallets pick a side. Users get either a locked-down custodial product with guardrails, or a raw DeFi interface that assumes expertise they don’t have. Neither serves the billion people who need financial tools but have been priced out, locked out, or left behind by both legacy banking and first-generation crypto.</w:t>
      </w:r>
    </w:p>
    <w:p>
      <w:pPr>
        <w:spacing w:after="0" w:before="160"/>
      </w:pPr>
      <w:r>
        <w:t xml:space="preserve"/>
      </w:r>
    </w:p>
    <w:p>
      <w:pPr>
        <w:pBdr>
          <w:bottom w:val="single" w:color="4B2FB8" w:sz="6" w:space="6"/>
        </w:pBdr>
        <w:spacing w:after="200" w:before="400"/>
      </w:pPr>
      <w:r>
        <w:rPr>
          <w:rFonts w:ascii="Arial" w:cs="Arial" w:eastAsia="Arial" w:hAnsi="Arial"/>
          <w:b/>
          <w:bCs/>
          <w:color w:val="0A0618"/>
          <w:sz w:val="32"/>
          <w:szCs w:val="32"/>
        </w:rPr>
        <w:t xml:space="preserve">3. The Product</w:t>
      </w:r>
    </w:p>
    <w:p>
      <w:pPr>
        <w:spacing w:after="120" w:before="280"/>
      </w:pPr>
      <w:r>
        <w:rPr>
          <w:rFonts w:ascii="Arial" w:cs="Arial" w:eastAsia="Arial" w:hAnsi="Arial"/>
          <w:b/>
          <w:bCs/>
          <w:color w:val="2D1A8A"/>
          <w:sz w:val="26"/>
          <w:szCs w:val="26"/>
        </w:rPr>
        <w:t xml:space="preserve">3.1 Three Wallet Modes</w:t>
      </w:r>
    </w:p>
    <w:p>
      <w:pPr>
        <w:spacing w:after="120" w:before="60"/>
        <w:jc w:val="both"/>
      </w:pPr>
      <w:r>
        <w:rPr>
          <w:rFonts w:ascii="Arial" w:cs="Arial" w:eastAsia="Arial" w:hAnsi="Arial"/>
          <w:color w:val="222222"/>
          <w:sz w:val="22"/>
          <w:szCs w:val="22"/>
        </w:rPr>
        <w:t xml:space="preserve">Velcro Wallet presents three interface modes that meet users where they are: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EEFF" w:val="clear"/>
            <w:tcMar>
              <w:top w:type="dxa" w:w="80"/>
              <w:left w:type="dxa" w:w="160"/>
              <w:bottom w:type="dxa" w:w="80"/>
              <w:right w:type="dxa" w:w="80"/>
            </w:tcMar>
          </w:tcPr>
          <w:p>
            <w:r>
              <w:rPr>
                <w:rFonts w:ascii="Arial" w:cs="Arial" w:eastAsia="Arial" w:hAnsi="Arial"/>
                <w:b/>
                <w:bCs/>
                <w:color w:val="1D9E75"/>
                <w:sz w:val="20"/>
                <w:szCs w:val="20"/>
              </w:rPr>
              <w:t xml:space="preserve">Everyday Mode</w:t>
            </w:r>
          </w:p>
        </w:tc>
        <w:tc>
          <w:tcPr>
            <w:tcW w:type="dxa" w:w="65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tcPr>
          <w:p>
            <w:r>
              <w:rPr>
                <w:rFonts w:ascii="Arial" w:cs="Arial" w:eastAsia="Arial" w:hAnsi="Arial"/>
                <w:color w:val="333333"/>
                <w:sz w:val="20"/>
                <w:szCs w:val="20"/>
              </w:rPr>
              <w:t xml:space="preserve">Light, plain English, designed for users who don’t know or care about crypto. Fiat-first presentation, AI explanations in conversational language, no jargon.</w:t>
            </w:r>
          </w:p>
        </w:tc>
      </w:tr>
      <w:tr>
        <w:tc>
          <w:tcPr>
            <w:tcW w:type="dxa" w:w="2800"/>
            <w:tcBorders>
              <w:top w:val="single" w:color="DDDDDD" w:sz="1"/>
              <w:left w:val="single" w:color="DDDDDD" w:sz="1"/>
              <w:bottom w:val="single" w:color="DDDDDD" w:sz="1"/>
              <w:right w:val="single" w:color="DDDDDD" w:sz="1"/>
            </w:tcBorders>
            <w:shd w:fill="F0EEFF" w:val="clear"/>
            <w:tcMar>
              <w:top w:type="dxa" w:w="80"/>
              <w:left w:type="dxa" w:w="160"/>
              <w:bottom w:type="dxa" w:w="80"/>
              <w:right w:type="dxa" w:w="80"/>
            </w:tcMar>
          </w:tcPr>
          <w:p>
            <w:r>
              <w:rPr>
                <w:rFonts w:ascii="Arial" w:cs="Arial" w:eastAsia="Arial" w:hAnsi="Arial"/>
                <w:b/>
                <w:bCs/>
                <w:color w:val="4B2FB8"/>
                <w:sz w:val="20"/>
                <w:szCs w:val="20"/>
              </w:rPr>
              <w:t xml:space="preserve">Informed Mode</w:t>
            </w:r>
          </w:p>
        </w:tc>
        <w:tc>
          <w:tcPr>
            <w:tcW w:type="dxa" w:w="65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tcPr>
          <w:p>
            <w:r>
              <w:rPr>
                <w:rFonts w:ascii="Arial" w:cs="Arial" w:eastAsia="Arial" w:hAnsi="Arial"/>
                <w:color w:val="333333"/>
                <w:sz w:val="20"/>
                <w:szCs w:val="20"/>
              </w:rPr>
              <w:t xml:space="preserve">Light purple, for users who understand the basics and want more context. Risk scores surfaced, transaction mechanics explained, portfolio context included.</w:t>
            </w:r>
          </w:p>
        </w:tc>
      </w:tr>
      <w:tr>
        <w:tc>
          <w:tcPr>
            <w:tcW w:type="dxa" w:w="2800"/>
            <w:tcBorders>
              <w:top w:val="single" w:color="DDDDDD" w:sz="1"/>
              <w:left w:val="single" w:color="DDDDDD" w:sz="1"/>
              <w:bottom w:val="single" w:color="DDDDDD" w:sz="1"/>
              <w:right w:val="single" w:color="DDDDDD" w:sz="1"/>
            </w:tcBorders>
            <w:shd w:fill="F0EEFF" w:val="clear"/>
            <w:tcMar>
              <w:top w:type="dxa" w:w="80"/>
              <w:left w:type="dxa" w:w="160"/>
              <w:bottom w:type="dxa" w:w="80"/>
              <w:right w:type="dxa" w:w="80"/>
            </w:tcMar>
          </w:tcPr>
          <w:p>
            <w:r>
              <w:rPr>
                <w:rFonts w:ascii="Arial" w:cs="Arial" w:eastAsia="Arial" w:hAnsi="Arial"/>
                <w:b/>
                <w:bCs/>
                <w:color w:val="0A0618"/>
                <w:sz w:val="20"/>
                <w:szCs w:val="20"/>
              </w:rPr>
              <w:t xml:space="preserve">Pro Mode</w:t>
            </w:r>
          </w:p>
        </w:tc>
        <w:tc>
          <w:tcPr>
            <w:tcW w:type="dxa" w:w="65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tcPr>
          <w:p>
            <w:r>
              <w:rPr>
                <w:rFonts w:ascii="Arial" w:cs="Arial" w:eastAsia="Arial" w:hAnsi="Arial"/>
                <w:color w:val="333333"/>
                <w:sz w:val="20"/>
                <w:szCs w:val="20"/>
              </w:rPr>
              <w:t xml:space="preserve">Dark, monospace, full technical data. For experienced DeFi users who want raw information and maximum control.</w:t>
            </w:r>
          </w:p>
        </w:tc>
      </w:tr>
    </w:tbl>
    <w:p>
      <w:pPr>
        <w:spacing w:after="0" w:before="80"/>
      </w:pPr>
      <w:r>
        <w:t xml:space="preserve"/>
      </w:r>
    </w:p>
    <w:p>
      <w:pPr>
        <w:spacing w:after="120" w:before="60"/>
        <w:jc w:val="both"/>
      </w:pPr>
      <w:r>
        <w:rPr>
          <w:rFonts w:ascii="Arial" w:cs="Arial" w:eastAsia="Arial" w:hAnsi="Arial"/>
          <w:color w:val="222222"/>
          <w:sz w:val="22"/>
          <w:szCs w:val="22"/>
        </w:rPr>
        <w:t xml:space="preserve">Mode is user-selected and persists across sessions. The AI layer adapts its language register and depth of explanation to match the selected mode. This is the subject of Provisional Patent 1 — Adaptive Multi-Mode Language Rendering System.</w:t>
      </w:r>
    </w:p>
    <w:p>
      <w:pPr>
        <w:spacing w:after="0" w:before="80"/>
      </w:pPr>
      <w:r>
        <w:t xml:space="preserve"/>
      </w:r>
    </w:p>
    <w:p>
      <w:pPr>
        <w:spacing w:after="120" w:before="280"/>
      </w:pPr>
      <w:r>
        <w:rPr>
          <w:rFonts w:ascii="Arial" w:cs="Arial" w:eastAsia="Arial" w:hAnsi="Arial"/>
          <w:b/>
          <w:bCs/>
          <w:color w:val="2D1A8A"/>
          <w:sz w:val="26"/>
          <w:szCs w:val="26"/>
        </w:rPr>
        <w:t xml:space="preserve">3.2 Six-Agent Coordination Stack</w:t>
      </w:r>
    </w:p>
    <w:p>
      <w:pPr>
        <w:spacing w:after="120" w:before="60"/>
        <w:jc w:val="both"/>
      </w:pPr>
      <w:r>
        <w:rPr>
          <w:rFonts w:ascii="Arial" w:cs="Arial" w:eastAsia="Arial" w:hAnsi="Arial"/>
          <w:color w:val="222222"/>
          <w:sz w:val="22"/>
          <w:szCs w:val="22"/>
        </w:rPr>
        <w:t xml:space="preserve">Every proposed transaction triggers a parallel analysis across six specialized agents before reaching the user:</w:t>
      </w:r>
    </w:p>
    <w:p>
      <w:pPr>
        <w:spacing w:after="0" w:before="80"/>
      </w:pPr>
      <w:r>
        <w:t xml:space="preserve"/>
      </w:r>
    </w:p>
    <w:p>
      <w:pPr>
        <w:pStyle w:val="ListParagraph"/>
        <w:numPr>
          <w:ilvl w:val="0"/>
          <w:numId w:val="2"/>
        </w:numPr>
        <w:spacing w:after="40" w:before="40"/>
      </w:pPr>
      <w:r>
        <w:rPr>
          <w:rFonts w:ascii="Arial" w:cs="Arial" w:eastAsia="Arial" w:hAnsi="Arial"/>
          <w:b/>
          <w:bCs/>
          <w:color w:val="4B2FB8"/>
          <w:sz w:val="21"/>
          <w:szCs w:val="21"/>
        </w:rPr>
        <w:t xml:space="preserve">Market Intelligence Agent — </w:t>
      </w:r>
      <w:r>
        <w:rPr>
          <w:rFonts w:ascii="Arial" w:cs="Arial" w:eastAsia="Arial" w:hAnsi="Arial"/>
          <w:color w:val="333333"/>
          <w:sz w:val="21"/>
          <w:szCs w:val="21"/>
        </w:rPr>
        <w:t xml:space="preserve">Real-time price data, liquidity depth, volatility signals, whale wallet monitoring.</w:t>
      </w:r>
    </w:p>
    <w:p>
      <w:pPr>
        <w:pStyle w:val="ListParagraph"/>
        <w:numPr>
          <w:ilvl w:val="0"/>
          <w:numId w:val="2"/>
        </w:numPr>
        <w:spacing w:after="40" w:before="40"/>
      </w:pPr>
      <w:r>
        <w:rPr>
          <w:rFonts w:ascii="Arial" w:cs="Arial" w:eastAsia="Arial" w:hAnsi="Arial"/>
          <w:b/>
          <w:bCs/>
          <w:color w:val="D85A30"/>
          <w:sz w:val="21"/>
          <w:szCs w:val="21"/>
        </w:rPr>
        <w:t xml:space="preserve">Trade Safety Agent — </w:t>
      </w:r>
      <w:r>
        <w:rPr>
          <w:rFonts w:ascii="Arial" w:cs="Arial" w:eastAsia="Arial" w:hAnsi="Arial"/>
          <w:color w:val="333333"/>
          <w:sz w:val="21"/>
          <w:szCs w:val="21"/>
        </w:rPr>
        <w:t xml:space="preserve">Honeypot detection, smart contract audit flags, blacklist cross-reference, pre-trade simulation.</w:t>
      </w:r>
    </w:p>
    <w:p>
      <w:pPr>
        <w:pStyle w:val="ListParagraph"/>
        <w:numPr>
          <w:ilvl w:val="0"/>
          <w:numId w:val="2"/>
        </w:numPr>
        <w:spacing w:after="40" w:before="40"/>
      </w:pPr>
      <w:r>
        <w:rPr>
          <w:rFonts w:ascii="Arial" w:cs="Arial" w:eastAsia="Arial" w:hAnsi="Arial"/>
          <w:b/>
          <w:bCs/>
          <w:color w:val="4B2FB8"/>
          <w:sz w:val="21"/>
          <w:szCs w:val="21"/>
        </w:rPr>
        <w:t xml:space="preserve">Counterparty Intelligence Agent — </w:t>
      </w:r>
      <w:r>
        <w:rPr>
          <w:rFonts w:ascii="Arial" w:cs="Arial" w:eastAsia="Arial" w:hAnsi="Arial"/>
          <w:color w:val="333333"/>
          <w:sz w:val="21"/>
          <w:szCs w:val="21"/>
        </w:rPr>
        <w:t xml:space="preserve">Wallet history, flagged address databases, on-chain reputation signals.</w:t>
      </w:r>
    </w:p>
    <w:p>
      <w:pPr>
        <w:pStyle w:val="ListParagraph"/>
        <w:numPr>
          <w:ilvl w:val="0"/>
          <w:numId w:val="2"/>
        </w:numPr>
        <w:spacing w:after="40" w:before="40"/>
      </w:pPr>
      <w:r>
        <w:rPr>
          <w:rFonts w:ascii="Arial" w:cs="Arial" w:eastAsia="Arial" w:hAnsi="Arial"/>
          <w:b/>
          <w:bCs/>
          <w:color w:val="1D9E75"/>
          <w:sz w:val="21"/>
          <w:szCs w:val="21"/>
        </w:rPr>
        <w:t xml:space="preserve">Portfolio Intelligence Agent — </w:t>
      </w:r>
      <w:r>
        <w:rPr>
          <w:rFonts w:ascii="Arial" w:cs="Arial" w:eastAsia="Arial" w:hAnsi="Arial"/>
          <w:color w:val="333333"/>
          <w:sz w:val="21"/>
          <w:szCs w:val="21"/>
        </w:rPr>
        <w:t xml:space="preserve">Position sizing, concentration risk, portfolio impact analysis, pattern recognition.</w:t>
      </w:r>
    </w:p>
    <w:p>
      <w:pPr>
        <w:pStyle w:val="ListParagraph"/>
        <w:numPr>
          <w:ilvl w:val="0"/>
          <w:numId w:val="2"/>
        </w:numPr>
        <w:spacing w:after="40" w:before="40"/>
      </w:pPr>
      <w:r>
        <w:rPr>
          <w:rFonts w:ascii="Arial" w:cs="Arial" w:eastAsia="Arial" w:hAnsi="Arial"/>
          <w:b/>
          <w:bCs/>
          <w:color w:val="4B2FB8"/>
          <w:sz w:val="21"/>
          <w:szCs w:val="21"/>
        </w:rPr>
        <w:t xml:space="preserve">Language Agent — </w:t>
      </w:r>
      <w:r>
        <w:rPr>
          <w:rFonts w:ascii="Arial" w:cs="Arial" w:eastAsia="Arial" w:hAnsi="Arial"/>
          <w:color w:val="333333"/>
          <w:sz w:val="21"/>
          <w:szCs w:val="21"/>
        </w:rPr>
        <w:t xml:space="preserve">Synthesizes all agent outputs into a plain-language recommendation calibrated to wallet mode.</w:t>
      </w:r>
    </w:p>
    <w:p>
      <w:pPr>
        <w:pStyle w:val="ListParagraph"/>
        <w:numPr>
          <w:ilvl w:val="0"/>
          <w:numId w:val="2"/>
        </w:numPr>
        <w:spacing w:after="40" w:before="40"/>
      </w:pPr>
      <w:r>
        <w:rPr>
          <w:rFonts w:ascii="Arial" w:cs="Arial" w:eastAsia="Arial" w:hAnsi="Arial"/>
          <w:b/>
          <w:bCs/>
          <w:color w:val="D85A30"/>
          <w:sz w:val="21"/>
          <w:szCs w:val="21"/>
        </w:rPr>
        <w:t xml:space="preserve">Orchestrator Agent — </w:t>
      </w:r>
      <w:r>
        <w:rPr>
          <w:rFonts w:ascii="Arial" w:cs="Arial" w:eastAsia="Arial" w:hAnsi="Arial"/>
          <w:color w:val="333333"/>
          <w:sz w:val="21"/>
          <w:szCs w:val="21"/>
        </w:rPr>
        <w:t xml:space="preserve">Coordinates parallel dispatch, resolves conflicts, manages escalation, enforces constitutional coherence.</w:t>
      </w:r>
    </w:p>
    <w:p>
      <w:pPr>
        <w:spacing w:after="0" w:before="80"/>
      </w:pPr>
      <w:r>
        <w:t xml:space="preserve"/>
      </w:r>
    </w:p>
    <w:p>
      <w:pPr>
        <w:spacing w:after="120" w:before="60"/>
        <w:jc w:val="both"/>
      </w:pPr>
      <w:r>
        <w:rPr>
          <w:rFonts w:ascii="Arial" w:cs="Arial" w:eastAsia="Arial" w:hAnsi="Arial"/>
          <w:color w:val="222222"/>
          <w:sz w:val="22"/>
          <w:szCs w:val="22"/>
        </w:rPr>
        <w:t xml:space="preserve">Agents run in parallel. The Orchestrator synthesizes results as they arrive and delivers a progressive report. The Language Agent never outputs to the user until the Orchestrator confirms coherence across all agent outputs.</w:t>
      </w:r>
    </w:p>
    <w:p>
      <w:pPr>
        <w:spacing w:after="0" w:before="80"/>
      </w:pPr>
      <w:r>
        <w:t xml:space="preserve"/>
      </w:r>
    </w:p>
    <w:p>
      <w:pPr>
        <w:spacing w:after="120" w:before="280"/>
      </w:pPr>
      <w:r>
        <w:rPr>
          <w:rFonts w:ascii="Arial" w:cs="Arial" w:eastAsia="Arial" w:hAnsi="Arial"/>
          <w:b/>
          <w:bCs/>
          <w:color w:val="D85A30"/>
          <w:sz w:val="26"/>
          <w:szCs w:val="26"/>
        </w:rPr>
        <w:t xml:space="preserve">3.3 Constitutional Drift Detection</w:t>
      </w:r>
    </w:p>
    <w:p>
      <w:pPr>
        <w:spacing w:after="120" w:before="60"/>
        <w:jc w:val="both"/>
      </w:pPr>
      <w:r>
        <w:rPr>
          <w:rFonts w:ascii="Arial" w:cs="Arial" w:eastAsia="Arial" w:hAnsi="Arial"/>
          <w:color w:val="222222"/>
          <w:sz w:val="22"/>
          <w:szCs w:val="22"/>
        </w:rPr>
        <w:t xml:space="preserve">Velcro’s agent stack incorporates a Constitutional Drift Detection Protocol — a runtime coherence monitor that evaluates whether agent reasoning remains consistent with the wallet’s constitutional core before outputs reach the user. This is not reactive safety. It is proactive monitoring of system state while the system is still working correctly.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80"/>
        <w:gridCol w:w="4580"/>
      </w:tblGrid>
      <w:tr>
        <w:tc>
          <w:tcPr>
            <w:tcW w:type="dxa" w:w="2200"/>
            <w:tcBorders>
              <w:top w:val="single" w:color="DDDDDD" w:sz="1"/>
              <w:left w:val="single" w:color="DDDDDD" w:sz="1"/>
              <w:bottom w:val="single" w:color="DDDDDD" w:sz="1"/>
              <w:right w:val="single" w:color="DDDDDD" w:sz="1"/>
            </w:tcBorders>
            <w:shd w:fill="2D1A8A" w:val="clear"/>
            <w:tcMar>
              <w:top w:type="dxa" w:w="100"/>
              <w:left w:type="dxa" w:w="140"/>
              <w:bottom w:type="dxa" w:w="100"/>
              <w:right w:type="dxa" w:w="80"/>
            </w:tcMar>
          </w:tcPr>
          <w:p>
            <w:r>
              <w:rPr>
                <w:rFonts w:ascii="Arial" w:cs="Arial" w:eastAsia="Arial" w:hAnsi="Arial"/>
                <w:b/>
                <w:bCs/>
                <w:color w:val="FFFFFF"/>
                <w:sz w:val="20"/>
                <w:szCs w:val="20"/>
              </w:rPr>
              <w:t xml:space="preserve">Threshold</w:t>
            </w:r>
          </w:p>
        </w:tc>
        <w:tc>
          <w:tcPr>
            <w:tcW w:type="dxa" w:w="2580"/>
            <w:tcBorders>
              <w:top w:val="single" w:color="DDDDDD" w:sz="1"/>
              <w:left w:val="single" w:color="DDDDDD" w:sz="1"/>
              <w:bottom w:val="single" w:color="DDDDDD" w:sz="1"/>
              <w:right w:val="single" w:color="DDDDDD" w:sz="1"/>
            </w:tcBorders>
            <w:shd w:fill="2D1A8A" w:val="clear"/>
            <w:tcMar>
              <w:top w:type="dxa" w:w="100"/>
              <w:left w:type="dxa" w:w="140"/>
              <w:bottom w:type="dxa" w:w="100"/>
              <w:right w:type="dxa" w:w="80"/>
            </w:tcMar>
          </w:tcPr>
          <w:p>
            <w:r>
              <w:rPr>
                <w:rFonts w:ascii="Arial" w:cs="Arial" w:eastAsia="Arial" w:hAnsi="Arial"/>
                <w:b/>
                <w:bCs/>
                <w:color w:val="FFFFFF"/>
                <w:sz w:val="20"/>
                <w:szCs w:val="20"/>
              </w:rPr>
              <w:t xml:space="preserve">Reference Value</w:t>
            </w:r>
          </w:p>
        </w:tc>
        <w:tc>
          <w:tcPr>
            <w:tcW w:type="dxa" w:w="4580"/>
            <w:tcBorders>
              <w:top w:val="single" w:color="DDDDDD" w:sz="1"/>
              <w:left w:val="single" w:color="DDDDDD" w:sz="1"/>
              <w:bottom w:val="single" w:color="DDDDDD" w:sz="1"/>
              <w:right w:val="single" w:color="DDDDDD" w:sz="1"/>
            </w:tcBorders>
            <w:shd w:fill="2D1A8A" w:val="clear"/>
            <w:tcMar>
              <w:top w:type="dxa" w:w="100"/>
              <w:left w:type="dxa" w:w="140"/>
              <w:bottom w:type="dxa" w:w="100"/>
              <w:right w:type="dxa" w:w="80"/>
            </w:tcMar>
          </w:tcPr>
          <w:p>
            <w:r>
              <w:rPr>
                <w:rFonts w:ascii="Arial" w:cs="Arial" w:eastAsia="Arial" w:hAnsi="Arial"/>
                <w:b/>
                <w:bCs/>
                <w:color w:val="FFFFFF"/>
                <w:sz w:val="20"/>
                <w:szCs w:val="20"/>
              </w:rPr>
              <w:t xml:space="preserve">System Response</w:t>
            </w:r>
          </w:p>
        </w:tc>
      </w:tr>
      <w:tr>
        <w:tc>
          <w:tcPr>
            <w:tcW w:type="dxa" w:w="2200"/>
            <w:tcBorders>
              <w:top w:val="single" w:color="DDDDDD" w:sz="1"/>
              <w:left w:val="single" w:color="DDDDDD" w:sz="1"/>
              <w:bottom w:val="single" w:color="DDDDDD" w:sz="1"/>
              <w:right w:val="single" w:color="DDDDDD" w:sz="1"/>
            </w:tcBorders>
            <w:shd w:fill="FDFAF0" w:val="clear"/>
            <w:tcMar>
              <w:top w:type="dxa" w:w="80"/>
              <w:left w:type="dxa" w:w="140"/>
              <w:bottom w:type="dxa" w:w="80"/>
              <w:right w:type="dxa" w:w="80"/>
            </w:tcMar>
          </w:tcPr>
          <w:p>
            <w:r>
              <w:rPr>
                <w:rFonts w:ascii="Arial" w:cs="Arial" w:eastAsia="Arial" w:hAnsi="Arial"/>
                <w:b/>
                <w:bCs/>
                <w:color w:val="C8A832"/>
                <w:sz w:val="20"/>
                <w:szCs w:val="20"/>
              </w:rPr>
              <w:t xml:space="preserve">Pressure Detected</w:t>
            </w:r>
          </w:p>
        </w:tc>
        <w:tc>
          <w:tcPr>
            <w:tcW w:type="dxa" w:w="2580"/>
            <w:tcBorders>
              <w:top w:val="single" w:color="DDDDDD" w:sz="1"/>
              <w:left w:val="single" w:color="DDDDDD" w:sz="1"/>
              <w:bottom w:val="single" w:color="DDDDDD" w:sz="1"/>
              <w:right w:val="single" w:color="DDDDDD" w:sz="1"/>
            </w:tcBorders>
            <w:shd w:fill="FDFAF0" w:val="clear"/>
            <w:tcMar>
              <w:top w:type="dxa" w:w="80"/>
              <w:left w:type="dxa" w:w="140"/>
              <w:bottom w:type="dxa" w:w="80"/>
              <w:right w:type="dxa" w:w="80"/>
            </w:tcMar>
          </w:tcPr>
          <w:p>
            <w:r>
              <w:rPr>
                <w:rFonts w:ascii="Arial" w:cs="Arial" w:eastAsia="Arial" w:hAnsi="Arial"/>
                <w:b/>
                <w:bCs/>
                <w:color w:val="C8A832"/>
                <w:sz w:val="20"/>
                <w:szCs w:val="20"/>
              </w:rPr>
              <w:t xml:space="preserve">0.13</w:t>
            </w:r>
          </w:p>
        </w:tc>
        <w:tc>
          <w:tcPr>
            <w:tcW w:type="dxa" w:w="4580"/>
            <w:tcBorders>
              <w:top w:val="single" w:color="DDDDDD" w:sz="1"/>
              <w:left w:val="single" w:color="DDDDDD" w:sz="1"/>
              <w:bottom w:val="single" w:color="DDDDDD" w:sz="1"/>
              <w:right w:val="single" w:color="DDDDDD" w:sz="1"/>
            </w:tcBorders>
            <w:shd w:fill="FDFAF0" w:val="clear"/>
            <w:tcMar>
              <w:top w:type="dxa" w:w="80"/>
              <w:left w:type="dxa" w:w="140"/>
              <w:bottom w:type="dxa" w:w="80"/>
              <w:right w:type="dxa" w:w="80"/>
            </w:tcMar>
          </w:tcPr>
          <w:p>
            <w:r>
              <w:rPr>
                <w:rFonts w:ascii="Arial" w:cs="Arial" w:eastAsia="Arial" w:hAnsi="Arial"/>
                <w:color w:val="333333"/>
                <w:sz w:val="20"/>
                <w:szCs w:val="20"/>
              </w:rPr>
              <w:t xml:space="preserve">Monitoring frequency escalated. Output held for secondary review. No user-facing change.</w:t>
            </w:r>
          </w:p>
        </w:tc>
      </w:tr>
      <w:tr>
        <w:tc>
          <w:tcPr>
            <w:tcW w:type="dxa" w:w="2200"/>
            <w:tcBorders>
              <w:top w:val="single" w:color="DDDDDD" w:sz="1"/>
              <w:left w:val="single" w:color="DDDDDD" w:sz="1"/>
              <w:bottom w:val="single" w:color="DDDDDD" w:sz="1"/>
              <w:right w:val="single" w:color="DDDDDD" w:sz="1"/>
            </w:tcBorders>
            <w:shd w:fill="FFF5F3" w:val="clear"/>
            <w:tcMar>
              <w:top w:type="dxa" w:w="80"/>
              <w:left w:type="dxa" w:w="140"/>
              <w:bottom w:type="dxa" w:w="80"/>
              <w:right w:type="dxa" w:w="80"/>
            </w:tcMar>
          </w:tcPr>
          <w:p>
            <w:r>
              <w:rPr>
                <w:rFonts w:ascii="Arial" w:cs="Arial" w:eastAsia="Arial" w:hAnsi="Arial"/>
                <w:b/>
                <w:bCs/>
                <w:color w:val="D85A30"/>
                <w:sz w:val="20"/>
                <w:szCs w:val="20"/>
              </w:rPr>
              <w:t xml:space="preserve">Drift Accelerating</w:t>
            </w:r>
          </w:p>
        </w:tc>
        <w:tc>
          <w:tcPr>
            <w:tcW w:type="dxa" w:w="2580"/>
            <w:tcBorders>
              <w:top w:val="single" w:color="DDDDDD" w:sz="1"/>
              <w:left w:val="single" w:color="DDDDDD" w:sz="1"/>
              <w:bottom w:val="single" w:color="DDDDDD" w:sz="1"/>
              <w:right w:val="single" w:color="DDDDDD" w:sz="1"/>
            </w:tcBorders>
            <w:shd w:fill="FFF5F3" w:val="clear"/>
            <w:tcMar>
              <w:top w:type="dxa" w:w="80"/>
              <w:left w:type="dxa" w:w="140"/>
              <w:bottom w:type="dxa" w:w="80"/>
              <w:right w:type="dxa" w:w="80"/>
            </w:tcMar>
          </w:tcPr>
          <w:p>
            <w:r>
              <w:rPr>
                <w:rFonts w:ascii="Arial" w:cs="Arial" w:eastAsia="Arial" w:hAnsi="Arial"/>
                <w:b/>
                <w:bCs/>
                <w:color w:val="D85A30"/>
                <w:sz w:val="20"/>
                <w:szCs w:val="20"/>
              </w:rPr>
              <w:t xml:space="preserve">0.15</w:t>
            </w:r>
          </w:p>
        </w:tc>
        <w:tc>
          <w:tcPr>
            <w:tcW w:type="dxa" w:w="4580"/>
            <w:tcBorders>
              <w:top w:val="single" w:color="DDDDDD" w:sz="1"/>
              <w:left w:val="single" w:color="DDDDDD" w:sz="1"/>
              <w:bottom w:val="single" w:color="DDDDDD" w:sz="1"/>
              <w:right w:val="single" w:color="DDDDDD" w:sz="1"/>
            </w:tcBorders>
            <w:shd w:fill="FFF5F3" w:val="clear"/>
            <w:tcMar>
              <w:top w:type="dxa" w:w="80"/>
              <w:left w:type="dxa" w:w="140"/>
              <w:bottom w:type="dxa" w:w="80"/>
              <w:right w:type="dxa" w:w="80"/>
            </w:tcMar>
          </w:tcPr>
          <w:p>
            <w:r>
              <w:rPr>
                <w:rFonts w:ascii="Arial" w:cs="Arial" w:eastAsia="Arial" w:hAnsi="Arial"/>
                <w:color w:val="333333"/>
                <w:sz w:val="20"/>
                <w:szCs w:val="20"/>
              </w:rPr>
              <w:t xml:space="preserve">All pending outputs held. Human review queue flagged. Language Agent synthesis suspended.</w:t>
            </w:r>
          </w:p>
        </w:tc>
      </w:tr>
      <w:tr>
        <w:tc>
          <w:tcPr>
            <w:tcW w:type="dxa" w:w="2200"/>
            <w:tcBorders>
              <w:top w:val="single" w:color="DDDDDD" w:sz="1"/>
              <w:left w:val="single" w:color="DDDDDD" w:sz="1"/>
              <w:bottom w:val="single" w:color="DDDDDD" w:sz="1"/>
              <w:right w:val="single" w:color="DDDDDD" w:sz="1"/>
            </w:tcBorders>
            <w:shd w:fill="FFF0F0" w:val="clear"/>
            <w:tcMar>
              <w:top w:type="dxa" w:w="80"/>
              <w:left w:type="dxa" w:w="140"/>
              <w:bottom w:type="dxa" w:w="80"/>
              <w:right w:type="dxa" w:w="80"/>
            </w:tcMar>
          </w:tcPr>
          <w:p>
            <w:r>
              <w:rPr>
                <w:rFonts w:ascii="Arial" w:cs="Arial" w:eastAsia="Arial" w:hAnsi="Arial"/>
                <w:b/>
                <w:bCs/>
                <w:color w:val="AA0000"/>
                <w:sz w:val="20"/>
                <w:szCs w:val="20"/>
              </w:rPr>
              <w:t xml:space="preserve">Constitutional Threshold</w:t>
            </w:r>
          </w:p>
        </w:tc>
        <w:tc>
          <w:tcPr>
            <w:tcW w:type="dxa" w:w="2580"/>
            <w:tcBorders>
              <w:top w:val="single" w:color="DDDDDD" w:sz="1"/>
              <w:left w:val="single" w:color="DDDDDD" w:sz="1"/>
              <w:bottom w:val="single" w:color="DDDDDD" w:sz="1"/>
              <w:right w:val="single" w:color="DDDDDD" w:sz="1"/>
            </w:tcBorders>
            <w:shd w:fill="FFF0F0" w:val="clear"/>
            <w:tcMar>
              <w:top w:type="dxa" w:w="80"/>
              <w:left w:type="dxa" w:w="140"/>
              <w:bottom w:type="dxa" w:w="80"/>
              <w:right w:type="dxa" w:w="80"/>
            </w:tcMar>
          </w:tcPr>
          <w:p>
            <w:r>
              <w:rPr>
                <w:rFonts w:ascii="Arial" w:cs="Arial" w:eastAsia="Arial" w:hAnsi="Arial"/>
                <w:b/>
                <w:bCs/>
                <w:color w:val="AA0000"/>
                <w:sz w:val="20"/>
                <w:szCs w:val="20"/>
              </w:rPr>
              <w:t xml:space="preserve">0.17</w:t>
            </w:r>
          </w:p>
        </w:tc>
        <w:tc>
          <w:tcPr>
            <w:tcW w:type="dxa" w:w="4580"/>
            <w:tcBorders>
              <w:top w:val="single" w:color="DDDDDD" w:sz="1"/>
              <w:left w:val="single" w:color="DDDDDD" w:sz="1"/>
              <w:bottom w:val="single" w:color="DDDDDD" w:sz="1"/>
              <w:right w:val="single" w:color="DDDDDD" w:sz="1"/>
            </w:tcBorders>
            <w:shd w:fill="FFF0F0" w:val="clear"/>
            <w:tcMar>
              <w:top w:type="dxa" w:w="80"/>
              <w:left w:type="dxa" w:w="140"/>
              <w:bottom w:type="dxa" w:w="80"/>
              <w:right w:type="dxa" w:w="80"/>
            </w:tcMar>
          </w:tcPr>
          <w:p>
            <w:r>
              <w:rPr>
                <w:rFonts w:ascii="Arial" w:cs="Arial" w:eastAsia="Arial" w:hAnsi="Arial"/>
                <w:color w:val="333333"/>
                <w:sz w:val="20"/>
                <w:szCs w:val="20"/>
              </w:rPr>
              <w:t xml:space="preserve">All AI output suspended. Human Escalation tier activated. Social Recovery tier engaged if mid-transaction. Full state log preserved.</w:t>
            </w:r>
          </w:p>
        </w:tc>
      </w:tr>
    </w:tbl>
    <w:p>
      <w:pPr>
        <w:spacing w:after="0" w:before="80"/>
      </w:pPr>
      <w:r>
        <w:t xml:space="preserve"/>
      </w:r>
    </w:p>
    <w:p>
      <w:pPr>
        <w:spacing w:after="120" w:before="280"/>
      </w:pPr>
      <w:r>
        <w:rPr>
          <w:rFonts w:ascii="Arial" w:cs="Arial" w:eastAsia="Arial" w:hAnsi="Arial"/>
          <w:b/>
          <w:bCs/>
          <w:color w:val="2D1A8A"/>
          <w:sz w:val="26"/>
          <w:szCs w:val="26"/>
        </w:rPr>
        <w:t xml:space="preserve">3.4 Human Authorization Preservation</w:t>
      </w:r>
    </w:p>
    <w:p>
      <w:pPr>
        <w:spacing w:after="120" w:before="60"/>
        <w:jc w:val="both"/>
      </w:pPr>
      <w:r>
        <w:rPr>
          <w:rFonts w:ascii="Arial" w:cs="Arial" w:eastAsia="Arial" w:hAnsi="Arial"/>
          <w:color w:val="222222"/>
          <w:sz w:val="22"/>
          <w:szCs w:val="22"/>
        </w:rPr>
        <w:t xml:space="preserve">No agent in the Velcro coordination stack can autonomously execute a transaction. The AI advises. The human decides. The Constitutional Drift Detection Protocol and the Human Authorization Preservation architecture together create a two-layer protection model: the first layer ensures humans control execution; the second ensures the information informing that decision is generated by a coherent, verified system.</w:t>
      </w:r>
    </w:p>
    <w:p>
      <w:pPr>
        <w:spacing w:after="0" w:before="160"/>
      </w:pPr>
      <w:r>
        <w:t xml:space="preserve"/>
      </w:r>
    </w:p>
    <w:p>
      <w:pPr>
        <w:pBdr>
          <w:bottom w:val="single" w:color="4B2FB8" w:sz="6" w:space="6"/>
        </w:pBdr>
        <w:spacing w:after="200" w:before="400"/>
      </w:pPr>
      <w:r>
        <w:rPr>
          <w:rFonts w:ascii="Arial" w:cs="Arial" w:eastAsia="Arial" w:hAnsi="Arial"/>
          <w:b/>
          <w:bCs/>
          <w:color w:val="0A0618"/>
          <w:sz w:val="32"/>
          <w:szCs w:val="32"/>
        </w:rPr>
        <w:t xml:space="preserve">4. Market Opportunity</w:t>
      </w:r>
    </w:p>
    <w:p>
      <w:pPr>
        <w:spacing w:after="120" w:before="60"/>
        <w:jc w:val="both"/>
      </w:pPr>
      <w:r>
        <w:rPr>
          <w:rFonts w:ascii="Arial" w:cs="Arial" w:eastAsia="Arial" w:hAnsi="Arial"/>
          <w:color w:val="222222"/>
          <w:sz w:val="22"/>
          <w:szCs w:val="22"/>
        </w:rPr>
        <w:t xml:space="preserve">The global cryptocurrency market represents over $2.5 trillion in assets under management. Approximately 420 million people worldwide hold crypto in some form, yet fewer than 15% actively use DeFi applications — the gap representing hundreds of millions of users who want access but lack the tools, language, or confidence to participate safely.</w:t>
      </w:r>
    </w:p>
    <w:p>
      <w:pPr>
        <w:spacing w:after="120" w:before="60"/>
        <w:jc w:val="both"/>
      </w:pPr>
      <w:r>
        <w:rPr>
          <w:rFonts w:ascii="Arial" w:cs="Arial" w:eastAsia="Arial" w:hAnsi="Arial"/>
          <w:color w:val="222222"/>
          <w:sz w:val="22"/>
          <w:szCs w:val="22"/>
        </w:rPr>
        <w:t xml:space="preserve">The Stanford AI Index 2026 documents $581 billion in global corporate AI investment in 2025 — a 129.9% increase year over year. Organizational AI adoption has reached 88%. The infrastructure layer Velcro is building has a near-universal addressable market today, not in five years.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1D9E75" w:sz="20"/>
              <w:bottom w:val="single" w:color="DDDDDD" w:sz="1"/>
              <w:right w:val="single" w:color="DDDDDD" w:sz="1"/>
            </w:tcBorders>
            <w:shd w:fill="EDFAF5" w:val="clear"/>
            <w:tcMar>
              <w:top w:type="dxa" w:w="140"/>
              <w:left w:type="dxa" w:w="240"/>
              <w:bottom w:type="dxa" w:w="140"/>
              <w:right w:type="dxa" w:w="160"/>
            </w:tcMar>
          </w:tcPr>
          <w:p>
            <w:pPr>
              <w:jc w:val="both"/>
            </w:pPr>
            <w:r>
              <w:rPr>
                <w:rFonts w:ascii="Arial" w:cs="Arial" w:eastAsia="Arial" w:hAnsi="Arial"/>
                <w:i/>
                <w:iCs/>
                <w:color w:val="333333"/>
                <w:sz w:val="21"/>
                <w:szCs w:val="21"/>
              </w:rPr>
              <w:t xml:space="preserve">Velcro’s addressable market is not the crypto-native user. It is the next billion — people with smartphones, remittance needs, savings goals, and distrust of legacy banking, who have been told that crypto is too complex, too risky, or too technical for them.</w:t>
            </w:r>
          </w:p>
        </w:tc>
      </w:tr>
    </w:tbl>
    <w:p>
      <w:pPr>
        <w:spacing w:after="0" w:before="80"/>
      </w:pPr>
      <w:r>
        <w:t xml:space="preserve"/>
      </w:r>
    </w:p>
    <w:p>
      <w:pPr>
        <w:spacing w:after="120" w:before="60"/>
        <w:jc w:val="both"/>
      </w:pPr>
      <w:r>
        <w:rPr>
          <w:rFonts w:ascii="Arial" w:cs="Arial" w:eastAsia="Arial" w:hAnsi="Arial"/>
          <w:color w:val="222222"/>
          <w:sz w:val="22"/>
          <w:szCs w:val="22"/>
        </w:rPr>
        <w:t xml:space="preserve">The real game, as the field increasingly recognizes, is connecting both the Institutional and Open layers. Velcro is the wallet built for the split: not choosing a side, but bridging both through a single product that scales from everyday banking to pro-grade DeFi within a consistent trust architecture.</w:t>
      </w:r>
    </w:p>
    <w:p>
      <w:pPr>
        <w:spacing w:after="0" w:before="80"/>
      </w:pPr>
      <w:r>
        <w:t xml:space="preserve"/>
      </w:r>
    </w:p>
    <w:p>
      <w:pPr>
        <w:spacing w:after="120" w:before="60"/>
        <w:jc w:val="both"/>
      </w:pPr>
      <w:r>
        <w:rPr>
          <w:rFonts w:ascii="Arial" w:cs="Arial" w:eastAsia="Arial" w:hAnsi="Arial"/>
          <w:color w:val="222222"/>
          <w:sz w:val="22"/>
          <w:szCs w:val="22"/>
        </w:rPr>
        <w:t xml:space="preserve">Phase 2 multi-language support will add French, German, and Spanish — covering the core European fintech market. Phase 3 will add Arabic and Turkish, opening access to the Middle East and North Africa. Financial sovereignty cannot be delivered in English only.</w:t>
      </w:r>
    </w:p>
    <w:p>
      <w:pPr>
        <w:spacing w:after="0" w:before="160"/>
      </w:pPr>
      <w:r>
        <w:t xml:space="preserve"/>
      </w:r>
    </w:p>
    <w:p>
      <w:pPr>
        <w:pBdr>
          <w:bottom w:val="single" w:color="4B2FB8" w:sz="6" w:space="6"/>
        </w:pBdr>
        <w:spacing w:after="200" w:before="400"/>
      </w:pPr>
      <w:r>
        <w:rPr>
          <w:rFonts w:ascii="Arial" w:cs="Arial" w:eastAsia="Arial" w:hAnsi="Arial"/>
          <w:b/>
          <w:bCs/>
          <w:color w:val="0A0618"/>
          <w:sz w:val="32"/>
          <w:szCs w:val="32"/>
        </w:rPr>
        <w:t xml:space="preserve">5. Business Model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EEFF" w:val="clear"/>
            <w:tcMar>
              <w:top w:type="dxa" w:w="80"/>
              <w:left w:type="dxa" w:w="160"/>
              <w:bottom w:type="dxa" w:w="80"/>
              <w:right w:type="dxa" w:w="80"/>
            </w:tcMar>
          </w:tcPr>
          <w:p>
            <w:r>
              <w:rPr>
                <w:rFonts w:ascii="Arial" w:cs="Arial" w:eastAsia="Arial" w:hAnsi="Arial"/>
                <w:b/>
                <w:bCs/>
                <w:color w:val="1D9E75"/>
                <w:sz w:val="20"/>
                <w:szCs w:val="20"/>
              </w:rPr>
              <w:t xml:space="preserve">Transaction fees</w:t>
            </w:r>
          </w:p>
        </w:tc>
        <w:tc>
          <w:tcPr>
            <w:tcW w:type="dxa" w:w="65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tcPr>
          <w:p>
            <w:r>
              <w:rPr>
                <w:rFonts w:ascii="Arial" w:cs="Arial" w:eastAsia="Arial" w:hAnsi="Arial"/>
                <w:color w:val="333333"/>
                <w:sz w:val="20"/>
                <w:szCs w:val="20"/>
              </w:rPr>
              <w:t xml:space="preserve">Small percentage on swaps and cross-chain transfers executed through the wallet. Primary V1 revenue source.</w:t>
            </w:r>
          </w:p>
        </w:tc>
      </w:tr>
      <w:tr>
        <w:tc>
          <w:tcPr>
            <w:tcW w:type="dxa" w:w="2800"/>
            <w:tcBorders>
              <w:top w:val="single" w:color="DDDDDD" w:sz="1"/>
              <w:left w:val="single" w:color="DDDDDD" w:sz="1"/>
              <w:bottom w:val="single" w:color="DDDDDD" w:sz="1"/>
              <w:right w:val="single" w:color="DDDDDD" w:sz="1"/>
            </w:tcBorders>
            <w:shd w:fill="F0EEFF" w:val="clear"/>
            <w:tcMar>
              <w:top w:type="dxa" w:w="80"/>
              <w:left w:type="dxa" w:w="160"/>
              <w:bottom w:type="dxa" w:w="80"/>
              <w:right w:type="dxa" w:w="80"/>
            </w:tcMar>
          </w:tcPr>
          <w:p>
            <w:r>
              <w:rPr>
                <w:rFonts w:ascii="Arial" w:cs="Arial" w:eastAsia="Arial" w:hAnsi="Arial"/>
                <w:b/>
                <w:bCs/>
                <w:color w:val="1D9E75"/>
                <w:sz w:val="20"/>
                <w:szCs w:val="20"/>
              </w:rPr>
              <w:t xml:space="preserve">Spread revenue</w:t>
            </w:r>
          </w:p>
        </w:tc>
        <w:tc>
          <w:tcPr>
            <w:tcW w:type="dxa" w:w="65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tcPr>
          <w:p>
            <w:r>
              <w:rPr>
                <w:rFonts w:ascii="Arial" w:cs="Arial" w:eastAsia="Arial" w:hAnsi="Arial"/>
                <w:color w:val="333333"/>
                <w:sz w:val="20"/>
                <w:szCs w:val="20"/>
              </w:rPr>
              <w:t xml:space="preserve">Disclosed spread on all trades — always lower than Coinbase, Cash App, and PayPal. Shown transparently to users.</w:t>
            </w:r>
          </w:p>
        </w:tc>
      </w:tr>
      <w:tr>
        <w:tc>
          <w:tcPr>
            <w:tcW w:type="dxa" w:w="2800"/>
            <w:tcBorders>
              <w:top w:val="single" w:color="DDDDDD" w:sz="1"/>
              <w:left w:val="single" w:color="DDDDDD" w:sz="1"/>
              <w:bottom w:val="single" w:color="DDDDDD" w:sz="1"/>
              <w:right w:val="single" w:color="DDDDDD" w:sz="1"/>
            </w:tcBorders>
            <w:shd w:fill="F0EEFF" w:val="clear"/>
            <w:tcMar>
              <w:top w:type="dxa" w:w="80"/>
              <w:left w:type="dxa" w:w="160"/>
              <w:bottom w:type="dxa" w:w="80"/>
              <w:right w:type="dxa" w:w="80"/>
            </w:tcMar>
          </w:tcPr>
          <w:p>
            <w:r>
              <w:rPr>
                <w:rFonts w:ascii="Arial" w:cs="Arial" w:eastAsia="Arial" w:hAnsi="Arial"/>
                <w:b/>
                <w:bCs/>
                <w:color w:val="4B2FB8"/>
                <w:sz w:val="20"/>
                <w:szCs w:val="20"/>
              </w:rPr>
              <w:t xml:space="preserve">VLCR governance token</w:t>
            </w:r>
          </w:p>
        </w:tc>
        <w:tc>
          <w:tcPr>
            <w:tcW w:type="dxa" w:w="65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tcPr>
          <w:p>
            <w:r>
              <w:rPr>
                <w:rFonts w:ascii="Arial" w:cs="Arial" w:eastAsia="Arial" w:hAnsi="Arial"/>
                <w:color w:val="333333"/>
                <w:sz w:val="20"/>
                <w:szCs w:val="20"/>
              </w:rPr>
              <w:t xml:space="preserve">Utility token — Phase 3. Governance, fee discounts, relayer staking rewards. DAO structure provides decentralized oversight.</w:t>
            </w:r>
          </w:p>
        </w:tc>
      </w:tr>
      <w:tr>
        <w:tc>
          <w:tcPr>
            <w:tcW w:type="dxa" w:w="2800"/>
            <w:tcBorders>
              <w:top w:val="single" w:color="DDDDDD" w:sz="1"/>
              <w:left w:val="single" w:color="DDDDDD" w:sz="1"/>
              <w:bottom w:val="single" w:color="DDDDDD" w:sz="1"/>
              <w:right w:val="single" w:color="DDDDDD" w:sz="1"/>
            </w:tcBorders>
            <w:shd w:fill="F0EEFF" w:val="clear"/>
            <w:tcMar>
              <w:top w:type="dxa" w:w="80"/>
              <w:left w:type="dxa" w:w="160"/>
              <w:bottom w:type="dxa" w:w="80"/>
              <w:right w:type="dxa" w:w="80"/>
            </w:tcMar>
          </w:tcPr>
          <w:p>
            <w:r>
              <w:rPr>
                <w:rFonts w:ascii="Arial" w:cs="Arial" w:eastAsia="Arial" w:hAnsi="Arial"/>
                <w:b/>
                <w:bCs/>
                <w:color w:val="4B2FB8"/>
                <w:sz w:val="20"/>
                <w:szCs w:val="20"/>
              </w:rPr>
              <w:t xml:space="preserve">Developer licensing</w:t>
            </w:r>
          </w:p>
        </w:tc>
        <w:tc>
          <w:tcPr>
            <w:tcW w:type="dxa" w:w="65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tcPr>
          <w:p>
            <w:r>
              <w:rPr>
                <w:rFonts w:ascii="Arial" w:cs="Arial" w:eastAsia="Arial" w:hAnsi="Arial"/>
                <w:color w:val="333333"/>
                <w:sz w:val="20"/>
                <w:szCs w:val="20"/>
              </w:rPr>
              <w:t xml:space="preserve">Vela Protocol as B2B infrastructure licensed to developers building AI-native financial applications on the agent stack.</w:t>
            </w:r>
          </w:p>
        </w:tc>
      </w:tr>
      <w:tr>
        <w:tc>
          <w:tcPr>
            <w:tcW w:type="dxa" w:w="2800"/>
            <w:tcBorders>
              <w:top w:val="single" w:color="DDDDDD" w:sz="1"/>
              <w:left w:val="single" w:color="DDDDDD" w:sz="1"/>
              <w:bottom w:val="single" w:color="DDDDDD" w:sz="1"/>
              <w:right w:val="single" w:color="DDDDDD" w:sz="1"/>
            </w:tcBorders>
            <w:shd w:fill="F0EEFF" w:val="clear"/>
            <w:tcMar>
              <w:top w:type="dxa" w:w="80"/>
              <w:left w:type="dxa" w:w="160"/>
              <w:bottom w:type="dxa" w:w="80"/>
              <w:right w:type="dxa" w:w="80"/>
            </w:tcMar>
          </w:tcPr>
          <w:p>
            <w:r>
              <w:rPr>
                <w:rFonts w:ascii="Arial" w:cs="Arial" w:eastAsia="Arial" w:hAnsi="Arial"/>
                <w:b/>
                <w:bCs/>
                <w:color w:val="D85A30"/>
                <w:sz w:val="20"/>
                <w:szCs w:val="20"/>
              </w:rPr>
              <w:t xml:space="preserve">Merchant network</w:t>
            </w:r>
          </w:p>
        </w:tc>
        <w:tc>
          <w:tcPr>
            <w:tcW w:type="dxa" w:w="65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tcPr>
          <w:p>
            <w:r>
              <w:rPr>
                <w:rFonts w:ascii="Arial" w:cs="Arial" w:eastAsia="Arial" w:hAnsi="Arial"/>
                <w:color w:val="333333"/>
                <w:sz w:val="20"/>
                <w:szCs w:val="20"/>
              </w:rPr>
              <w:t xml:space="preserve">Phase 3 NFC tap-to-pay and merchant integration generating transaction volume and settlement fees at 0.3% vs 1.5-3.5% Visa.</w:t>
            </w:r>
          </w:p>
        </w:tc>
      </w:tr>
    </w:tbl>
    <w:p>
      <w:pPr>
        <w:spacing w:after="0" w:before="160"/>
      </w:pPr>
      <w:r>
        <w:t xml:space="preserve"/>
      </w:r>
    </w:p>
    <w:p>
      <w:pPr>
        <w:pBdr>
          <w:bottom w:val="single" w:color="4B2FB8" w:sz="6" w:space="6"/>
        </w:pBdr>
        <w:spacing w:after="200" w:before="400"/>
      </w:pPr>
      <w:r>
        <w:rPr>
          <w:rFonts w:ascii="Arial" w:cs="Arial" w:eastAsia="Arial" w:hAnsi="Arial"/>
          <w:b/>
          <w:bCs/>
          <w:color w:val="0A0618"/>
          <w:sz w:val="32"/>
          <w:szCs w:val="32"/>
        </w:rPr>
        <w:t xml:space="preserve">6. Roadmap</w:t>
      </w:r>
    </w:p>
    <w:p>
      <w:pPr>
        <w:spacing w:after="120" w:before="280"/>
      </w:pPr>
      <w:r>
        <w:rPr>
          <w:rFonts w:ascii="Arial" w:cs="Arial" w:eastAsia="Arial" w:hAnsi="Arial"/>
          <w:b/>
          <w:bCs/>
          <w:color w:val="1D9E75"/>
          <w:sz w:val="26"/>
          <w:szCs w:val="26"/>
        </w:rPr>
        <w:t xml:space="preserve">V1 — Core Wallet (Current Build)</w:t>
      </w:r>
    </w:p>
    <w:p>
      <w:pPr>
        <w:pStyle w:val="ListParagraph"/>
        <w:numPr>
          <w:ilvl w:val="0"/>
          <w:numId w:val="2"/>
        </w:numPr>
        <w:spacing w:after="40" w:before="40"/>
      </w:pPr>
      <w:r>
        <w:rPr>
          <w:rFonts w:ascii="Arial" w:cs="Arial" w:eastAsia="Arial" w:hAnsi="Arial"/>
          <w:color w:val="333333"/>
          <w:sz w:val="21"/>
          <w:szCs w:val="21"/>
        </w:rPr>
        <w:t xml:space="preserve">Non-custodial wallet with full key management</w:t>
      </w:r>
    </w:p>
    <w:p>
      <w:pPr>
        <w:pStyle w:val="ListParagraph"/>
        <w:numPr>
          <w:ilvl w:val="0"/>
          <w:numId w:val="2"/>
        </w:numPr>
        <w:spacing w:after="40" w:before="40"/>
      </w:pPr>
      <w:r>
        <w:rPr>
          <w:rFonts w:ascii="Arial" w:cs="Arial" w:eastAsia="Arial" w:hAnsi="Arial"/>
          <w:color w:val="333333"/>
          <w:sz w:val="21"/>
          <w:szCs w:val="21"/>
        </w:rPr>
        <w:t xml:space="preserve">Six-agent transaction analysis stack</w:t>
      </w:r>
    </w:p>
    <w:p>
      <w:pPr>
        <w:pStyle w:val="ListParagraph"/>
        <w:numPr>
          <w:ilvl w:val="0"/>
          <w:numId w:val="2"/>
        </w:numPr>
        <w:spacing w:after="40" w:before="40"/>
      </w:pPr>
      <w:r>
        <w:rPr>
          <w:rFonts w:ascii="Arial" w:cs="Arial" w:eastAsia="Arial" w:hAnsi="Arial"/>
          <w:color w:val="333333"/>
          <w:sz w:val="21"/>
          <w:szCs w:val="21"/>
        </w:rPr>
        <w:t xml:space="preserve">Three UI modes (Everyday, Informed, Pro)</w:t>
      </w:r>
    </w:p>
    <w:p>
      <w:pPr>
        <w:pStyle w:val="ListParagraph"/>
        <w:numPr>
          <w:ilvl w:val="0"/>
          <w:numId w:val="2"/>
        </w:numPr>
        <w:spacing w:after="40" w:before="40"/>
      </w:pPr>
      <w:r>
        <w:rPr>
          <w:rFonts w:ascii="Arial" w:cs="Arial" w:eastAsia="Arial" w:hAnsi="Arial"/>
          <w:color w:val="333333"/>
          <w:sz w:val="21"/>
          <w:szCs w:val="21"/>
        </w:rPr>
        <w:t xml:space="preserve">Constitutional Drift Detection Protocol</w:t>
      </w:r>
    </w:p>
    <w:p>
      <w:pPr>
        <w:pStyle w:val="ListParagraph"/>
        <w:numPr>
          <w:ilvl w:val="0"/>
          <w:numId w:val="2"/>
        </w:numPr>
        <w:spacing w:after="40" w:before="40"/>
      </w:pPr>
      <w:r>
        <w:rPr>
          <w:rFonts w:ascii="Arial" w:cs="Arial" w:eastAsia="Arial" w:hAnsi="Arial"/>
          <w:color w:val="333333"/>
          <w:sz w:val="21"/>
          <w:szCs w:val="21"/>
        </w:rPr>
        <w:t xml:space="preserve">Conversational AI layer — users ask questions directly about transactions</w:t>
      </w:r>
    </w:p>
    <w:p>
      <w:pPr>
        <w:pStyle w:val="ListParagraph"/>
        <w:numPr>
          <w:ilvl w:val="0"/>
          <w:numId w:val="2"/>
        </w:numPr>
        <w:spacing w:after="40" w:before="40"/>
      </w:pPr>
      <w:r>
        <w:rPr>
          <w:rFonts w:ascii="Arial" w:cs="Arial" w:eastAsia="Arial" w:hAnsi="Arial"/>
          <w:color w:val="333333"/>
          <w:sz w:val="21"/>
          <w:szCs w:val="21"/>
        </w:rPr>
        <w:t xml:space="preserve">Adaptive language rendering system (Patent Pending)</w:t>
      </w:r>
    </w:p>
    <w:p>
      <w:pPr>
        <w:spacing w:after="0" w:before="80"/>
      </w:pPr>
      <w:r>
        <w:t xml:space="preserve"/>
      </w:r>
    </w:p>
    <w:p>
      <w:pPr>
        <w:spacing w:after="120" w:before="280"/>
      </w:pPr>
      <w:r>
        <w:rPr>
          <w:rFonts w:ascii="Arial" w:cs="Arial" w:eastAsia="Arial" w:hAnsi="Arial"/>
          <w:b/>
          <w:bCs/>
          <w:color w:val="4B2FB8"/>
          <w:sz w:val="26"/>
          <w:szCs w:val="26"/>
        </w:rPr>
        <w:t xml:space="preserve">V2 — Intelligence Expansion</w:t>
      </w:r>
    </w:p>
    <w:p>
      <w:pPr>
        <w:pStyle w:val="ListParagraph"/>
        <w:numPr>
          <w:ilvl w:val="0"/>
          <w:numId w:val="2"/>
        </w:numPr>
        <w:spacing w:after="40" w:before="40"/>
      </w:pPr>
      <w:r>
        <w:rPr>
          <w:rFonts w:ascii="Arial" w:cs="Arial" w:eastAsia="Arial" w:hAnsi="Arial"/>
          <w:color w:val="333333"/>
          <w:sz w:val="21"/>
          <w:szCs w:val="21"/>
        </w:rPr>
        <w:t xml:space="preserve">Customer Service Architecture — four-tier escalation system</w:t>
      </w:r>
    </w:p>
    <w:p>
      <w:pPr>
        <w:pStyle w:val="ListParagraph"/>
        <w:numPr>
          <w:ilvl w:val="0"/>
          <w:numId w:val="2"/>
        </w:numPr>
        <w:spacing w:after="40" w:before="40"/>
      </w:pPr>
      <w:r>
        <w:rPr>
          <w:rFonts w:ascii="Arial" w:cs="Arial" w:eastAsia="Arial" w:hAnsi="Arial"/>
          <w:color w:val="333333"/>
          <w:sz w:val="21"/>
          <w:szCs w:val="21"/>
        </w:rPr>
        <w:t xml:space="preserve">NFT as Real World Assets — six categories including identity, financial instruments, memberships</w:t>
      </w:r>
    </w:p>
    <w:p>
      <w:pPr>
        <w:pStyle w:val="ListParagraph"/>
        <w:numPr>
          <w:ilvl w:val="0"/>
          <w:numId w:val="2"/>
        </w:numPr>
        <w:spacing w:after="40" w:before="40"/>
      </w:pPr>
      <w:r>
        <w:rPr>
          <w:rFonts w:ascii="Arial" w:cs="Arial" w:eastAsia="Arial" w:hAnsi="Arial"/>
          <w:color w:val="333333"/>
          <w:sz w:val="21"/>
          <w:szCs w:val="21"/>
        </w:rPr>
        <w:t xml:space="preserve">Multi-language support: French, German, Spanish</w:t>
      </w:r>
    </w:p>
    <w:p>
      <w:pPr>
        <w:pStyle w:val="ListParagraph"/>
        <w:numPr>
          <w:ilvl w:val="0"/>
          <w:numId w:val="2"/>
        </w:numPr>
        <w:spacing w:after="40" w:before="40"/>
      </w:pPr>
      <w:r>
        <w:rPr>
          <w:rFonts w:ascii="Arial" w:cs="Arial" w:eastAsia="Arial" w:hAnsi="Arial"/>
          <w:color w:val="333333"/>
          <w:sz w:val="21"/>
          <w:szCs w:val="21"/>
        </w:rPr>
        <w:t xml:space="preserve">Enhanced portfolio intelligence with cross-chain aggregation</w:t>
      </w:r>
    </w:p>
    <w:p>
      <w:pPr>
        <w:pStyle w:val="ListParagraph"/>
        <w:numPr>
          <w:ilvl w:val="0"/>
          <w:numId w:val="2"/>
        </w:numPr>
        <w:spacing w:after="40" w:before="40"/>
      </w:pPr>
      <w:r>
        <w:rPr>
          <w:rFonts w:ascii="Arial" w:cs="Arial" w:eastAsia="Arial" w:hAnsi="Arial"/>
          <w:color w:val="333333"/>
          <w:sz w:val="21"/>
          <w:szCs w:val="21"/>
        </w:rPr>
        <w:t xml:space="preserve">Social Recovery tier for at-risk user situations</w:t>
      </w:r>
    </w:p>
    <w:p>
      <w:pPr>
        <w:spacing w:after="0" w:before="80"/>
      </w:pPr>
      <w:r>
        <w:t xml:space="preserve"/>
      </w:r>
    </w:p>
    <w:p>
      <w:pPr>
        <w:spacing w:after="120" w:before="280"/>
      </w:pPr>
      <w:r>
        <w:rPr>
          <w:rFonts w:ascii="Arial" w:cs="Arial" w:eastAsia="Arial" w:hAnsi="Arial"/>
          <w:b/>
          <w:bCs/>
          <w:color w:val="D85A30"/>
          <w:sz w:val="26"/>
          <w:szCs w:val="26"/>
        </w:rPr>
        <w:t xml:space="preserve">Phase 3 — Ecosystem Scale</w:t>
      </w:r>
    </w:p>
    <w:p>
      <w:pPr>
        <w:pStyle w:val="ListParagraph"/>
        <w:numPr>
          <w:ilvl w:val="0"/>
          <w:numId w:val="2"/>
        </w:numPr>
        <w:spacing w:after="40" w:before="40"/>
      </w:pPr>
      <w:r>
        <w:rPr>
          <w:rFonts w:ascii="Arial" w:cs="Arial" w:eastAsia="Arial" w:hAnsi="Arial"/>
          <w:color w:val="333333"/>
          <w:sz w:val="21"/>
          <w:szCs w:val="21"/>
        </w:rPr>
        <w:t xml:space="preserve">NFC tap-to-pay merchant network — sub-500ms authorization matching card network speed</w:t>
      </w:r>
    </w:p>
    <w:p>
      <w:pPr>
        <w:pStyle w:val="ListParagraph"/>
        <w:numPr>
          <w:ilvl w:val="0"/>
          <w:numId w:val="2"/>
        </w:numPr>
        <w:spacing w:after="40" w:before="40"/>
      </w:pPr>
      <w:r>
        <w:rPr>
          <w:rFonts w:ascii="Arial" w:cs="Arial" w:eastAsia="Arial" w:hAnsi="Arial"/>
          <w:color w:val="333333"/>
          <w:sz w:val="21"/>
          <w:szCs w:val="21"/>
        </w:rPr>
        <w:t xml:space="preserve">VLCR governance token and DAO launch</w:t>
      </w:r>
    </w:p>
    <w:p>
      <w:pPr>
        <w:pStyle w:val="ListParagraph"/>
        <w:numPr>
          <w:ilvl w:val="0"/>
          <w:numId w:val="2"/>
        </w:numPr>
        <w:spacing w:after="40" w:before="40"/>
      </w:pPr>
      <w:r>
        <w:rPr>
          <w:rFonts w:ascii="Arial" w:cs="Arial" w:eastAsia="Arial" w:hAnsi="Arial"/>
          <w:color w:val="333333"/>
          <w:sz w:val="21"/>
          <w:szCs w:val="21"/>
        </w:rPr>
        <w:t xml:space="preserve">Gasless relayer network — decentralized, VLCR-staker operated</w:t>
      </w:r>
    </w:p>
    <w:p>
      <w:pPr>
        <w:pStyle w:val="ListParagraph"/>
        <w:numPr>
          <w:ilvl w:val="0"/>
          <w:numId w:val="2"/>
        </w:numPr>
        <w:spacing w:after="40" w:before="40"/>
      </w:pPr>
      <w:r>
        <w:rPr>
          <w:rFonts w:ascii="Arial" w:cs="Arial" w:eastAsia="Arial" w:hAnsi="Arial"/>
          <w:color w:val="333333"/>
          <w:sz w:val="21"/>
          <w:szCs w:val="21"/>
        </w:rPr>
        <w:t xml:space="preserve">Multi-language expansion: Arabic, Turkish</w:t>
      </w:r>
    </w:p>
    <w:p>
      <w:pPr>
        <w:pStyle w:val="ListParagraph"/>
        <w:numPr>
          <w:ilvl w:val="0"/>
          <w:numId w:val="2"/>
        </w:numPr>
        <w:spacing w:after="40" w:before="40"/>
      </w:pPr>
      <w:r>
        <w:rPr>
          <w:rFonts w:ascii="Arial" w:cs="Arial" w:eastAsia="Arial" w:hAnsi="Arial"/>
          <w:color w:val="333333"/>
          <w:sz w:val="21"/>
          <w:szCs w:val="21"/>
        </w:rPr>
        <w:t xml:space="preserve">Hookloop AI stock trading integration (hookandloop.dev)</w:t>
      </w:r>
    </w:p>
    <w:p>
      <w:pPr>
        <w:pStyle w:val="ListParagraph"/>
        <w:numPr>
          <w:ilvl w:val="0"/>
          <w:numId w:val="2"/>
        </w:numPr>
        <w:spacing w:after="40" w:before="40"/>
      </w:pPr>
      <w:r>
        <w:rPr>
          <w:rFonts w:ascii="Arial" w:cs="Arial" w:eastAsia="Arial" w:hAnsi="Arial"/>
          <w:color w:val="333333"/>
          <w:sz w:val="21"/>
          <w:szCs w:val="21"/>
        </w:rPr>
        <w:t xml:space="preserve">Vela Protocol open developer licensing</w:t>
      </w:r>
    </w:p>
    <w:p>
      <w:pPr>
        <w:pStyle w:val="ListParagraph"/>
        <w:numPr>
          <w:ilvl w:val="0"/>
          <w:numId w:val="2"/>
        </w:numPr>
        <w:spacing w:after="40" w:before="40"/>
      </w:pPr>
      <w:r>
        <w:rPr>
          <w:rFonts w:ascii="Arial" w:cs="Arial" w:eastAsia="Arial" w:hAnsi="Arial"/>
          <w:color w:val="333333"/>
          <w:sz w:val="21"/>
          <w:szCs w:val="21"/>
        </w:rPr>
        <w:t xml:space="preserve">$3.5M seed round target</w:t>
      </w:r>
    </w:p>
    <w:p>
      <w:pPr>
        <w:spacing w:after="0" w:before="160"/>
      </w:pPr>
      <w:r>
        <w:t xml:space="preserve"/>
      </w:r>
    </w:p>
    <w:p>
      <w:pPr>
        <w:pBdr>
          <w:bottom w:val="single" w:color="4B2FB8" w:sz="6" w:space="6"/>
        </w:pBdr>
        <w:spacing w:after="200" w:before="400"/>
      </w:pPr>
      <w:r>
        <w:rPr>
          <w:rFonts w:ascii="Arial" w:cs="Arial" w:eastAsia="Arial" w:hAnsi="Arial"/>
          <w:b/>
          <w:bCs/>
          <w:color w:val="0A0618"/>
          <w:sz w:val="32"/>
          <w:szCs w:val="32"/>
        </w:rPr>
        <w:t xml:space="preserve">7. Intellectual Property</w:t>
      </w:r>
    </w:p>
    <w:p>
      <w:pPr>
        <w:spacing w:after="120" w:before="60"/>
        <w:jc w:val="both"/>
      </w:pPr>
      <w:r>
        <w:rPr>
          <w:rFonts w:ascii="Arial" w:cs="Arial" w:eastAsia="Arial" w:hAnsi="Arial"/>
          <w:color w:val="222222"/>
          <w:sz w:val="22"/>
          <w:szCs w:val="22"/>
        </w:rPr>
        <w:t xml:space="preserve">Velcro Wallet LLC holds three provisional patent applications filed at the USPTO under micro entity status. All three patents reside in the orchestration architecture — not in the underlying model. Velcro’s competitive moat is model-agnostic by design.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B2FB8" w:sz="6"/>
              <w:left w:val="single" w:color="4B2FB8" w:sz="6"/>
              <w:bottom w:val="single" w:color="4B2FB8" w:sz="6"/>
              <w:right w:val="single" w:color="4B2FB8" w:sz="6"/>
            </w:tcBorders>
            <w:shd w:fill="F8F6FF" w:val="clear"/>
            <w:tcMar>
              <w:top w:type="dxa" w:w="120"/>
              <w:left w:type="dxa" w:w="200"/>
              <w:bottom w:type="dxa" w:w="120"/>
              <w:right w:type="dxa" w:w="160"/>
            </w:tcMar>
          </w:tcPr>
          <w:p>
            <w:pPr>
              <w:spacing w:after="60" w:before="0"/>
            </w:pPr>
            <w:r>
              <w:rPr>
                <w:rFonts w:ascii="Arial" w:cs="Arial" w:eastAsia="Arial" w:hAnsi="Arial"/>
                <w:b/>
                <w:bCs/>
                <w:caps/>
                <w:color w:val="4B2FB8"/>
                <w:sz w:val="17"/>
                <w:szCs w:val="17"/>
              </w:rPr>
              <w:t xml:space="preserve">PROVISIONAL PATENT 1 — USPTO MICRO ENTITY</w:t>
            </w:r>
          </w:p>
          <w:p>
            <w:pPr>
              <w:spacing w:after="60" w:before="0"/>
            </w:pPr>
            <w:r>
              <w:rPr>
                <w:rFonts w:ascii="Arial" w:cs="Arial" w:eastAsia="Arial" w:hAnsi="Arial"/>
                <w:b/>
                <w:bCs/>
                <w:color w:val="0A0618"/>
                <w:sz w:val="22"/>
                <w:szCs w:val="22"/>
              </w:rPr>
              <w:t xml:space="preserve">Adaptive Multi-Mode Language Rendering System</w:t>
            </w:r>
          </w:p>
          <w:p>
            <w:pPr>
              <w:jc w:val="both"/>
            </w:pPr>
            <w:r>
              <w:rPr>
                <w:rFonts w:ascii="Arial" w:cs="Arial" w:eastAsia="Arial" w:hAnsi="Arial"/>
                <w:color w:val="444444"/>
                <w:sz w:val="20"/>
                <w:szCs w:val="20"/>
              </w:rPr>
              <w:t xml:space="preserve">The system by which the AI layer dynamically adjusts output language register, technical depth, and presentation format in response to user-selected wallet mode and inferred financial literacy level. Covers the Language Agent architecture, mode-switching protocol, and terminology adaptation system.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B2FB8" w:sz="6"/>
              <w:left w:val="single" w:color="4B2FB8" w:sz="6"/>
              <w:bottom w:val="single" w:color="4B2FB8" w:sz="6"/>
              <w:right w:val="single" w:color="4B2FB8" w:sz="6"/>
            </w:tcBorders>
            <w:shd w:fill="F8F6FF" w:val="clear"/>
            <w:tcMar>
              <w:top w:type="dxa" w:w="120"/>
              <w:left w:type="dxa" w:w="200"/>
              <w:bottom w:type="dxa" w:w="120"/>
              <w:right w:type="dxa" w:w="160"/>
            </w:tcMar>
          </w:tcPr>
          <w:p>
            <w:pPr>
              <w:spacing w:after="60" w:before="0"/>
            </w:pPr>
            <w:r>
              <w:rPr>
                <w:rFonts w:ascii="Arial" w:cs="Arial" w:eastAsia="Arial" w:hAnsi="Arial"/>
                <w:b/>
                <w:bCs/>
                <w:caps/>
                <w:color w:val="4B2FB8"/>
                <w:sz w:val="17"/>
                <w:szCs w:val="17"/>
              </w:rPr>
              <w:t xml:space="preserve">PROVISIONAL PATENT 2 — USPTO MICRO ENTITY</w:t>
            </w:r>
          </w:p>
          <w:p>
            <w:pPr>
              <w:spacing w:after="60" w:before="0"/>
            </w:pPr>
            <w:r>
              <w:rPr>
                <w:rFonts w:ascii="Arial" w:cs="Arial" w:eastAsia="Arial" w:hAnsi="Arial"/>
                <w:b/>
                <w:bCs/>
                <w:color w:val="0A0618"/>
                <w:sz w:val="22"/>
                <w:szCs w:val="22"/>
              </w:rPr>
              <w:t xml:space="preserve">Multi-Agent AI Coordination System for Pre-Authorization Analysis</w:t>
            </w:r>
          </w:p>
          <w:p>
            <w:pPr>
              <w:jc w:val="both"/>
            </w:pPr>
            <w:r>
              <w:rPr>
                <w:rFonts w:ascii="Arial" w:cs="Arial" w:eastAsia="Arial" w:hAnsi="Arial"/>
                <w:color w:val="444444"/>
                <w:sz w:val="20"/>
                <w:szCs w:val="20"/>
              </w:rPr>
              <w:t xml:space="preserve">The six-agent parallel coordination architecture, Orchestrator Agent protocol, conflict resolution system, and human authorization preservation mechanism. Covers the complete agent dispatch, synthesis, and escalation architecture.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5A30" w:sz="6"/>
              <w:left w:val="single" w:color="D85A30" w:sz="6"/>
              <w:bottom w:val="single" w:color="D85A30" w:sz="6"/>
              <w:right w:val="single" w:color="D85A30" w:sz="6"/>
            </w:tcBorders>
            <w:shd w:fill="F8F6FF" w:val="clear"/>
            <w:tcMar>
              <w:top w:type="dxa" w:w="120"/>
              <w:left w:type="dxa" w:w="200"/>
              <w:bottom w:type="dxa" w:w="120"/>
              <w:right w:type="dxa" w:w="160"/>
            </w:tcMar>
          </w:tcPr>
          <w:p>
            <w:pPr>
              <w:spacing w:after="60" w:before="0"/>
            </w:pPr>
            <w:r>
              <w:rPr>
                <w:rFonts w:ascii="Arial" w:cs="Arial" w:eastAsia="Arial" w:hAnsi="Arial"/>
                <w:b/>
                <w:bCs/>
                <w:caps/>
                <w:color w:val="D85A30"/>
                <w:sz w:val="17"/>
                <w:szCs w:val="17"/>
              </w:rPr>
              <w:t xml:space="preserve">PROVISIONAL PATENT 3 — USPTO MICRO ENTITY</w:t>
            </w:r>
          </w:p>
          <w:p>
            <w:pPr>
              <w:spacing w:after="60" w:before="0"/>
            </w:pPr>
            <w:r>
              <w:rPr>
                <w:rFonts w:ascii="Arial" w:cs="Arial" w:eastAsia="Arial" w:hAnsi="Arial"/>
                <w:b/>
                <w:bCs/>
                <w:color w:val="0A0618"/>
                <w:sz w:val="22"/>
                <w:szCs w:val="22"/>
              </w:rPr>
              <w:t xml:space="preserve">Constitutional Drift Detection and Agent Coherence Enforcement System</w:t>
            </w:r>
          </w:p>
          <w:p>
            <w:pPr>
              <w:jc w:val="both"/>
            </w:pPr>
            <w:r>
              <w:rPr>
                <w:rFonts w:ascii="Arial" w:cs="Arial" w:eastAsia="Arial" w:hAnsi="Arial"/>
                <w:color w:val="444444"/>
                <w:sz w:val="20"/>
                <w:szCs w:val="20"/>
              </w:rPr>
              <w:t xml:space="preserve">The runtime coherence monitoring protocol, graduated threshold architecture (0.13 / 0.15 / 0.17), constitutional core definition, mandatory escalation enforcement system, and tamper-evident audit trail. This is the trust layer that makes AI-assisted financial decisions safe enough to act on.</w:t>
            </w:r>
          </w:p>
        </w:tc>
      </w:tr>
    </w:tbl>
    <w:p>
      <w:pPr>
        <w:spacing w:after="0" w:before="80"/>
      </w:pPr>
      <w:r>
        <w:t xml:space="preserve"/>
      </w:r>
    </w:p>
    <w:p>
      <w:pPr>
        <w:spacing w:after="120" w:before="60"/>
        <w:jc w:val="both"/>
      </w:pPr>
      <w:r>
        <w:rPr>
          <w:rFonts w:ascii="Arial" w:cs="Arial" w:eastAsia="Arial" w:hAnsi="Arial"/>
          <w:color w:val="222222"/>
          <w:sz w:val="22"/>
          <w:szCs w:val="22"/>
        </w:rPr>
        <w:t xml:space="preserve">Trademark applications have been prepared for VELCRO WALLET (Class 36 — financial services) and VELA (Class 42 — software and technology platform services) with the USPTO.</w:t>
      </w:r>
    </w:p>
    <w:p>
      <w:pPr>
        <w:spacing w:after="0" w:before="160"/>
      </w:pPr>
      <w:r>
        <w:t xml:space="preserve"/>
      </w:r>
    </w:p>
    <w:p>
      <w:pPr>
        <w:pBdr>
          <w:bottom w:val="single" w:color="4B2FB8" w:sz="6" w:space="6"/>
        </w:pBdr>
        <w:spacing w:after="200" w:before="400"/>
      </w:pPr>
      <w:r>
        <w:rPr>
          <w:rFonts w:ascii="Arial" w:cs="Arial" w:eastAsia="Arial" w:hAnsi="Arial"/>
          <w:b/>
          <w:bCs/>
          <w:color w:val="0A0618"/>
          <w:sz w:val="32"/>
          <w:szCs w:val="32"/>
        </w:rPr>
        <w:t xml:space="preserve">8. Funding Requirements</w:t>
      </w:r>
    </w:p>
    <w:p>
      <w:pPr>
        <w:spacing w:after="120" w:before="60"/>
        <w:jc w:val="both"/>
      </w:pPr>
      <w:r>
        <w:rPr>
          <w:rFonts w:ascii="Arial" w:cs="Arial" w:eastAsia="Arial" w:hAnsi="Arial"/>
          <w:color w:val="222222"/>
          <w:sz w:val="22"/>
          <w:szCs w:val="22"/>
        </w:rPr>
        <w:t xml:space="preserve">Velcro Wallet is seeking seed funding to complete V1 development, establish the merchant network foundation, and scale the team for V2.</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EEFF" w:val="clear"/>
            <w:tcMar>
              <w:top w:type="dxa" w:w="80"/>
              <w:left w:type="dxa" w:w="160"/>
              <w:bottom w:type="dxa" w:w="80"/>
              <w:right w:type="dxa" w:w="80"/>
            </w:tcMar>
          </w:tcPr>
          <w:p>
            <w:r>
              <w:rPr>
                <w:rFonts w:ascii="Arial" w:cs="Arial" w:eastAsia="Arial" w:hAnsi="Arial"/>
                <w:b/>
                <w:bCs/>
                <w:color w:val="4B2FB8"/>
                <w:sz w:val="20"/>
                <w:szCs w:val="20"/>
              </w:rPr>
              <w:t xml:space="preserve">Engineering</w:t>
            </w:r>
          </w:p>
        </w:tc>
        <w:tc>
          <w:tcPr>
            <w:tcW w:type="dxa" w:w="65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tcPr>
          <w:p>
            <w:r>
              <w:rPr>
                <w:rFonts w:ascii="Arial" w:cs="Arial" w:eastAsia="Arial" w:hAnsi="Arial"/>
                <w:color w:val="333333"/>
                <w:sz w:val="20"/>
                <w:szCs w:val="20"/>
              </w:rPr>
              <w:t xml:space="preserve">V1 wallet completion, agent stack hardening, security audit, production deployment infrastructure.</w:t>
            </w:r>
          </w:p>
        </w:tc>
      </w:tr>
      <w:tr>
        <w:tc>
          <w:tcPr>
            <w:tcW w:type="dxa" w:w="2800"/>
            <w:tcBorders>
              <w:top w:val="single" w:color="DDDDDD" w:sz="1"/>
              <w:left w:val="single" w:color="DDDDDD" w:sz="1"/>
              <w:bottom w:val="single" w:color="DDDDDD" w:sz="1"/>
              <w:right w:val="single" w:color="DDDDDD" w:sz="1"/>
            </w:tcBorders>
            <w:shd w:fill="F0EEFF" w:val="clear"/>
            <w:tcMar>
              <w:top w:type="dxa" w:w="80"/>
              <w:left w:type="dxa" w:w="160"/>
              <w:bottom w:type="dxa" w:w="80"/>
              <w:right w:type="dxa" w:w="80"/>
            </w:tcMar>
          </w:tcPr>
          <w:p>
            <w:r>
              <w:rPr>
                <w:rFonts w:ascii="Arial" w:cs="Arial" w:eastAsia="Arial" w:hAnsi="Arial"/>
                <w:b/>
                <w:bCs/>
                <w:color w:val="4B2FB8"/>
                <w:sz w:val="20"/>
                <w:szCs w:val="20"/>
              </w:rPr>
              <w:t xml:space="preserve">Legal &amp; Compliance</w:t>
            </w:r>
          </w:p>
        </w:tc>
        <w:tc>
          <w:tcPr>
            <w:tcW w:type="dxa" w:w="65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tcPr>
          <w:p>
            <w:r>
              <w:rPr>
                <w:rFonts w:ascii="Arial" w:cs="Arial" w:eastAsia="Arial" w:hAnsi="Arial"/>
                <w:color w:val="333333"/>
                <w:sz w:val="20"/>
                <w:szCs w:val="20"/>
              </w:rPr>
              <w:t xml:space="preserve">Nonprovisional patent filings, trademark registrations, ongoing regulatory counsel for AI-assisted financial products.</w:t>
            </w:r>
          </w:p>
        </w:tc>
      </w:tr>
      <w:tr>
        <w:tc>
          <w:tcPr>
            <w:tcW w:type="dxa" w:w="2800"/>
            <w:tcBorders>
              <w:top w:val="single" w:color="DDDDDD" w:sz="1"/>
              <w:left w:val="single" w:color="DDDDDD" w:sz="1"/>
              <w:bottom w:val="single" w:color="DDDDDD" w:sz="1"/>
              <w:right w:val="single" w:color="DDDDDD" w:sz="1"/>
            </w:tcBorders>
            <w:shd w:fill="F0EEFF" w:val="clear"/>
            <w:tcMar>
              <w:top w:type="dxa" w:w="80"/>
              <w:left w:type="dxa" w:w="160"/>
              <w:bottom w:type="dxa" w:w="80"/>
              <w:right w:type="dxa" w:w="80"/>
            </w:tcMar>
          </w:tcPr>
          <w:p>
            <w:r>
              <w:rPr>
                <w:rFonts w:ascii="Arial" w:cs="Arial" w:eastAsia="Arial" w:hAnsi="Arial"/>
                <w:b/>
                <w:bCs/>
                <w:color w:val="1D9E75"/>
                <w:sz w:val="20"/>
                <w:szCs w:val="20"/>
              </w:rPr>
              <w:t xml:space="preserve">Go-to-Market</w:t>
            </w:r>
          </w:p>
        </w:tc>
        <w:tc>
          <w:tcPr>
            <w:tcW w:type="dxa" w:w="65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tcPr>
          <w:p>
            <w:r>
              <w:rPr>
                <w:rFonts w:ascii="Arial" w:cs="Arial" w:eastAsia="Arial" w:hAnsi="Arial"/>
                <w:color w:val="333333"/>
                <w:sz w:val="20"/>
                <w:szCs w:val="20"/>
              </w:rPr>
              <w:t xml:space="preserve">Developer community outreach, Vela Protocol documentation and SDK, content marketing via NeuralPulse and velcro.dev.</w:t>
            </w:r>
          </w:p>
        </w:tc>
      </w:tr>
      <w:tr>
        <w:tc>
          <w:tcPr>
            <w:tcW w:type="dxa" w:w="2800"/>
            <w:tcBorders>
              <w:top w:val="single" w:color="DDDDDD" w:sz="1"/>
              <w:left w:val="single" w:color="DDDDDD" w:sz="1"/>
              <w:bottom w:val="single" w:color="DDDDDD" w:sz="1"/>
              <w:right w:val="single" w:color="DDDDDD" w:sz="1"/>
            </w:tcBorders>
            <w:shd w:fill="F0EEFF" w:val="clear"/>
            <w:tcMar>
              <w:top w:type="dxa" w:w="80"/>
              <w:left w:type="dxa" w:w="160"/>
              <w:bottom w:type="dxa" w:w="80"/>
              <w:right w:type="dxa" w:w="80"/>
            </w:tcMar>
          </w:tcPr>
          <w:p>
            <w:r>
              <w:rPr>
                <w:rFonts w:ascii="Arial" w:cs="Arial" w:eastAsia="Arial" w:hAnsi="Arial"/>
                <w:b/>
                <w:bCs/>
                <w:color w:val="555555"/>
                <w:sz w:val="20"/>
                <w:szCs w:val="20"/>
              </w:rPr>
              <w:t xml:space="preserve">Operations</w:t>
            </w:r>
          </w:p>
        </w:tc>
        <w:tc>
          <w:tcPr>
            <w:tcW w:type="dxa" w:w="65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tcPr>
          <w:p>
            <w:r>
              <w:rPr>
                <w:rFonts w:ascii="Arial" w:cs="Arial" w:eastAsia="Arial" w:hAnsi="Arial"/>
                <w:color w:val="333333"/>
                <w:sz w:val="20"/>
                <w:szCs w:val="20"/>
              </w:rPr>
              <w:t xml:space="preserve">Registered agent, entity maintenance, accounting, and insurance.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4B2FB8" w:sz="20"/>
              <w:bottom w:val="single" w:color="DDDDDD" w:sz="1"/>
              <w:right w:val="single" w:color="DDDDDD" w:sz="1"/>
            </w:tcBorders>
            <w:shd w:fill="F0EEFF" w:val="clear"/>
            <w:tcMar>
              <w:top w:type="dxa" w:w="140"/>
              <w:left w:type="dxa" w:w="240"/>
              <w:bottom w:type="dxa" w:w="140"/>
              <w:right w:type="dxa" w:w="160"/>
            </w:tcMar>
          </w:tcPr>
          <w:p>
            <w:pPr>
              <w:jc w:val="both"/>
            </w:pPr>
            <w:r>
              <w:rPr>
                <w:rFonts w:ascii="Arial" w:cs="Arial" w:eastAsia="Arial" w:hAnsi="Arial"/>
                <w:i/>
                <w:iCs/>
                <w:color w:val="333333"/>
                <w:sz w:val="21"/>
                <w:szCs w:val="21"/>
              </w:rPr>
              <w:t xml:space="preserve">Detailed budget breakdown and milestone-based funding schedule available on request through the investor vault at velcro.dev/documents (access key: VLCR2026).</w:t>
            </w:r>
          </w:p>
        </w:tc>
      </w:tr>
    </w:tbl>
    <w:p>
      <w:pPr>
        <w:spacing w:after="0" w:before="160"/>
      </w:pPr>
      <w:r>
        <w:t xml:space="preserve"/>
      </w:r>
    </w:p>
    <w:p>
      <w:pPr>
        <w:pBdr>
          <w:bottom w:val="single" w:color="4B2FB8" w:sz="6" w:space="6"/>
        </w:pBdr>
        <w:spacing w:after="200" w:before="400"/>
      </w:pPr>
      <w:r>
        <w:rPr>
          <w:rFonts w:ascii="Arial" w:cs="Arial" w:eastAsia="Arial" w:hAnsi="Arial"/>
          <w:b/>
          <w:bCs/>
          <w:color w:val="0A0618"/>
          <w:sz w:val="32"/>
          <w:szCs w:val="32"/>
        </w:rPr>
        <w:t xml:space="preserve">9. Legal Structure and Risk</w:t>
      </w:r>
    </w:p>
    <w:p>
      <w:pPr>
        <w:spacing w:after="120" w:before="280"/>
      </w:pPr>
      <w:r>
        <w:rPr>
          <w:rFonts w:ascii="Arial" w:cs="Arial" w:eastAsia="Arial" w:hAnsi="Arial"/>
          <w:b/>
          <w:bCs/>
          <w:color w:val="2D1A8A"/>
          <w:sz w:val="26"/>
          <w:szCs w:val="26"/>
        </w:rPr>
        <w:t xml:space="preserve">9.1 Entity Structure</w:t>
      </w:r>
    </w:p>
    <w:p>
      <w:pPr>
        <w:spacing w:after="120" w:before="60"/>
        <w:jc w:val="both"/>
      </w:pPr>
      <w:r>
        <w:rPr>
          <w:rFonts w:ascii="Arial" w:cs="Arial" w:eastAsia="Arial" w:hAnsi="Arial"/>
          <w:color w:val="222222"/>
          <w:sz w:val="22"/>
          <w:szCs w:val="22"/>
        </w:rPr>
        <w:t xml:space="preserve">Velcro Wallet LLC is a Wyoming limited liability company. The choice of Wyoming reflects the state’s leadership in crypto-friendly LLC legislation, strong asset protection statutes, and established precedent for DAO and digital asset structures. Articles of Organization and Operating Agreement are on file and available in the investor vault.</w:t>
      </w:r>
    </w:p>
    <w:p>
      <w:pPr>
        <w:spacing w:after="120" w:before="60"/>
        <w:jc w:val="both"/>
      </w:pPr>
      <w:r>
        <w:rPr>
          <w:rFonts w:ascii="Arial" w:cs="Arial" w:eastAsia="Arial" w:hAnsi="Arial"/>
          <w:color w:val="222222"/>
          <w:sz w:val="22"/>
          <w:szCs w:val="22"/>
        </w:rPr>
        <w:t xml:space="preserve">The founder holds Swiss citizenship — enabling a planned Swiss GmbH formation for European operations under FINMA jurisdiction, one of the most respected and crypto-forward regulatory frameworks globally.</w:t>
      </w:r>
    </w:p>
    <w:p>
      <w:pPr>
        <w:spacing w:after="0" w:before="80"/>
      </w:pPr>
      <w:r>
        <w:t xml:space="preserve"/>
      </w:r>
    </w:p>
    <w:p>
      <w:pPr>
        <w:spacing w:after="120" w:before="280"/>
      </w:pPr>
      <w:r>
        <w:rPr>
          <w:rFonts w:ascii="Arial" w:cs="Arial" w:eastAsia="Arial" w:hAnsi="Arial"/>
          <w:b/>
          <w:bCs/>
          <w:color w:val="2D1A8A"/>
          <w:sz w:val="26"/>
          <w:szCs w:val="26"/>
        </w:rPr>
        <w:t xml:space="preserve">9.2 Regulatory Posture</w:t>
      </w:r>
    </w:p>
    <w:p>
      <w:pPr>
        <w:spacing w:after="120" w:before="60"/>
        <w:jc w:val="both"/>
      </w:pPr>
      <w:r>
        <w:rPr>
          <w:rFonts w:ascii="Arial" w:cs="Arial" w:eastAsia="Arial" w:hAnsi="Arial"/>
          <w:color w:val="222222"/>
          <w:sz w:val="22"/>
          <w:szCs w:val="22"/>
        </w:rPr>
        <w:t xml:space="preserve">Velcro’s non-custodial architecture is a structural regulatory advantage. Because the wallet never holds user funds — users retain custody of their own keys — Velcro does not currently meet the definition of a money services business under FinCEN guidance applicable to custodial wallet providers. This is a deliberate architectural choice, not an oversight.</w:t>
      </w:r>
    </w:p>
    <w:p>
      <w:pPr>
        <w:spacing w:after="120" w:before="60"/>
        <w:jc w:val="both"/>
      </w:pPr>
      <w:r>
        <w:rPr>
          <w:rFonts w:ascii="Arial" w:cs="Arial" w:eastAsia="Arial" w:hAnsi="Arial"/>
          <w:color w:val="222222"/>
          <w:sz w:val="22"/>
          <w:szCs w:val="22"/>
        </w:rPr>
        <w:t xml:space="preserve">The Constitutional Drift Detection audit trail and agent state logging infrastructure are designed to satisfy forthcoming regulatory requirements for AI transparency in financial applications. The Stanford AI Index 2026 documents that documented AI enforcement actions rose 263% in 2025. Velcro is positioned as the reference implementation for compliant AI-assisted financial products — not a late adapter.</w:t>
      </w:r>
    </w:p>
    <w:p>
      <w:pPr>
        <w:spacing w:after="0" w:before="80"/>
      </w:pPr>
      <w:r>
        <w:t xml:space="preserve"/>
      </w:r>
    </w:p>
    <w:p>
      <w:pPr>
        <w:spacing w:after="120" w:before="280"/>
      </w:pPr>
      <w:r>
        <w:rPr>
          <w:rFonts w:ascii="Arial" w:cs="Arial" w:eastAsia="Arial" w:hAnsi="Arial"/>
          <w:b/>
          <w:bCs/>
          <w:color w:val="2D1A8A"/>
          <w:sz w:val="26"/>
          <w:szCs w:val="26"/>
        </w:rPr>
        <w:t xml:space="preserve">9.3 Model Dependency and Infrastructure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4B2FB8" w:sz="20"/>
              <w:bottom w:val="single" w:color="DDDDDD" w:sz="1"/>
              <w:right w:val="single" w:color="DDDDDD" w:sz="1"/>
            </w:tcBorders>
            <w:shd w:fill="F0EEFF" w:val="clear"/>
            <w:tcMar>
              <w:top w:type="dxa" w:w="140"/>
              <w:left w:type="dxa" w:w="240"/>
              <w:bottom w:type="dxa" w:w="140"/>
              <w:right w:type="dxa" w:w="160"/>
            </w:tcMar>
          </w:tcPr>
          <w:p>
            <w:pPr>
              <w:jc w:val="both"/>
            </w:pPr>
            <w:r>
              <w:rPr>
                <w:rFonts w:ascii="Arial" w:cs="Arial" w:eastAsia="Arial" w:hAnsi="Arial"/>
                <w:i/>
                <w:iCs/>
                <w:color w:val="333333"/>
                <w:sz w:val="21"/>
                <w:szCs w:val="21"/>
              </w:rPr>
              <w:t xml:space="preserve">Velcro Wallet’s conversational AI layer is currently built on Anthropic’s Claude API — among the most well-capitalized and safety-focused AI laboratories in the world, with over $13 billion in funding (Anthropic 2026 valuation: $183 billion — Stanford AI Index 2026). Velcro acknowledges a standard third-party model dependency risk. This risk is structurally mitigated by the Vela Protocol architecture. The six-agent coordination stack is model-agnostic by design — the abstraction layer accommodates alternative frontier models without requiring changes to the user-facing product or constitutional governance layer. Velcro’s IP resides in the orchestration architecture. The intelligence layer is owned. The model is a dependency, managed accordingly.</w:t>
            </w:r>
          </w:p>
        </w:tc>
      </w:tr>
    </w:tbl>
    <w:p>
      <w:pPr>
        <w:spacing w:after="0" w:before="160"/>
      </w:pPr>
      <w:r>
        <w:t xml:space="preserve"/>
      </w:r>
    </w:p>
    <w:p>
      <w:pPr>
        <w:pBdr>
          <w:bottom w:val="single" w:color="4B2FB8" w:sz="6" w:space="6"/>
        </w:pBdr>
        <w:spacing w:after="200" w:before="400"/>
      </w:pPr>
      <w:r>
        <w:rPr>
          <w:rFonts w:ascii="Arial" w:cs="Arial" w:eastAsia="Arial" w:hAnsi="Arial"/>
          <w:b/>
          <w:bCs/>
          <w:color w:val="0A0618"/>
          <w:sz w:val="32"/>
          <w:szCs w:val="32"/>
        </w:rPr>
        <w:t xml:space="preserve">10. The Case for Velcro</w:t>
      </w:r>
    </w:p>
    <w:p>
      <w:pPr>
        <w:spacing w:after="120" w:before="60"/>
        <w:jc w:val="both"/>
      </w:pPr>
      <w:r>
        <w:rPr>
          <w:rFonts w:ascii="Arial" w:cs="Arial" w:eastAsia="Arial" w:hAnsi="Arial"/>
          <w:color w:val="222222"/>
          <w:sz w:val="22"/>
          <w:szCs w:val="22"/>
        </w:rPr>
        <w:t xml:space="preserve">OpenAI’s April 2026 industrial policy paper describes AI-native financial infrastructure as a public good and calls for sovereign, accessible, trustworthy AI systems that serve people rather than platforms. The paper names the problem. It does not name the solution.</w:t>
      </w:r>
    </w:p>
    <w:p>
      <w:pPr>
        <w:spacing w:after="120" w:before="60"/>
        <w:jc w:val="both"/>
      </w:pPr>
      <w:r>
        <w:rPr>
          <w:rFonts w:ascii="Arial" w:cs="Arial" w:eastAsia="Arial" w:hAnsi="Arial"/>
          <w:color w:val="222222"/>
          <w:sz w:val="22"/>
          <w:szCs w:val="22"/>
        </w:rPr>
        <w:t xml:space="preserve">The Stanford AI Index 2026 — the most authoritative independent analysis of the AI field — documents that the transparency index for frontier AI models dropped from 58 to 40 in a single year, AI incidents rose 55%, and the infrastructure layer is where the real competitive moat now lives. Velcro is that infrastructure — already being built, with a working architecture, filed patents, legal structure in place, and a founding thesis that has been consistent since day one.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2D1A8A" w:sz="20"/>
              <w:bottom w:val="single" w:color="DDDDDD" w:sz="1"/>
              <w:right w:val="single" w:color="DDDDDD" w:sz="1"/>
            </w:tcBorders>
            <w:shd w:fill="F0EEFF" w:val="clear"/>
            <w:tcMar>
              <w:top w:type="dxa" w:w="140"/>
              <w:left w:type="dxa" w:w="240"/>
              <w:bottom w:type="dxa" w:w="140"/>
              <w:right w:type="dxa" w:w="160"/>
            </w:tcMar>
          </w:tcPr>
          <w:p>
            <w:pPr>
              <w:jc w:val="both"/>
            </w:pPr>
            <w:r>
              <w:rPr>
                <w:rFonts w:ascii="Arial" w:cs="Arial" w:eastAsia="Arial" w:hAnsi="Arial"/>
                <w:i/>
                <w:iCs/>
                <w:color w:val="333333"/>
                <w:sz w:val="21"/>
                <w:szCs w:val="21"/>
              </w:rPr>
              <w:t xml:space="preserve">Financial sovereignty is a right, not a product feature. The wallet is the trust surface between human judgment and AI execution. Nobody else is building it this way. We are building it now.</w:t>
            </w:r>
          </w:p>
        </w:tc>
      </w:tr>
    </w:tbl>
    <w:p>
      <w:pPr>
        <w:spacing w:after="0" w:before="80"/>
      </w:pPr>
      <w:r>
        <w:t xml:space="preserve"/>
      </w:r>
    </w:p>
    <w:p>
      <w:pPr>
        <w:spacing w:after="40" w:before="200"/>
      </w:pPr>
      <w:r>
        <w:rPr>
          <w:rFonts w:ascii="Arial" w:cs="Arial" w:eastAsia="Arial" w:hAnsi="Arial"/>
          <w:color w:val="333333"/>
          <w:sz w:val="20"/>
          <w:szCs w:val="20"/>
        </w:rPr>
        <w:t xml:space="preserve">Lara Stuart Mueller · Founder, loveconcursall · Velcro Wallet LLC</w:t>
      </w:r>
    </w:p>
    <w:p>
      <w:pPr>
        <w:spacing w:after="40" w:before="0"/>
      </w:pPr>
      <w:r>
        <w:rPr>
          <w:rFonts w:ascii="Arial" w:cs="Arial" w:eastAsia="Arial" w:hAnsi="Arial"/>
          <w:color w:val="4B2FB8"/>
          <w:sz w:val="20"/>
          <w:szCs w:val="20"/>
        </w:rPr>
        <w:t xml:space="preserve">lara@loveconcursall.com · velcro.dev</w:t>
      </w:r>
    </w:p>
    <w:p>
      <w:pPr>
        <w:spacing w:after="40" w:before="0"/>
      </w:pPr>
      <w:r>
        <w:rPr>
          <w:rFonts w:ascii="Arial" w:cs="Arial" w:eastAsia="Arial" w:hAnsi="Arial"/>
          <w:i/>
          <w:iCs/>
          <w:color w:val="888888"/>
          <w:sz w:val="20"/>
          <w:szCs w:val="20"/>
        </w:rPr>
        <w:t xml:space="preserve">Hook. Loop. Hold.</w:t>
      </w:r>
    </w:p>
    <w:p>
      <w:pPr>
        <w:spacing w:after="0" w:before="40"/>
      </w:pPr>
      <w:r>
        <w:rPr>
          <w:rFonts w:ascii="Arial" w:cs="Arial" w:eastAsia="Arial" w:hAnsi="Arial"/>
          <w:color w:val="D85A30"/>
          <w:sz w:val="18"/>
          <w:szCs w:val="18"/>
        </w:rPr>
        <w:t xml:space="preserve">CONFIDENTIAL — Velcro Wallet LLC — For authorized recipients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2026-04-27T06:51:55.618Z</dcterms:created>
  <dcterms:modified xsi:type="dcterms:W3CDTF">2026-04-27T06:51:55.620Z</dcterms:modified>
</cp:coreProperties>
</file>

<file path=docProps/custom.xml><?xml version="1.0" encoding="utf-8"?>
<Properties xmlns="http://schemas.openxmlformats.org/officeDocument/2006/custom-properties" xmlns:vt="http://schemas.openxmlformats.org/officeDocument/2006/docPropsVTypes"/>
</file>