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2C3E50"/>
          <w:sz w:val="36"/>
        </w:rPr>
        <w:t>Power BI Dashboard Submission Report</w:t>
      </w:r>
    </w:p>
    <w:p>
      <w:pPr>
        <w:spacing w:after="480"/>
        <w:jc w:val="center"/>
      </w:pPr>
      <w:r>
        <w:rPr>
          <w:color w:val="7F8C8D"/>
          <w:sz w:val="24"/>
        </w:rPr>
        <w:t>Course: Data Analysis and Visualization (Task 3)</w:t>
      </w:r>
    </w:p>
    <w:p>
      <w:pPr>
        <w:spacing w:before="320" w:after="120"/>
      </w:pPr>
      <w:r>
        <w:rPr>
          <w:b/>
          <w:color w:val="2980B9"/>
          <w:sz w:val="28"/>
        </w:rPr>
        <w:t>1. Project Deliverables</w:t>
      </w:r>
    </w:p>
    <w:p>
      <w:pPr>
        <w:spacing w:after="120"/>
      </w:pPr>
      <w:r>
        <w:t>For this final submission of Task 3, we are providing the following files:</w:t>
      </w:r>
    </w:p>
    <w:p>
      <w:pPr>
        <w:pStyle w:val="ListBullet"/>
      </w:pPr>
      <w:r>
        <w:rPr>
          <w:b/>
        </w:rPr>
        <w:t xml:space="preserve">Interactive Power BI File (.pbix): </w:t>
      </w:r>
      <w:r>
        <w:t>This contains our complete data model, interactive visual reports, and all custom DAX measures calculated from the e-commerce dataset.</w:t>
      </w:r>
    </w:p>
    <w:p>
      <w:pPr>
        <w:pStyle w:val="ListBullet"/>
      </w:pPr>
      <w:r>
        <w:rPr>
          <w:b/>
        </w:rPr>
        <w:t xml:space="preserve">Documentation Report (.docx): </w:t>
      </w:r>
      <w:r>
        <w:t>This document provides a clear explanation of our KPI definitions, mathematical formulas, and the specific design choices we implemented to meet the project's quality standards.</w:t>
      </w:r>
    </w:p>
    <w:p>
      <w:pPr>
        <w:spacing w:before="320" w:after="120"/>
      </w:pPr>
      <w:r>
        <w:rPr>
          <w:b/>
          <w:color w:val="2980B9"/>
          <w:sz w:val="28"/>
        </w:rPr>
        <w:t>2. KPI Definitions &amp; Formulas</w:t>
      </w:r>
    </w:p>
    <w:p>
      <w:r>
        <w:t>To give a comprehensive overview of the store's performance, we built and calculated three core metrics at the top of our page:</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2980B9"/>
            <w:tcMar>
              <w:top w:w="120" w:type="dxa"/>
              <w:bottom w:w="120" w:type="dxa"/>
              <w:left w:w="150" w:type="dxa"/>
              <w:right w:w="150" w:type="dxa"/>
            </w:tcMar>
          </w:tcPr>
          <w:p>
            <w:pPr>
              <w:jc w:val="left"/>
            </w:pPr>
            <w:r>
              <w:rPr>
                <w:b/>
                <w:color w:val="FFFFFF"/>
              </w:rPr>
              <w:t>Metric / KPI</w:t>
            </w:r>
          </w:p>
        </w:tc>
        <w:tc>
          <w:tcPr>
            <w:tcW w:type="dxa" w:w="3120"/>
            <w:shd w:val="clear" w:color="auto" w:fill="2980B9"/>
            <w:tcMar>
              <w:top w:w="120" w:type="dxa"/>
              <w:bottom w:w="120" w:type="dxa"/>
              <w:left w:w="150" w:type="dxa"/>
              <w:right w:w="150" w:type="dxa"/>
            </w:tcMar>
          </w:tcPr>
          <w:p>
            <w:pPr>
              <w:jc w:val="left"/>
            </w:pPr>
            <w:r>
              <w:rPr>
                <w:b/>
                <w:color w:val="FFFFFF"/>
              </w:rPr>
              <w:t>Value</w:t>
            </w:r>
          </w:p>
        </w:tc>
        <w:tc>
          <w:tcPr>
            <w:tcW w:type="dxa" w:w="3120"/>
            <w:shd w:val="clear" w:color="auto" w:fill="2980B9"/>
            <w:tcMar>
              <w:top w:w="120" w:type="dxa"/>
              <w:bottom w:w="120" w:type="dxa"/>
              <w:left w:w="150" w:type="dxa"/>
              <w:right w:w="150" w:type="dxa"/>
            </w:tcMar>
          </w:tcPr>
          <w:p>
            <w:pPr>
              <w:jc w:val="left"/>
            </w:pPr>
            <w:r>
              <w:rPr>
                <w:b/>
                <w:color w:val="FFFFFF"/>
              </w:rPr>
              <w:t>Student Explanation &amp; Formula</w:t>
            </w:r>
          </w:p>
        </w:tc>
      </w:tr>
      <w:tr>
        <w:tc>
          <w:tcPr>
            <w:tcW w:type="dxa" w:w="3120"/>
            <w:tcMar>
              <w:top w:w="100" w:type="dxa"/>
              <w:bottom w:w="100" w:type="dxa"/>
              <w:left w:w="150" w:type="dxa"/>
              <w:right w:w="150" w:type="dxa"/>
            </w:tcMar>
          </w:tcPr>
          <w:p>
            <w:r>
              <w:t>Total Revenue</w:t>
            </w:r>
          </w:p>
        </w:tc>
        <w:tc>
          <w:tcPr>
            <w:tcW w:type="dxa" w:w="3120"/>
            <w:tcMar>
              <w:top w:w="100" w:type="dxa"/>
              <w:bottom w:w="100" w:type="dxa"/>
              <w:left w:w="150" w:type="dxa"/>
              <w:right w:w="150" w:type="dxa"/>
            </w:tcMar>
          </w:tcPr>
          <w:p>
            <w:r>
              <w:t>13.59M</w:t>
            </w:r>
          </w:p>
        </w:tc>
        <w:tc>
          <w:tcPr>
            <w:tcW w:type="dxa" w:w="3120"/>
            <w:tcMar>
              <w:top w:w="100" w:type="dxa"/>
              <w:bottom w:w="100" w:type="dxa"/>
              <w:left w:w="150" w:type="dxa"/>
              <w:right w:w="150" w:type="dxa"/>
            </w:tcMar>
          </w:tcPr>
          <w:p>
            <w:r>
              <w:t>This is the total sum of the 'price' column in the order items dataset. We used it to measure the total gross sales generated by the online store before including any shipping fees.</w:t>
            </w:r>
          </w:p>
        </w:tc>
      </w:tr>
      <w:tr>
        <w:tc>
          <w:tcPr>
            <w:tcW w:type="dxa" w:w="3120"/>
            <w:tcMar>
              <w:top w:w="100" w:type="dxa"/>
              <w:bottom w:w="100" w:type="dxa"/>
              <w:left w:w="150" w:type="dxa"/>
              <w:right w:w="150" w:type="dxa"/>
            </w:tcMar>
            <w:shd w:val="clear" w:color="auto" w:fill="F9F9F9"/>
          </w:tcPr>
          <w:p>
            <w:r>
              <w:t>Total Orders</w:t>
            </w:r>
          </w:p>
        </w:tc>
        <w:tc>
          <w:tcPr>
            <w:tcW w:type="dxa" w:w="3120"/>
            <w:tcMar>
              <w:top w:w="100" w:type="dxa"/>
              <w:bottom w:w="100" w:type="dxa"/>
              <w:left w:w="150" w:type="dxa"/>
              <w:right w:w="150" w:type="dxa"/>
            </w:tcMar>
            <w:shd w:val="clear" w:color="auto" w:fill="F9F9F9"/>
          </w:tcPr>
          <w:p>
            <w:r>
              <w:t>98.67K</w:t>
            </w:r>
          </w:p>
        </w:tc>
        <w:tc>
          <w:tcPr>
            <w:tcW w:type="dxa" w:w="3120"/>
            <w:tcMar>
              <w:top w:w="100" w:type="dxa"/>
              <w:bottom w:w="100" w:type="dxa"/>
              <w:left w:w="150" w:type="dxa"/>
              <w:right w:w="150" w:type="dxa"/>
            </w:tcMar>
            <w:shd w:val="clear" w:color="auto" w:fill="F9F9F9"/>
          </w:tcPr>
          <w:p>
            <w:r>
              <w:t>We calculated this using a Distinct Count of 'order_id'. This function ensures that we count each unique purchase transaction exactly once, even if a customer bought multiple products in a single order.</w:t>
            </w:r>
          </w:p>
        </w:tc>
      </w:tr>
      <w:tr>
        <w:tc>
          <w:tcPr>
            <w:tcW w:type="dxa" w:w="3120"/>
            <w:tcMar>
              <w:top w:w="100" w:type="dxa"/>
              <w:bottom w:w="100" w:type="dxa"/>
              <w:left w:w="150" w:type="dxa"/>
              <w:right w:w="150" w:type="dxa"/>
            </w:tcMar>
          </w:tcPr>
          <w:p>
            <w:r>
              <w:t>Average Order Value (AOV)</w:t>
            </w:r>
          </w:p>
        </w:tc>
        <w:tc>
          <w:tcPr>
            <w:tcW w:type="dxa" w:w="3120"/>
            <w:tcMar>
              <w:top w:w="100" w:type="dxa"/>
              <w:bottom w:w="100" w:type="dxa"/>
              <w:left w:w="150" w:type="dxa"/>
              <w:right w:w="150" w:type="dxa"/>
            </w:tcMar>
          </w:tcPr>
          <w:p>
            <w:r>
              <w:t>$120.65</w:t>
            </w:r>
          </w:p>
        </w:tc>
        <w:tc>
          <w:tcPr>
            <w:tcW w:type="dxa" w:w="3120"/>
            <w:tcMar>
              <w:top w:w="100" w:type="dxa"/>
              <w:bottom w:w="100" w:type="dxa"/>
              <w:left w:w="150" w:type="dxa"/>
              <w:right w:w="150" w:type="dxa"/>
            </w:tcMar>
          </w:tcPr>
          <w:p>
            <w:r>
              <w:t>This custom measure shows the average amount of money a customer spends per order. We built it using a DAX formula to divide our total revenue by total orders.</w:t>
            </w:r>
          </w:p>
        </w:tc>
      </w:tr>
    </w:tbl>
    <w:p>
      <w:pPr>
        <w:spacing w:before="280" w:after="280"/>
        <w:jc w:val="center"/>
      </w:pPr>
      <w:r>
        <w:rPr>
          <w:b/>
          <w:i/>
          <w:color w:val="2980B9"/>
        </w:rPr>
        <w:t>Formula Built in DAX: AOV = Total Revenue ÷ Total Orders</w:t>
      </w:r>
    </w:p>
    <w:p>
      <w:r>
        <w:rPr>
          <w:b/>
        </w:rPr>
        <w:t xml:space="preserve">User Experience Feature: </w:t>
      </w:r>
      <w:r>
        <w:t>To make our report more professional, we added a Help Tooltip icon (question mark) directly onto the AOV card. Hovering over it instantly shows the formula and definition to the end user.</w:t>
      </w:r>
    </w:p>
    <w:p>
      <w:pPr>
        <w:spacing w:before="320" w:after="120"/>
      </w:pPr>
      <w:r>
        <w:rPr>
          <w:b/>
          <w:color w:val="2980B9"/>
          <w:sz w:val="28"/>
        </w:rPr>
        <w:t>3. Implemented Design Standards</w:t>
      </w:r>
    </w:p>
    <w:p>
      <w:r>
        <w:t>To make sure our dashboard looks uncluttered and easy to read, we made several important design adjustments according to the assignment requirements:</w:t>
      </w:r>
    </w:p>
    <w:p>
      <w:pPr>
        <w:pStyle w:val="ListBullet"/>
      </w:pPr>
      <w:r>
        <w:rPr>
          <w:b/>
        </w:rPr>
        <w:t xml:space="preserve">Proper Titles: </w:t>
      </w:r>
      <w:r>
        <w:t>We replaced all the automatic, confusing chart titles generated by the software with clean, standardized business titles. We also centered all titles for a neat alignment:</w:t>
        <w:br/>
        <w:t>• 'Monthly Revenue Trend' for the Line Chart.</w:t>
        <w:br/>
        <w:t>• 'Top 10 Best Selling Products' for the Bar Chart.</w:t>
        <w:br/>
        <w:t>• 'Sales Distribution by City' for the Regional Map.</w:t>
        <w:br/>
        <w:t>• 'Order Delivery Status Distribution' for the Operations chart.</w:t>
      </w:r>
    </w:p>
    <w:p>
      <w:pPr>
        <w:pStyle w:val="ListBullet"/>
      </w:pPr>
      <w:r>
        <w:rPr>
          <w:b/>
        </w:rPr>
        <w:t xml:space="preserve">Clear Layout: </w:t>
      </w:r>
      <w:r>
        <w:t>We organized the entire page into four distinct areas to separate sales overview, product performance, geographical distribution, and delivery data. This creates balanced whitespace and prevents the charts from looking crowded.</w:t>
      </w:r>
    </w:p>
    <w:p>
      <w:pPr>
        <w:pStyle w:val="ListBullet"/>
      </w:pPr>
      <w:r>
        <w:rPr>
          <w:b/>
        </w:rPr>
        <w:t xml:space="preserve">Donut Chart Customization: </w:t>
      </w:r>
      <w:r>
        <w:t>Instead of using a basic pie chart for the delivery performance, we transformed it into a modern Donut Chart. This makes it much easier to quickly see the percentage breakdown of on-time deliveries versus delayed 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