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DBB19">
      <w:pPr>
        <w:spacing w:before="166" w:line="191" w:lineRule="auto"/>
        <w:ind w:left="3481"/>
        <w:outlineLvl w:val="0"/>
        <w:rPr>
          <w:rFonts w:ascii="Times New Roman" w:hAnsi="Times New Roman" w:eastAsia="Times New Roman" w:cs="Times New Roman"/>
          <w:sz w:val="27"/>
          <w:szCs w:val="27"/>
        </w:rPr>
      </w:pPr>
      <w:r>
        <w:rPr>
          <w:rFonts w:ascii="Times New Roman" w:hAnsi="Times New Roman" w:eastAsia="Times New Roman" w:cs="Times New Roman"/>
          <w:b/>
          <w:bCs/>
          <w:spacing w:val="4"/>
          <w:sz w:val="27"/>
          <w:szCs w:val="27"/>
        </w:rPr>
        <w:t>Course Work</w:t>
      </w:r>
    </w:p>
    <w:p w14:paraId="2C2F7FAE">
      <w:pPr>
        <w:spacing w:before="260" w:line="191" w:lineRule="auto"/>
        <w:ind w:firstLine="1975" w:firstLineChars="700"/>
        <w:outlineLvl w:val="0"/>
        <w:rPr>
          <w:rFonts w:ascii="Times New Roman" w:hAnsi="Times New Roman" w:eastAsia="Times New Roman" w:cs="Times New Roman"/>
          <w:sz w:val="27"/>
          <w:szCs w:val="27"/>
        </w:rPr>
      </w:pPr>
      <w:r>
        <w:rPr>
          <w:rFonts w:hint="eastAsia" w:ascii="Times New Roman" w:hAnsi="Times New Roman" w:eastAsia="Times New Roman" w:cs="Times New Roman"/>
          <w:b/>
          <w:bCs/>
          <w:spacing w:val="6"/>
          <w:sz w:val="27"/>
          <w:szCs w:val="27"/>
        </w:rPr>
        <w:t>Computing Individual Research Project</w:t>
      </w:r>
    </w:p>
    <w:p w14:paraId="354208A2">
      <w:pPr>
        <w:spacing w:line="261" w:lineRule="auto"/>
      </w:pPr>
    </w:p>
    <w:p w14:paraId="41520133">
      <w:pPr>
        <w:spacing w:line="261" w:lineRule="auto"/>
      </w:pPr>
    </w:p>
    <w:p w14:paraId="0204CCE9">
      <w:pPr>
        <w:spacing w:line="261" w:lineRule="auto"/>
      </w:pPr>
    </w:p>
    <w:p w14:paraId="0D35AFC9">
      <w:pPr>
        <w:spacing w:line="261" w:lineRule="auto"/>
      </w:pPr>
    </w:p>
    <w:p w14:paraId="5FA55AC8">
      <w:pPr>
        <w:spacing w:line="262" w:lineRule="auto"/>
      </w:pPr>
    </w:p>
    <w:p w14:paraId="6598944B">
      <w:pPr>
        <w:spacing w:line="262" w:lineRule="auto"/>
      </w:pPr>
    </w:p>
    <w:p w14:paraId="297DF683">
      <w:pPr>
        <w:spacing w:line="262" w:lineRule="auto"/>
      </w:pPr>
    </w:p>
    <w:p w14:paraId="6066BD54">
      <w:pPr>
        <w:spacing w:line="189" w:lineRule="auto"/>
        <w:jc w:val="center"/>
        <w:rPr>
          <w:rFonts w:hint="eastAsia" w:ascii="Times New Roman" w:hAnsi="Times New Roman" w:eastAsia="Times New Roman" w:cs="Times New Roman"/>
          <w:sz w:val="44"/>
          <w:szCs w:val="44"/>
        </w:rPr>
      </w:pPr>
      <w:r>
        <w:rPr>
          <w:rFonts w:hint="eastAsia" w:ascii="Times New Roman" w:hAnsi="Times New Roman" w:eastAsia="Times New Roman" w:cs="Times New Roman"/>
          <w:sz w:val="44"/>
          <w:szCs w:val="44"/>
        </w:rPr>
        <w:t>Energy‑Aware, Uncertainty‑Calibrated Cross‑Dataset IMU‑HAR: A Reproducible, Deployment‑Grade Pipeline</w:t>
      </w:r>
    </w:p>
    <w:p w14:paraId="43740E47">
      <w:pPr>
        <w:spacing w:line="189" w:lineRule="auto"/>
        <w:jc w:val="center"/>
        <w:rPr>
          <w:rFonts w:hint="eastAsia" w:ascii="Times New Roman" w:hAnsi="Times New Roman" w:eastAsia="Times New Roman" w:cs="Times New Roman"/>
          <w:sz w:val="44"/>
          <w:szCs w:val="44"/>
        </w:rPr>
      </w:pPr>
    </w:p>
    <w:p w14:paraId="6BA0023A">
      <w:pPr>
        <w:spacing w:line="189" w:lineRule="auto"/>
        <w:jc w:val="center"/>
        <w:rPr>
          <w:rFonts w:hint="eastAsia" w:ascii="Times New Roman" w:hAnsi="Times New Roman" w:eastAsia="Times New Roman" w:cs="Times New Roman"/>
          <w:sz w:val="44"/>
          <w:szCs w:val="44"/>
        </w:rPr>
      </w:pPr>
    </w:p>
    <w:p w14:paraId="7DDAA496">
      <w:pPr>
        <w:spacing w:line="189" w:lineRule="auto"/>
        <w:jc w:val="center"/>
        <w:rPr>
          <w:rFonts w:hint="eastAsia" w:ascii="Times New Roman" w:hAnsi="Times New Roman" w:eastAsia="Times New Roman" w:cs="Times New Roman"/>
          <w:sz w:val="44"/>
          <w:szCs w:val="44"/>
        </w:rPr>
      </w:pPr>
    </w:p>
    <w:p w14:paraId="56A2BBCB">
      <w:pPr>
        <w:spacing w:line="189" w:lineRule="auto"/>
        <w:jc w:val="center"/>
        <w:rPr>
          <w:rFonts w:hint="eastAsia" w:ascii="Times New Roman" w:hAnsi="Times New Roman" w:eastAsia="Times New Roman" w:cs="Times New Roman"/>
          <w:sz w:val="44"/>
          <w:szCs w:val="44"/>
        </w:rPr>
      </w:pPr>
    </w:p>
    <w:p w14:paraId="52537CD5">
      <w:pPr>
        <w:spacing w:line="189" w:lineRule="auto"/>
        <w:jc w:val="center"/>
        <w:rPr>
          <w:rFonts w:hint="eastAsia" w:ascii="Times New Roman" w:hAnsi="Times New Roman" w:eastAsia="Times New Roman" w:cs="Times New Roman"/>
          <w:sz w:val="44"/>
          <w:szCs w:val="44"/>
        </w:rPr>
      </w:pPr>
    </w:p>
    <w:p w14:paraId="54B984C8">
      <w:pPr>
        <w:spacing w:line="189" w:lineRule="auto"/>
        <w:jc w:val="center"/>
        <w:rPr>
          <w:rFonts w:hint="eastAsia" w:ascii="Times New Roman" w:hAnsi="Times New Roman" w:eastAsia="Times New Roman" w:cs="Times New Roman"/>
          <w:sz w:val="44"/>
          <w:szCs w:val="44"/>
        </w:rPr>
      </w:pPr>
    </w:p>
    <w:p w14:paraId="0D13937E">
      <w:pPr>
        <w:spacing w:line="189" w:lineRule="auto"/>
        <w:jc w:val="center"/>
        <w:rPr>
          <w:rFonts w:hint="eastAsia" w:ascii="Times New Roman" w:hAnsi="Times New Roman" w:eastAsia="Times New Roman" w:cs="Times New Roman"/>
          <w:sz w:val="44"/>
          <w:szCs w:val="44"/>
        </w:rPr>
      </w:pPr>
    </w:p>
    <w:p w14:paraId="4AA88A07">
      <w:pPr>
        <w:spacing w:line="189" w:lineRule="auto"/>
        <w:jc w:val="center"/>
        <w:rPr>
          <w:rFonts w:hint="eastAsia" w:ascii="Times New Roman" w:hAnsi="Times New Roman" w:eastAsia="Times New Roman" w:cs="Times New Roman"/>
          <w:sz w:val="44"/>
          <w:szCs w:val="44"/>
        </w:rPr>
      </w:pPr>
    </w:p>
    <w:p w14:paraId="6E046756">
      <w:pPr>
        <w:spacing w:line="189" w:lineRule="auto"/>
        <w:jc w:val="center"/>
        <w:rPr>
          <w:rFonts w:hint="eastAsia" w:ascii="Times New Roman" w:hAnsi="Times New Roman" w:eastAsia="Times New Roman" w:cs="Times New Roman"/>
          <w:sz w:val="44"/>
          <w:szCs w:val="44"/>
        </w:rPr>
      </w:pPr>
    </w:p>
    <w:p w14:paraId="08D387B2">
      <w:pPr>
        <w:spacing w:line="189" w:lineRule="auto"/>
        <w:jc w:val="center"/>
        <w:rPr>
          <w:rFonts w:hint="eastAsia" w:ascii="Times New Roman" w:hAnsi="Times New Roman" w:eastAsia="Times New Roman" w:cs="Times New Roman"/>
          <w:sz w:val="44"/>
          <w:szCs w:val="44"/>
        </w:rPr>
      </w:pPr>
    </w:p>
    <w:p w14:paraId="0D36E1C7">
      <w:pPr>
        <w:spacing w:line="189" w:lineRule="auto"/>
        <w:jc w:val="center"/>
        <w:rPr>
          <w:rFonts w:hint="eastAsia" w:ascii="Times New Roman" w:hAnsi="Times New Roman" w:eastAsia="Times New Roman" w:cs="Times New Roman"/>
          <w:sz w:val="44"/>
          <w:szCs w:val="44"/>
        </w:rPr>
      </w:pPr>
    </w:p>
    <w:p w14:paraId="73E46C63">
      <w:pPr>
        <w:spacing w:line="189" w:lineRule="auto"/>
        <w:jc w:val="center"/>
        <w:rPr>
          <w:rFonts w:hint="eastAsia" w:ascii="Times New Roman" w:hAnsi="Times New Roman" w:eastAsia="Times New Roman" w:cs="Times New Roman"/>
          <w:sz w:val="44"/>
          <w:szCs w:val="44"/>
        </w:rPr>
      </w:pPr>
    </w:p>
    <w:p w14:paraId="08B4FBFC">
      <w:pPr>
        <w:spacing w:line="189" w:lineRule="auto"/>
        <w:jc w:val="both"/>
        <w:rPr>
          <w:rFonts w:hint="eastAsia" w:ascii="Times New Roman" w:hAnsi="Times New Roman" w:eastAsia="Times New Roman" w:cs="Times New Roman"/>
          <w:sz w:val="44"/>
          <w:szCs w:val="44"/>
        </w:rPr>
      </w:pPr>
    </w:p>
    <w:p w14:paraId="4EFA7F18">
      <w:pPr>
        <w:spacing w:line="189" w:lineRule="auto"/>
        <w:jc w:val="both"/>
        <w:rPr>
          <w:rFonts w:hint="eastAsia" w:ascii="Times New Roman" w:hAnsi="Times New Roman" w:eastAsia="Times New Roman" w:cs="Times New Roman"/>
          <w:sz w:val="44"/>
          <w:szCs w:val="44"/>
        </w:rPr>
      </w:pPr>
    </w:p>
    <w:p w14:paraId="0C3D7AF8">
      <w:pPr>
        <w:spacing w:line="189" w:lineRule="auto"/>
        <w:jc w:val="center"/>
        <w:rPr>
          <w:rFonts w:hint="eastAsia" w:ascii="Times New Roman" w:hAnsi="Times New Roman" w:eastAsia="Times New Roman" w:cs="Times New Roman"/>
          <w:sz w:val="44"/>
          <w:szCs w:val="44"/>
        </w:rPr>
      </w:pPr>
    </w:p>
    <w:p w14:paraId="5CFF66FE">
      <w:pPr>
        <w:spacing w:line="189" w:lineRule="auto"/>
        <w:jc w:val="center"/>
        <w:rPr>
          <w:rFonts w:hint="eastAsia" w:ascii="Times New Roman" w:hAnsi="Times New Roman" w:eastAsia="Times New Roman" w:cs="Times New Roman"/>
          <w:sz w:val="44"/>
          <w:szCs w:val="44"/>
        </w:rPr>
      </w:pPr>
    </w:p>
    <w:p w14:paraId="0DE67211">
      <w:pPr>
        <w:spacing w:line="189" w:lineRule="auto"/>
        <w:jc w:val="center"/>
        <w:rPr>
          <w:rFonts w:hint="eastAsia" w:ascii="Times New Roman" w:hAnsi="Times New Roman" w:eastAsia="Times New Roman" w:cs="Times New Roman"/>
          <w:sz w:val="44"/>
          <w:szCs w:val="44"/>
        </w:rPr>
      </w:pPr>
    </w:p>
    <w:p w14:paraId="5A354BFD">
      <w:pPr>
        <w:spacing w:line="189" w:lineRule="auto"/>
        <w:jc w:val="center"/>
        <w:rPr>
          <w:rFonts w:hint="eastAsia" w:ascii="Times New Roman" w:hAnsi="Times New Roman" w:eastAsia="Times New Roman" w:cs="Times New Roman"/>
          <w:sz w:val="44"/>
          <w:szCs w:val="44"/>
        </w:rPr>
      </w:pPr>
    </w:p>
    <w:p w14:paraId="5CE458CA">
      <w:pPr>
        <w:spacing w:line="189" w:lineRule="auto"/>
        <w:jc w:val="center"/>
        <w:rPr>
          <w:rFonts w:hint="eastAsia" w:ascii="Times New Roman" w:hAnsi="Times New Roman" w:eastAsia="Times New Roman" w:cs="Times New Roman"/>
          <w:sz w:val="44"/>
          <w:szCs w:val="44"/>
        </w:rPr>
      </w:pPr>
    </w:p>
    <w:p w14:paraId="3F9F392B">
      <w:pPr>
        <w:spacing w:line="189" w:lineRule="auto"/>
        <w:jc w:val="both"/>
        <w:rPr>
          <w:rFonts w:hint="eastAsia" w:ascii="Times New Roman" w:hAnsi="Times New Roman" w:eastAsia="Times New Roman" w:cs="Times New Roman"/>
          <w:sz w:val="44"/>
          <w:szCs w:val="44"/>
        </w:rPr>
        <w:sectPr>
          <w:pgSz w:w="12240" w:h="15840"/>
          <w:pgMar w:top="1346" w:right="1836" w:bottom="0" w:left="1836" w:header="0" w:footer="0" w:gutter="0"/>
          <w:cols w:space="720" w:num="1"/>
        </w:sectPr>
      </w:pPr>
    </w:p>
    <w:p w14:paraId="607A3321">
      <w:pPr>
        <w:pStyle w:val="2"/>
        <w:numPr>
          <w:ilvl w:val="0"/>
          <w:numId w:val="1"/>
        </w:numPr>
        <w:spacing w:before="240" w:line="186" w:lineRule="auto"/>
        <w:rPr>
          <w:rFonts w:eastAsia="宋体"/>
          <w:color w:val="2E74B5"/>
          <w:spacing w:val="-1"/>
          <w:sz w:val="28"/>
          <w:szCs w:val="28"/>
          <w:lang w:eastAsia="zh-CN"/>
        </w:rPr>
      </w:pPr>
      <w:r>
        <w:rPr>
          <w:rFonts w:hint="eastAsia" w:eastAsia="宋体"/>
          <w:color w:val="2E74B5"/>
          <w:spacing w:val="-1"/>
          <w:sz w:val="28"/>
          <w:szCs w:val="28"/>
          <w:lang w:eastAsia="zh-CN"/>
        </w:rPr>
        <w:t>Research Question / Problem Statement</w:t>
      </w:r>
    </w:p>
    <w:p w14:paraId="4B085D3E">
      <w:pPr>
        <w:pStyle w:val="2"/>
        <w:spacing w:before="192" w:line="366" w:lineRule="auto"/>
        <w:ind w:right="4"/>
        <w:jc w:val="both"/>
        <w:rPr>
          <w:spacing w:val="3"/>
        </w:rPr>
      </w:pPr>
      <w:r>
        <w:rPr>
          <w:rFonts w:hint="eastAsia" w:eastAsia="宋体"/>
          <w:spacing w:val="3"/>
          <w:lang w:eastAsia="zh-CN"/>
        </w:rPr>
        <w:t>This project is</w:t>
      </w:r>
      <w:r>
        <w:rPr>
          <w:rFonts w:hint="eastAsia"/>
          <w:spacing w:val="3"/>
        </w:rPr>
        <w:t xml:space="preserve"> </w:t>
      </w:r>
      <w:r>
        <w:rPr>
          <w:rFonts w:hint="eastAsia" w:eastAsia="宋体"/>
          <w:spacing w:val="3"/>
          <w:lang w:eastAsia="zh-CN"/>
        </w:rPr>
        <w:t>researching</w:t>
      </w:r>
      <w:r>
        <w:rPr>
          <w:rFonts w:hint="eastAsia"/>
          <w:spacing w:val="3"/>
        </w:rPr>
        <w:t xml:space="preserve"> how to make phone‑ and wearable‑sensor apps correctly recognise everyday human activities in a way that is fair, reliable and fast enough for normal smartphones.</w:t>
      </w:r>
    </w:p>
    <w:p w14:paraId="1AEDEEB7">
      <w:pPr>
        <w:pStyle w:val="2"/>
        <w:spacing w:before="192" w:line="366" w:lineRule="auto"/>
        <w:ind w:right="4"/>
        <w:jc w:val="both"/>
        <w:rPr>
          <w:spacing w:val="3"/>
        </w:rPr>
      </w:pPr>
      <w:r>
        <w:rPr>
          <w:rFonts w:hint="eastAsia"/>
          <w:spacing w:val="3"/>
        </w:rPr>
        <w:t>Phones have accelerometers and gyroscopes that sense movement. Activity recognition turns these signals into labels such as standing, sitting, walking, running, cycling, driving or riding public transport. “Recognition” means picking a label and saying how sure we are; when unsure, the system returns a small prediction set (e.g., “walking or cycling”) so users aren’t misled</w:t>
      </w:r>
      <w:r>
        <w:rPr>
          <w:rFonts w:hint="eastAsia" w:eastAsia="宋体"/>
          <w:spacing w:val="3"/>
          <w:lang w:eastAsia="zh-CN"/>
        </w:rPr>
        <w:t xml:space="preserve"> (Angelopoulos &amp; Bates, 2023)</w:t>
      </w:r>
      <w:r>
        <w:rPr>
          <w:rFonts w:hint="eastAsia"/>
          <w:spacing w:val="3"/>
        </w:rPr>
        <w:t>.</w:t>
      </w:r>
    </w:p>
    <w:p w14:paraId="34EB9821">
      <w:pPr>
        <w:pStyle w:val="2"/>
        <w:spacing w:before="192" w:line="366" w:lineRule="auto"/>
        <w:ind w:right="4"/>
        <w:jc w:val="both"/>
        <w:rPr>
          <w:spacing w:val="3"/>
        </w:rPr>
      </w:pPr>
      <w:r>
        <w:rPr>
          <w:rFonts w:hint="eastAsia"/>
          <w:spacing w:val="3"/>
        </w:rPr>
        <w:t>Step‑counting and coaching, fall or fatigue monitoring, travel surveys and context‑aware apps all depend on it. If models are over‑optimistic, they miss people, mislead decisions, or waste energy—issues that often appear outside the lab.</w:t>
      </w:r>
    </w:p>
    <w:p w14:paraId="4D3805ED">
      <w:pPr>
        <w:pStyle w:val="2"/>
        <w:spacing w:before="192" w:line="366" w:lineRule="auto"/>
        <w:ind w:right="4"/>
        <w:jc w:val="both"/>
        <w:rPr>
          <w:rFonts w:eastAsia="宋体"/>
          <w:spacing w:val="3"/>
          <w:lang w:eastAsia="zh-CN"/>
        </w:rPr>
      </w:pPr>
      <w:r>
        <w:rPr>
          <w:rFonts w:hint="eastAsia"/>
          <w:spacing w:val="3"/>
        </w:rPr>
        <w:t>Scores are frequently inflated because models are tested on the same people they were trained on. When we hold out new people, accuracy drops and the “best” method can change</w:t>
      </w:r>
      <w:r>
        <w:rPr>
          <w:rFonts w:hint="eastAsia" w:eastAsia="宋体"/>
          <w:spacing w:val="3"/>
          <w:lang w:eastAsia="zh-CN"/>
        </w:rPr>
        <w:t xml:space="preserve"> (Rehman, Ali, Khan, &amp; Okpala, 2024)</w:t>
      </w:r>
      <w:r>
        <w:rPr>
          <w:rFonts w:hint="eastAsia"/>
          <w:spacing w:val="3"/>
        </w:rPr>
        <w:t>. A second gap is poor generalisation across datasets, phones and wear positions, made worse by inconsistent label meanings</w:t>
      </w:r>
      <w:r>
        <w:rPr>
          <w:rFonts w:hint="eastAsia" w:eastAsia="宋体"/>
          <w:spacing w:val="3"/>
          <w:lang w:eastAsia="zh-CN"/>
        </w:rPr>
        <w:t xml:space="preserve"> (Hong et al., 2024)</w:t>
      </w:r>
      <w:r>
        <w:rPr>
          <w:rFonts w:hint="eastAsia"/>
          <w:spacing w:val="3"/>
        </w:rPr>
        <w:t>. Models are also often over‑confident about wrong answers, and few studies measure on‑device energy rigorously</w:t>
      </w:r>
      <w:r>
        <w:rPr>
          <w:rFonts w:hint="eastAsia" w:eastAsia="宋体"/>
          <w:spacing w:val="3"/>
          <w:lang w:eastAsia="zh-CN"/>
        </w:rPr>
        <w:t xml:space="preserve"> (Contoli, Freschi, &amp; Lattanzi, 2024)</w:t>
      </w:r>
      <w:r>
        <w:rPr>
          <w:rFonts w:hint="eastAsia"/>
          <w:spacing w:val="3"/>
        </w:rPr>
        <w:t>.</w:t>
      </w:r>
      <w:r>
        <w:rPr>
          <w:rFonts w:hint="eastAsia" w:eastAsia="宋体"/>
          <w:spacing w:val="3"/>
          <w:lang w:eastAsia="zh-CN"/>
        </w:rPr>
        <w:t xml:space="preserve">  </w:t>
      </w:r>
    </w:p>
    <w:p w14:paraId="79482A10">
      <w:pPr>
        <w:pStyle w:val="2"/>
        <w:spacing w:before="192" w:line="366" w:lineRule="auto"/>
        <w:ind w:right="4"/>
        <w:jc w:val="both"/>
        <w:rPr>
          <w:rFonts w:eastAsia="宋体"/>
          <w:spacing w:val="3"/>
          <w:lang w:eastAsia="zh-CN"/>
        </w:rPr>
      </w:pPr>
      <w:r>
        <w:rPr>
          <w:rFonts w:hint="eastAsia" w:eastAsia="宋体"/>
          <w:spacing w:val="3"/>
          <w:lang w:eastAsia="zh-CN"/>
        </w:rPr>
        <w:t xml:space="preserve">To test against these real‑world differences I will use three public datasets: SHL, DaLiAc and RealWorld. </w:t>
      </w:r>
    </w:p>
    <w:p w14:paraId="6082A744">
      <w:pPr>
        <w:pStyle w:val="2"/>
        <w:spacing w:before="192" w:line="366" w:lineRule="auto"/>
        <w:ind w:right="4"/>
        <w:jc w:val="both"/>
        <w:rPr>
          <w:rFonts w:eastAsia="宋体"/>
          <w:spacing w:val="3"/>
          <w:lang w:eastAsia="zh-CN"/>
        </w:rPr>
      </w:pPr>
      <w:r>
        <w:rPr>
          <w:rFonts w:eastAsia="宋体"/>
          <w:spacing w:val="3"/>
          <w:lang w:eastAsia="zh-CN"/>
        </w:rPr>
        <w:t>Reliability is secured by three complementary datasets that offset one another across devices, placements, activities, sampling/labelling, participants, and evaluation focus</w:t>
      </w:r>
      <w:r>
        <w:rPr>
          <w:rFonts w:hint="eastAsia" w:eastAsia="宋体"/>
          <w:spacing w:val="3"/>
          <w:lang w:eastAsia="zh-CN"/>
        </w:rPr>
        <w:t xml:space="preserve"> (Table 1)</w:t>
      </w:r>
      <w:r>
        <w:rPr>
          <w:rFonts w:eastAsia="宋体"/>
          <w:spacing w:val="3"/>
          <w:lang w:eastAsia="zh-CN"/>
        </w:rPr>
        <w:t>.</w:t>
      </w:r>
    </w:p>
    <w:p w14:paraId="0F57B47F">
      <w:pPr>
        <w:pStyle w:val="2"/>
        <w:spacing w:before="192" w:line="366" w:lineRule="auto"/>
        <w:ind w:right="4"/>
        <w:jc w:val="both"/>
        <w:rPr>
          <w:spacing w:val="3"/>
        </w:rPr>
      </w:pPr>
      <w:r>
        <w:rPr>
          <w:rFonts w:hint="eastAsia"/>
          <w:spacing w:val="3"/>
        </w:rPr>
        <w:t>Models</w:t>
      </w:r>
      <w:r>
        <w:rPr>
          <w:rFonts w:hint="eastAsia" w:eastAsia="宋体"/>
          <w:spacing w:val="3"/>
          <w:lang w:eastAsia="zh-CN"/>
        </w:rPr>
        <w:t xml:space="preserve">: </w:t>
      </w:r>
      <w:r>
        <w:rPr>
          <w:rFonts w:hint="eastAsia"/>
          <w:spacing w:val="3"/>
        </w:rPr>
        <w:t>We employ five baseline models and one in-house model with distinct learning paradigms, data requirements, compute/latency budgets, and failure modes, thereby enhancing the study’s interpretability and practical deliverables</w:t>
      </w:r>
      <w:r>
        <w:rPr>
          <w:rFonts w:hint="eastAsia" w:eastAsia="宋体"/>
          <w:spacing w:val="3"/>
          <w:lang w:eastAsia="zh-CN"/>
        </w:rPr>
        <w:t xml:space="preserve"> (Table 2)</w:t>
      </w:r>
      <w:r>
        <w:rPr>
          <w:rFonts w:hint="eastAsia"/>
          <w:spacing w:val="3"/>
        </w:rPr>
        <w:t>.</w:t>
      </w:r>
    </w:p>
    <w:p w14:paraId="32B428FB">
      <w:pPr>
        <w:pStyle w:val="2"/>
        <w:spacing w:before="192" w:line="366" w:lineRule="auto"/>
        <w:ind w:right="4"/>
        <w:jc w:val="both"/>
        <w:rPr>
          <w:spacing w:val="3"/>
          <w:lang w:eastAsia="zh-CN"/>
        </w:rPr>
      </w:pPr>
      <w:r>
        <w:rPr>
          <w:rFonts w:hint="eastAsia"/>
          <w:spacing w:val="3"/>
          <w:lang w:eastAsia="zh-CN"/>
        </w:rPr>
        <w:t>Fair evaluation. Within each dataset I use leave‑one‑subject‑out (LOSO) testing (the model never sees the test person). I also run cross‑dataset tests (train on A, test on B). Model selection uses nested CV on the training people to avoid leakage (Arrotta et al., 2025).</w:t>
      </w:r>
    </w:p>
    <w:p w14:paraId="4494EB8B">
      <w:pPr>
        <w:pStyle w:val="2"/>
        <w:spacing w:before="192" w:line="366" w:lineRule="auto"/>
        <w:ind w:right="4"/>
        <w:jc w:val="both"/>
        <w:rPr>
          <w:rFonts w:eastAsia="宋体"/>
          <w:spacing w:val="3"/>
          <w:lang w:eastAsia="zh-CN"/>
        </w:rPr>
      </w:pPr>
      <w:r>
        <w:rPr>
          <w:rFonts w:hint="eastAsia" w:eastAsia="宋体"/>
          <w:spacing w:val="3"/>
          <w:lang w:eastAsia="zh-CN"/>
        </w:rPr>
        <w:t>Research questions:</w:t>
      </w:r>
    </w:p>
    <w:p w14:paraId="201CFC7B">
      <w:pPr>
        <w:pStyle w:val="2"/>
        <w:spacing w:before="192" w:line="366" w:lineRule="auto"/>
        <w:ind w:right="4"/>
        <w:jc w:val="both"/>
        <w:rPr>
          <w:rFonts w:eastAsia="宋体"/>
          <w:spacing w:val="3"/>
          <w:lang w:eastAsia="zh-CN"/>
        </w:rPr>
      </w:pPr>
      <w:r>
        <w:rPr>
          <w:rFonts w:hint="eastAsia" w:eastAsia="宋体"/>
          <w:spacing w:val="3"/>
          <w:lang w:eastAsia="zh-CN"/>
        </w:rPr>
        <w:t>How can IMU-HAR deliver fair, reliable, efficient, evolvable real-world performance (Table 3)?</w:t>
      </w:r>
    </w:p>
    <w:p w14:paraId="130EAB04">
      <w:pPr>
        <w:pStyle w:val="2"/>
        <w:spacing w:before="192" w:line="366" w:lineRule="auto"/>
        <w:ind w:right="4"/>
        <w:jc w:val="both"/>
        <w:rPr>
          <w:rFonts w:eastAsia="宋体"/>
          <w:spacing w:val="3"/>
          <w:lang w:eastAsia="zh-CN"/>
        </w:rPr>
      </w:pPr>
      <w:r>
        <w:rPr>
          <w:rFonts w:hint="eastAsia" w:eastAsia="宋体"/>
          <w:spacing w:val="3"/>
          <w:lang w:eastAsia="zh-CN"/>
        </w:rPr>
        <w:t xml:space="preserve">This project will maximize adherence to the rigorous, complete experimental standards of leading conferences and journals, and will deliver comprehensive, systematic, in-depth analyses. </w:t>
      </w:r>
      <w:r>
        <w:rPr>
          <w:rFonts w:hint="eastAsia"/>
          <w:spacing w:val="3"/>
        </w:rPr>
        <w:t>I will publish clear trade‑offs between accuracy, speed and battery, and recommend only Pareto‑best settings—those where you cannot do better on one goal without doing worse on another.</w:t>
      </w:r>
    </w:p>
    <w:p w14:paraId="34C37200">
      <w:pPr>
        <w:pStyle w:val="2"/>
        <w:spacing w:before="192" w:line="366" w:lineRule="auto"/>
        <w:ind w:right="4"/>
        <w:jc w:val="both"/>
        <w:rPr>
          <w:spacing w:val="3"/>
        </w:rPr>
      </w:pPr>
    </w:p>
    <w:p w14:paraId="48F930A8">
      <w:pPr>
        <w:pStyle w:val="2"/>
        <w:spacing w:before="192" w:line="366" w:lineRule="auto"/>
        <w:ind w:right="4"/>
        <w:jc w:val="both"/>
        <w:rPr>
          <w:spacing w:val="3"/>
        </w:rPr>
      </w:pPr>
    </w:p>
    <w:p w14:paraId="1ACC81E3">
      <w:pPr>
        <w:pStyle w:val="2"/>
        <w:numPr>
          <w:ilvl w:val="0"/>
          <w:numId w:val="2"/>
        </w:numPr>
        <w:spacing w:before="201" w:line="186" w:lineRule="auto"/>
        <w:rPr>
          <w:rFonts w:eastAsia="宋体"/>
          <w:color w:val="2E74B5"/>
          <w:spacing w:val="-1"/>
          <w:sz w:val="28"/>
          <w:szCs w:val="28"/>
          <w:lang w:eastAsia="zh-CN"/>
        </w:rPr>
      </w:pPr>
      <w:r>
        <w:rPr>
          <w:rFonts w:hint="eastAsia" w:eastAsia="宋体"/>
          <w:color w:val="2E74B5"/>
          <w:spacing w:val="-1"/>
          <w:sz w:val="28"/>
          <w:szCs w:val="28"/>
          <w:lang w:eastAsia="zh-CN"/>
        </w:rPr>
        <w:t>Intended Users and Requirements</w:t>
      </w:r>
    </w:p>
    <w:p w14:paraId="329FA7AC">
      <w:pPr>
        <w:pStyle w:val="2"/>
        <w:spacing w:before="193" w:line="371" w:lineRule="auto"/>
        <w:ind w:right="2"/>
        <w:jc w:val="both"/>
        <w:rPr>
          <w:rFonts w:eastAsia="宋体"/>
          <w:spacing w:val="4"/>
          <w:lang w:eastAsia="zh-CN"/>
        </w:rPr>
      </w:pPr>
      <w:r>
        <w:rPr>
          <w:rFonts w:hint="eastAsia"/>
          <w:spacing w:val="4"/>
        </w:rPr>
        <w:t>Primary users: everyday smartphone owners. Secondary: clinicians/carers, transport analysts, and app developers. Tertiary: researchers</w:t>
      </w:r>
      <w:r>
        <w:rPr>
          <w:rFonts w:hint="eastAsia" w:eastAsia="宋体"/>
          <w:spacing w:val="4"/>
          <w:lang w:eastAsia="zh-CN"/>
        </w:rPr>
        <w:t xml:space="preserve"> and model developer</w:t>
      </w:r>
      <w:r>
        <w:rPr>
          <w:rFonts w:hint="eastAsia"/>
          <w:spacing w:val="4"/>
        </w:rPr>
        <w:t>. People “hire” activity‑recognition to track health, safety and travel. Section 1 showed real‑world gaps: scores often drop for new people and carry styles; datasets use different label meanings; systems can be over‑confident about wrong answers; and few report on‑device energy</w:t>
      </w:r>
      <w:r>
        <w:rPr>
          <w:rFonts w:hint="eastAsia" w:eastAsia="宋体"/>
          <w:spacing w:val="4"/>
          <w:lang w:eastAsia="zh-CN"/>
        </w:rPr>
        <w:t xml:space="preserve"> (Khan et al., 2023)</w:t>
      </w:r>
      <w:r>
        <w:rPr>
          <w:rFonts w:hint="eastAsia"/>
          <w:spacing w:val="4"/>
        </w:rPr>
        <w:t>. These faults reduce trust for all groups and block impact at scale</w:t>
      </w:r>
      <w:r>
        <w:rPr>
          <w:rFonts w:hint="eastAsia" w:eastAsia="宋体"/>
          <w:spacing w:val="4"/>
          <w:lang w:eastAsia="zh-CN"/>
        </w:rPr>
        <w:t xml:space="preserve"> (Table 4)</w:t>
      </w:r>
      <w:r>
        <w:rPr>
          <w:rFonts w:hint="eastAsia"/>
          <w:spacing w:val="4"/>
        </w:rPr>
        <w:t>.</w:t>
      </w:r>
      <w:r>
        <w:rPr>
          <w:rFonts w:hint="eastAsia" w:eastAsia="宋体"/>
          <w:spacing w:val="4"/>
          <w:lang w:eastAsia="zh-CN"/>
        </w:rPr>
        <w:t xml:space="preserve"> (Jin &amp; Ren, 2025)</w:t>
      </w:r>
    </w:p>
    <w:p w14:paraId="31F052E4">
      <w:pPr>
        <w:pStyle w:val="2"/>
        <w:spacing w:before="193" w:line="371" w:lineRule="auto"/>
        <w:ind w:right="2"/>
        <w:jc w:val="both"/>
        <w:rPr>
          <w:spacing w:val="4"/>
        </w:rPr>
      </w:pPr>
      <w:r>
        <w:rPr>
          <w:rFonts w:hint="eastAsia"/>
          <w:spacing w:val="4"/>
        </w:rPr>
        <w:t>Using a simple jobs‑to‑be‑done lens and MoSCoW priority, the project has three Musts:</w:t>
      </w:r>
    </w:p>
    <w:p w14:paraId="6BA8D3C3">
      <w:pPr>
        <w:pStyle w:val="2"/>
        <w:spacing w:before="193" w:line="371" w:lineRule="auto"/>
        <w:ind w:right="2"/>
        <w:jc w:val="both"/>
        <w:rPr>
          <w:spacing w:val="4"/>
        </w:rPr>
      </w:pPr>
      <w:r>
        <w:rPr>
          <w:rFonts w:hint="eastAsia"/>
          <w:spacing w:val="4"/>
        </w:rPr>
        <w:t>(1) Generalise—work for new people and common carry positions (hand, pocket, bag).</w:t>
      </w:r>
    </w:p>
    <w:p w14:paraId="46D0BF00">
      <w:pPr>
        <w:pStyle w:val="2"/>
        <w:spacing w:before="193" w:line="371" w:lineRule="auto"/>
        <w:ind w:right="2"/>
        <w:jc w:val="both"/>
        <w:rPr>
          <w:spacing w:val="4"/>
        </w:rPr>
      </w:pPr>
      <w:r>
        <w:rPr>
          <w:rFonts w:hint="eastAsia"/>
          <w:spacing w:val="4"/>
        </w:rPr>
        <w:t>(2) Be honest—when unsure, return a small set such as “walking or cycling,” and keep confidence aligned with reality (calibration).</w:t>
      </w:r>
    </w:p>
    <w:p w14:paraId="513C30DA">
      <w:pPr>
        <w:pStyle w:val="2"/>
        <w:spacing w:before="193" w:line="371" w:lineRule="auto"/>
        <w:ind w:right="2"/>
        <w:jc w:val="both"/>
        <w:rPr>
          <w:spacing w:val="4"/>
        </w:rPr>
      </w:pPr>
      <w:r>
        <w:rPr>
          <w:rFonts w:hint="eastAsia"/>
          <w:spacing w:val="4"/>
        </w:rPr>
        <w:t>(3) Be efficient on mid‑range phones.</w:t>
      </w:r>
    </w:p>
    <w:p w14:paraId="0D2AEA79">
      <w:pPr>
        <w:pStyle w:val="2"/>
        <w:spacing w:before="193" w:line="371" w:lineRule="auto"/>
        <w:ind w:right="2"/>
        <w:jc w:val="both"/>
        <w:rPr>
          <w:spacing w:val="4"/>
        </w:rPr>
      </w:pPr>
      <w:r>
        <w:rPr>
          <w:rFonts w:hint="eastAsia"/>
          <w:spacing w:val="4"/>
        </w:rPr>
        <w:t>Two Shoulds strengthen inclusivity and clarity:</w:t>
      </w:r>
    </w:p>
    <w:p w14:paraId="4271DE2D">
      <w:pPr>
        <w:pStyle w:val="2"/>
        <w:spacing w:before="193" w:line="371" w:lineRule="auto"/>
        <w:ind w:right="2"/>
        <w:jc w:val="both"/>
        <w:rPr>
          <w:spacing w:val="4"/>
        </w:rPr>
      </w:pPr>
      <w:r>
        <w:rPr>
          <w:rFonts w:hint="eastAsia"/>
          <w:spacing w:val="4"/>
        </w:rPr>
        <w:t>(</w:t>
      </w:r>
      <w:r>
        <w:rPr>
          <w:rFonts w:hint="eastAsia" w:eastAsia="宋体"/>
          <w:spacing w:val="4"/>
          <w:lang w:eastAsia="zh-CN"/>
        </w:rPr>
        <w:t>1</w:t>
      </w:r>
      <w:r>
        <w:rPr>
          <w:rFonts w:hint="eastAsia"/>
          <w:spacing w:val="4"/>
        </w:rPr>
        <w:t>) Be fair across age/sex/wear‑style groups</w:t>
      </w:r>
      <w:r>
        <w:rPr>
          <w:rFonts w:hint="eastAsia" w:eastAsia="宋体"/>
          <w:spacing w:val="4"/>
          <w:lang w:eastAsia="zh-CN"/>
        </w:rPr>
        <w:t xml:space="preserve"> </w:t>
      </w:r>
      <w:r>
        <w:rPr>
          <w:rFonts w:hint="eastAsia"/>
          <w:spacing w:val="4"/>
        </w:rPr>
        <w:t>(Mennella et al., 2024)</w:t>
      </w:r>
      <w:r>
        <w:rPr>
          <w:rFonts w:hint="eastAsia" w:eastAsia="宋体"/>
          <w:spacing w:val="4"/>
          <w:lang w:eastAsia="zh-CN"/>
        </w:rPr>
        <w:t xml:space="preserve"> </w:t>
      </w:r>
      <w:r>
        <w:rPr>
          <w:rFonts w:hint="eastAsia"/>
          <w:spacing w:val="4"/>
        </w:rPr>
        <w:t>;</w:t>
      </w:r>
    </w:p>
    <w:p w14:paraId="2565435C">
      <w:pPr>
        <w:pStyle w:val="2"/>
        <w:spacing w:before="193" w:line="371" w:lineRule="auto"/>
        <w:ind w:right="2"/>
        <w:jc w:val="both"/>
        <w:rPr>
          <w:spacing w:val="4"/>
        </w:rPr>
      </w:pPr>
      <w:r>
        <w:rPr>
          <w:rFonts w:hint="eastAsia"/>
          <w:spacing w:val="4"/>
        </w:rPr>
        <w:t>(</w:t>
      </w:r>
      <w:r>
        <w:rPr>
          <w:rFonts w:hint="eastAsia" w:eastAsia="宋体"/>
          <w:spacing w:val="4"/>
          <w:lang w:eastAsia="zh-CN"/>
        </w:rPr>
        <w:t>2</w:t>
      </w:r>
      <w:r>
        <w:rPr>
          <w:rFonts w:hint="eastAsia"/>
          <w:spacing w:val="4"/>
        </w:rPr>
        <w:t>) Be privacy‑aware by favouring on‑device processing</w:t>
      </w:r>
      <w:r>
        <w:rPr>
          <w:rFonts w:hint="eastAsia" w:eastAsia="宋体"/>
          <w:spacing w:val="4"/>
          <w:lang w:eastAsia="zh-CN"/>
        </w:rPr>
        <w:t xml:space="preserve"> (Doherty et al., 2025)</w:t>
      </w:r>
      <w:r>
        <w:rPr>
          <w:rFonts w:hint="eastAsia"/>
          <w:spacing w:val="4"/>
        </w:rPr>
        <w:t>.</w:t>
      </w:r>
    </w:p>
    <w:p w14:paraId="38D5E030">
      <w:pPr>
        <w:pStyle w:val="2"/>
        <w:spacing w:before="193" w:line="371" w:lineRule="auto"/>
        <w:ind w:right="2"/>
        <w:jc w:val="both"/>
        <w:rPr>
          <w:rFonts w:eastAsia="宋体"/>
          <w:spacing w:val="4"/>
          <w:lang w:eastAsia="zh-CN"/>
        </w:rPr>
      </w:pPr>
      <w:r>
        <w:rPr>
          <w:rFonts w:hint="eastAsia" w:eastAsia="宋体"/>
          <w:spacing w:val="4"/>
          <w:lang w:eastAsia="zh-CN"/>
        </w:rPr>
        <w:t>(3)Usefulness: supports the whole task end-to-end.</w:t>
      </w:r>
    </w:p>
    <w:p w14:paraId="00065B05">
      <w:pPr>
        <w:pStyle w:val="2"/>
        <w:spacing w:before="193" w:line="371" w:lineRule="auto"/>
        <w:ind w:right="2"/>
        <w:jc w:val="both"/>
        <w:rPr>
          <w:rFonts w:eastAsia="宋体"/>
          <w:spacing w:val="4"/>
          <w:lang w:eastAsia="zh-CN"/>
        </w:rPr>
      </w:pPr>
      <w:r>
        <w:rPr>
          <w:rFonts w:hint="eastAsia" w:eastAsia="宋体"/>
          <w:spacing w:val="4"/>
          <w:lang w:eastAsia="zh-CN"/>
        </w:rPr>
        <w:t>(4)Simplicity: plain English, sensible defaults.</w:t>
      </w:r>
    </w:p>
    <w:p w14:paraId="0EDE9088">
      <w:pPr>
        <w:pStyle w:val="2"/>
        <w:spacing w:before="193" w:line="371" w:lineRule="auto"/>
        <w:ind w:right="2"/>
        <w:jc w:val="both"/>
        <w:rPr>
          <w:rFonts w:eastAsia="宋体"/>
          <w:spacing w:val="4"/>
          <w:lang w:eastAsia="zh-CN"/>
        </w:rPr>
      </w:pPr>
      <w:r>
        <w:rPr>
          <w:rFonts w:hint="eastAsia" w:eastAsia="宋体"/>
          <w:spacing w:val="4"/>
          <w:lang w:eastAsia="zh-CN"/>
        </w:rPr>
        <w:t>(5)Accessibility: works offline and with screen readers on low‑cost phones; analyse slices by disability, device tier, carry position and age.</w:t>
      </w:r>
    </w:p>
    <w:p w14:paraId="0B5B705A">
      <w:pPr>
        <w:pStyle w:val="2"/>
        <w:spacing w:before="193" w:line="371" w:lineRule="auto"/>
        <w:ind w:right="2"/>
        <w:jc w:val="both"/>
        <w:rPr>
          <w:rFonts w:eastAsia="宋体"/>
          <w:spacing w:val="4"/>
          <w:lang w:eastAsia="zh-CN"/>
        </w:rPr>
      </w:pPr>
      <w:r>
        <w:rPr>
          <w:rFonts w:hint="eastAsia" w:eastAsia="宋体"/>
          <w:spacing w:val="4"/>
          <w:lang w:eastAsia="zh-CN"/>
        </w:rPr>
        <w:t>(6)Transparency &amp; uncertainty: explain each result and, when unsure, return a small prediction set.</w:t>
      </w:r>
    </w:p>
    <w:p w14:paraId="4DF1DDA4">
      <w:pPr>
        <w:pStyle w:val="2"/>
        <w:spacing w:before="193" w:line="371" w:lineRule="auto"/>
        <w:ind w:right="2"/>
        <w:jc w:val="both"/>
        <w:rPr>
          <w:spacing w:val="4"/>
        </w:rPr>
      </w:pPr>
      <w:r>
        <w:rPr>
          <w:rFonts w:hint="eastAsia"/>
          <w:spacing w:val="4"/>
        </w:rPr>
        <w:t>Acceptance checks and thresholds are in Table </w:t>
      </w:r>
      <w:r>
        <w:rPr>
          <w:rFonts w:hint="eastAsia" w:eastAsia="宋体"/>
          <w:spacing w:val="4"/>
          <w:lang w:eastAsia="zh-CN"/>
        </w:rPr>
        <w:t>5</w:t>
      </w:r>
      <w:r>
        <w:rPr>
          <w:rFonts w:hint="eastAsia"/>
          <w:spacing w:val="4"/>
        </w:rPr>
        <w:t>; they convert Section 1</w:t>
      </w:r>
      <w:r>
        <w:rPr>
          <w:rFonts w:eastAsia="宋体"/>
          <w:spacing w:val="4"/>
          <w:lang w:eastAsia="zh-CN"/>
        </w:rPr>
        <w:t>’</w:t>
      </w:r>
      <w:r>
        <w:rPr>
          <w:rFonts w:hint="eastAsia"/>
          <w:spacing w:val="4"/>
        </w:rPr>
        <w:t>s aims—fair, reliable, efficient HAR—into testable requirements and lay‑friendly outputs.</w:t>
      </w:r>
    </w:p>
    <w:p w14:paraId="52D0C605">
      <w:pPr>
        <w:pStyle w:val="2"/>
        <w:spacing w:before="193" w:line="371" w:lineRule="auto"/>
        <w:ind w:right="2" w:firstLine="6"/>
        <w:jc w:val="both"/>
        <w:rPr>
          <w:spacing w:val="4"/>
        </w:rPr>
      </w:pPr>
    </w:p>
    <w:p w14:paraId="2E499598">
      <w:pPr>
        <w:spacing w:line="287" w:lineRule="auto"/>
      </w:pPr>
    </w:p>
    <w:p w14:paraId="57FCB1A6">
      <w:pPr>
        <w:spacing w:line="287" w:lineRule="auto"/>
      </w:pPr>
    </w:p>
    <w:p w14:paraId="14380772">
      <w:pPr>
        <w:spacing w:line="287" w:lineRule="auto"/>
      </w:pPr>
    </w:p>
    <w:p w14:paraId="44826799">
      <w:pPr>
        <w:spacing w:line="287" w:lineRule="auto"/>
      </w:pPr>
    </w:p>
    <w:p w14:paraId="59CD217C">
      <w:pPr>
        <w:spacing w:line="287" w:lineRule="auto"/>
      </w:pPr>
    </w:p>
    <w:p w14:paraId="2D8A8823">
      <w:pPr>
        <w:spacing w:line="287" w:lineRule="auto"/>
      </w:pPr>
    </w:p>
    <w:p w14:paraId="36956462">
      <w:pPr>
        <w:spacing w:line="287" w:lineRule="auto"/>
      </w:pPr>
    </w:p>
    <w:p w14:paraId="1C38C9E3">
      <w:pPr>
        <w:spacing w:line="287" w:lineRule="auto"/>
      </w:pPr>
    </w:p>
    <w:p w14:paraId="49A5CB7A">
      <w:pPr>
        <w:pStyle w:val="2"/>
        <w:spacing w:before="194" w:line="368" w:lineRule="auto"/>
        <w:ind w:right="2"/>
        <w:jc w:val="both"/>
        <w:rPr>
          <w:spacing w:val="4"/>
        </w:rPr>
      </w:pPr>
    </w:p>
    <w:p w14:paraId="787BE221">
      <w:pPr>
        <w:pStyle w:val="2"/>
        <w:numPr>
          <w:ilvl w:val="0"/>
          <w:numId w:val="2"/>
        </w:numPr>
        <w:spacing w:before="201" w:line="186" w:lineRule="auto"/>
        <w:rPr>
          <w:rFonts w:eastAsia="宋体"/>
          <w:color w:val="2E74B5"/>
          <w:spacing w:val="-1"/>
          <w:sz w:val="28"/>
          <w:szCs w:val="28"/>
          <w:lang w:eastAsia="zh-CN"/>
        </w:rPr>
      </w:pPr>
      <w:r>
        <w:rPr>
          <w:rFonts w:hint="eastAsia" w:eastAsia="宋体"/>
          <w:color w:val="2E74B5"/>
          <w:spacing w:val="-1"/>
          <w:sz w:val="28"/>
          <w:szCs w:val="28"/>
          <w:lang w:eastAsia="zh-CN"/>
        </w:rPr>
        <w:t>Systems Requirements, Deliverables, Final Outcome</w:t>
      </w:r>
    </w:p>
    <w:p w14:paraId="439F11E3">
      <w:pPr>
        <w:pStyle w:val="2"/>
        <w:spacing w:before="190" w:line="366" w:lineRule="auto"/>
        <w:ind w:right="1"/>
        <w:jc w:val="both"/>
        <w:rPr>
          <w:spacing w:val="4"/>
        </w:rPr>
      </w:pPr>
      <w:r>
        <w:rPr>
          <w:rFonts w:hint="eastAsia"/>
          <w:spacing w:val="4"/>
        </w:rPr>
        <w:t>What the system must do (summary).</w:t>
      </w:r>
    </w:p>
    <w:p w14:paraId="487DFBB8">
      <w:pPr>
        <w:pStyle w:val="2"/>
        <w:spacing w:before="190" w:line="366" w:lineRule="auto"/>
        <w:ind w:right="1"/>
        <w:jc w:val="both"/>
        <w:rPr>
          <w:spacing w:val="4"/>
        </w:rPr>
      </w:pPr>
      <w:r>
        <w:rPr>
          <w:rFonts w:hint="eastAsia"/>
          <w:spacing w:val="4"/>
        </w:rPr>
        <w:t>R1 Be honest: return a small prediction set when unsure.</w:t>
      </w:r>
    </w:p>
    <w:p w14:paraId="242E9BE9">
      <w:pPr>
        <w:pStyle w:val="2"/>
        <w:spacing w:before="190" w:line="366" w:lineRule="auto"/>
        <w:ind w:right="1"/>
        <w:jc w:val="both"/>
        <w:rPr>
          <w:spacing w:val="4"/>
        </w:rPr>
      </w:pPr>
      <w:r>
        <w:rPr>
          <w:rFonts w:hint="eastAsia"/>
          <w:spacing w:val="4"/>
        </w:rPr>
        <w:t>R2 Generalise: work for unseen people and common carry styles (hand, pocket, bag).</w:t>
      </w:r>
    </w:p>
    <w:p w14:paraId="2B1FF9DC">
      <w:pPr>
        <w:pStyle w:val="2"/>
        <w:spacing w:before="190" w:line="366" w:lineRule="auto"/>
        <w:ind w:right="1"/>
        <w:jc w:val="both"/>
        <w:rPr>
          <w:spacing w:val="4"/>
        </w:rPr>
      </w:pPr>
      <w:r>
        <w:rPr>
          <w:rFonts w:hint="eastAsia"/>
          <w:spacing w:val="4"/>
        </w:rPr>
        <w:t>R3 Be efficient: run smoothly on a mid‑range Android phone</w:t>
      </w:r>
      <w:r>
        <w:rPr>
          <w:rFonts w:hint="eastAsia" w:eastAsia="宋体"/>
          <w:spacing w:val="4"/>
          <w:lang w:eastAsia="zh-CN"/>
        </w:rPr>
        <w:t xml:space="preserve"> (MLCommons, 2025)</w:t>
      </w:r>
      <w:r>
        <w:rPr>
          <w:rFonts w:hint="eastAsia"/>
          <w:spacing w:val="4"/>
        </w:rPr>
        <w:t>.</w:t>
      </w:r>
    </w:p>
    <w:p w14:paraId="04C139F4">
      <w:pPr>
        <w:pStyle w:val="2"/>
        <w:spacing w:before="190" w:line="366" w:lineRule="auto"/>
        <w:ind w:right="1"/>
        <w:jc w:val="both"/>
        <w:rPr>
          <w:spacing w:val="4"/>
        </w:rPr>
      </w:pPr>
      <w:r>
        <w:rPr>
          <w:rFonts w:hint="eastAsia"/>
          <w:spacing w:val="4"/>
        </w:rPr>
        <w:t>R4 Protect privacy: default to on‑device processing; no new personal data</w:t>
      </w:r>
      <w:r>
        <w:rPr>
          <w:rFonts w:hint="eastAsia" w:eastAsia="宋体"/>
          <w:spacing w:val="4"/>
          <w:lang w:eastAsia="zh-CN"/>
        </w:rPr>
        <w:t xml:space="preserve"> </w:t>
      </w:r>
      <w:r>
        <w:rPr>
          <w:rFonts w:hint="eastAsia"/>
          <w:spacing w:val="4"/>
        </w:rPr>
        <w:t>(National Institute of Standards and Technology, 2023)</w:t>
      </w:r>
      <w:r>
        <w:rPr>
          <w:rFonts w:hint="eastAsia" w:eastAsia="宋体"/>
          <w:spacing w:val="4"/>
          <w:lang w:eastAsia="zh-CN"/>
        </w:rPr>
        <w:t xml:space="preserve"> </w:t>
      </w:r>
      <w:r>
        <w:rPr>
          <w:rFonts w:hint="eastAsia"/>
          <w:spacing w:val="4"/>
        </w:rPr>
        <w:t>.</w:t>
      </w:r>
    </w:p>
    <w:p w14:paraId="03D8EEA1">
      <w:pPr>
        <w:pStyle w:val="2"/>
        <w:spacing w:before="190" w:line="366" w:lineRule="auto"/>
        <w:ind w:right="1"/>
        <w:jc w:val="both"/>
        <w:rPr>
          <w:spacing w:val="4"/>
        </w:rPr>
      </w:pPr>
      <w:r>
        <w:rPr>
          <w:rFonts w:hint="eastAsia"/>
          <w:spacing w:val="4"/>
        </w:rPr>
        <w:t>R5 Be fair &amp; accessible: clear English, offline use, screen‑reader support.</w:t>
      </w:r>
    </w:p>
    <w:p w14:paraId="344757AD">
      <w:pPr>
        <w:pStyle w:val="2"/>
        <w:spacing w:before="190" w:line="366" w:lineRule="auto"/>
        <w:ind w:right="1"/>
        <w:jc w:val="both"/>
        <w:rPr>
          <w:spacing w:val="4"/>
        </w:rPr>
      </w:pPr>
      <w:r>
        <w:rPr>
          <w:rFonts w:hint="eastAsia"/>
          <w:spacing w:val="4"/>
        </w:rPr>
        <w:t>R6 Be reproducible &amp; transparent: code, configs and model cards released</w:t>
      </w:r>
      <w:r>
        <w:rPr>
          <w:rFonts w:hint="eastAsia" w:eastAsia="宋体"/>
          <w:spacing w:val="4"/>
          <w:lang w:eastAsia="zh-CN"/>
        </w:rPr>
        <w:t xml:space="preserve"> (Janapa Reddi et al., 2022)</w:t>
      </w:r>
      <w:r>
        <w:rPr>
          <w:rFonts w:hint="eastAsia"/>
          <w:spacing w:val="4"/>
        </w:rPr>
        <w:t>.</w:t>
      </w:r>
    </w:p>
    <w:p w14:paraId="2FFB62BD">
      <w:pPr>
        <w:pStyle w:val="2"/>
        <w:spacing w:before="190" w:line="366" w:lineRule="auto"/>
        <w:ind w:right="1"/>
        <w:jc w:val="both"/>
        <w:rPr>
          <w:spacing w:val="4"/>
        </w:rPr>
      </w:pPr>
      <w:r>
        <w:rPr>
          <w:rFonts w:hint="eastAsia"/>
          <w:spacing w:val="4"/>
        </w:rPr>
        <w:t>Pass/fail checks and measurement details are in Table </w:t>
      </w:r>
      <w:r>
        <w:rPr>
          <w:rFonts w:hint="eastAsia" w:eastAsia="宋体"/>
          <w:spacing w:val="4"/>
          <w:lang w:eastAsia="zh-CN"/>
        </w:rPr>
        <w:t>6</w:t>
      </w:r>
      <w:r>
        <w:rPr>
          <w:rFonts w:hint="eastAsia"/>
          <w:spacing w:val="4"/>
        </w:rPr>
        <w:t>. Targets reflect mobile responsiveness and user trust, and are traceable to the project aims.</w:t>
      </w:r>
    </w:p>
    <w:p w14:paraId="5A07ACCC">
      <w:pPr>
        <w:pStyle w:val="2"/>
        <w:spacing w:before="190" w:line="366" w:lineRule="auto"/>
        <w:ind w:right="1"/>
        <w:jc w:val="both"/>
        <w:rPr>
          <w:spacing w:val="4"/>
        </w:rPr>
      </w:pPr>
      <w:r>
        <w:rPr>
          <w:rFonts w:hint="eastAsia"/>
          <w:spacing w:val="4"/>
        </w:rPr>
        <w:t>What I will deliver.</w:t>
      </w:r>
    </w:p>
    <w:p w14:paraId="737CFA87">
      <w:pPr>
        <w:pStyle w:val="2"/>
        <w:spacing w:before="190" w:line="366" w:lineRule="auto"/>
        <w:ind w:right="1"/>
        <w:jc w:val="both"/>
        <w:rPr>
          <w:rFonts w:eastAsia="宋体"/>
          <w:spacing w:val="4"/>
          <w:lang w:eastAsia="zh-CN"/>
        </w:rPr>
      </w:pPr>
      <w:r>
        <w:rPr>
          <w:rFonts w:hint="eastAsia"/>
          <w:spacing w:val="4"/>
        </w:rPr>
        <w:t>S1 curated datasets + label map; S2 an evaluation toolkit; S3 five baselines and one lightweight hybrid with an uncertainty head; S4 an Android demo with a profiler; S5 analysis and plain‑English guidance; S6 a report plus open artefacts (code, configs, seeds, model cards) under MIT/Apache‑2.0 with an archived DOI. Short, lay definitions of all models appear in Table </w:t>
      </w:r>
      <w:r>
        <w:rPr>
          <w:rFonts w:hint="eastAsia" w:eastAsia="宋体"/>
          <w:spacing w:val="4"/>
          <w:lang w:eastAsia="zh-CN"/>
        </w:rPr>
        <w:t>7.</w:t>
      </w:r>
    </w:p>
    <w:p w14:paraId="1CA406E1">
      <w:pPr>
        <w:pStyle w:val="2"/>
        <w:spacing w:before="190" w:line="366" w:lineRule="auto"/>
        <w:ind w:right="1"/>
        <w:jc w:val="both"/>
        <w:rPr>
          <w:rFonts w:eastAsia="宋体"/>
          <w:spacing w:val="4"/>
          <w:lang w:eastAsia="zh-CN"/>
        </w:rPr>
      </w:pPr>
      <w:r>
        <w:rPr>
          <w:rFonts w:hint="eastAsia" w:eastAsia="宋体"/>
          <w:spacing w:val="4"/>
          <w:lang w:eastAsia="zh-CN"/>
        </w:rPr>
        <w:t>Final project outcome.</w:t>
      </w:r>
    </w:p>
    <w:p w14:paraId="5BA8A6B3">
      <w:pPr>
        <w:pStyle w:val="2"/>
        <w:spacing w:before="190" w:line="366" w:lineRule="auto"/>
        <w:ind w:right="1"/>
        <w:jc w:val="both"/>
        <w:rPr>
          <w:rFonts w:eastAsia="宋体"/>
          <w:spacing w:val="4"/>
          <w:lang w:eastAsia="zh-CN"/>
        </w:rPr>
      </w:pPr>
      <w:r>
        <w:rPr>
          <w:rFonts w:hint="eastAsia" w:eastAsia="宋体"/>
          <w:spacing w:val="4"/>
          <w:lang w:eastAsia="zh-CN"/>
        </w:rPr>
        <w:t>A phone‑ready recipe and open artefacts that (i) achieve 90% coverage with average prediction‑set size ≤2; (ii) keep accuracy within 1 pp while P95 end‑to‑end latency ≤200 ms and energy ≥2× on a mid‑range device; (iii) keep the worst‑group score within 5 pp of the overall score; (iv) reproduce key numbers within 1 pp. If (ii) narrowly fails, the minimum acceptable line is ≥1.5× energy with ≤0.5 pp loss. Q→R→S→Metric traceability is given in Table 8.</w:t>
      </w:r>
    </w:p>
    <w:p w14:paraId="70100D5F">
      <w:pPr>
        <w:pStyle w:val="2"/>
        <w:spacing w:before="190" w:line="366" w:lineRule="auto"/>
        <w:ind w:right="1"/>
        <w:jc w:val="both"/>
        <w:rPr>
          <w:spacing w:val="4"/>
        </w:rPr>
      </w:pPr>
    </w:p>
    <w:p w14:paraId="32DDE861">
      <w:pPr>
        <w:pStyle w:val="2"/>
        <w:spacing w:before="190" w:line="366" w:lineRule="auto"/>
        <w:ind w:right="1"/>
        <w:jc w:val="both"/>
        <w:rPr>
          <w:spacing w:val="4"/>
        </w:rPr>
      </w:pPr>
    </w:p>
    <w:p w14:paraId="06289640">
      <w:pPr>
        <w:pStyle w:val="2"/>
        <w:spacing w:before="190" w:line="366" w:lineRule="auto"/>
        <w:ind w:right="1"/>
        <w:jc w:val="both"/>
        <w:rPr>
          <w:spacing w:val="4"/>
        </w:rPr>
      </w:pPr>
    </w:p>
    <w:p w14:paraId="5E18D3E3">
      <w:pPr>
        <w:pStyle w:val="2"/>
        <w:spacing w:before="190" w:line="366" w:lineRule="auto"/>
        <w:ind w:right="1"/>
        <w:jc w:val="both"/>
        <w:rPr>
          <w:rFonts w:eastAsia="宋体"/>
          <w:spacing w:val="4"/>
          <w:lang w:eastAsia="zh-CN"/>
        </w:rPr>
      </w:pPr>
    </w:p>
    <w:p w14:paraId="7985A5F8">
      <w:pPr>
        <w:pStyle w:val="2"/>
        <w:spacing w:before="190" w:line="366" w:lineRule="auto"/>
        <w:ind w:right="1"/>
        <w:jc w:val="both"/>
        <w:rPr>
          <w:rFonts w:eastAsia="宋体"/>
          <w:spacing w:val="4"/>
          <w:lang w:eastAsia="zh-CN"/>
        </w:rPr>
      </w:pPr>
    </w:p>
    <w:p w14:paraId="173D1AA0">
      <w:pPr>
        <w:pStyle w:val="2"/>
        <w:spacing w:before="190" w:line="366" w:lineRule="auto"/>
        <w:ind w:right="1"/>
        <w:jc w:val="both"/>
        <w:rPr>
          <w:rFonts w:eastAsia="宋体"/>
          <w:spacing w:val="4"/>
          <w:lang w:eastAsia="zh-CN"/>
        </w:rPr>
      </w:pPr>
    </w:p>
    <w:p w14:paraId="1E332599">
      <w:pPr>
        <w:pStyle w:val="2"/>
        <w:spacing w:before="190" w:line="366" w:lineRule="auto"/>
        <w:ind w:right="1"/>
        <w:jc w:val="both"/>
        <w:rPr>
          <w:rFonts w:eastAsia="宋体"/>
          <w:spacing w:val="4"/>
          <w:lang w:eastAsia="zh-CN"/>
        </w:rPr>
      </w:pPr>
    </w:p>
    <w:p w14:paraId="2B361E46">
      <w:pPr>
        <w:pStyle w:val="2"/>
        <w:numPr>
          <w:ilvl w:val="0"/>
          <w:numId w:val="2"/>
        </w:numPr>
        <w:spacing w:before="201" w:line="186" w:lineRule="auto"/>
        <w:rPr>
          <w:rFonts w:eastAsia="宋体"/>
          <w:color w:val="2E74B5"/>
          <w:spacing w:val="-1"/>
          <w:sz w:val="28"/>
          <w:szCs w:val="28"/>
          <w:lang w:eastAsia="zh-CN"/>
        </w:rPr>
      </w:pPr>
      <w:r>
        <w:rPr>
          <w:rFonts w:hint="eastAsia" w:eastAsia="宋体"/>
          <w:color w:val="2E74B5"/>
          <w:spacing w:val="-1"/>
          <w:sz w:val="28"/>
          <w:szCs w:val="28"/>
          <w:lang w:eastAsia="zh-CN"/>
        </w:rPr>
        <w:t>Primary Research Plan (feasibility, power, risk controls)</w:t>
      </w:r>
    </w:p>
    <w:p w14:paraId="5634260A">
      <w:pPr>
        <w:pStyle w:val="2"/>
        <w:spacing w:before="192" w:line="366" w:lineRule="auto"/>
        <w:ind w:right="3"/>
        <w:jc w:val="both"/>
        <w:rPr>
          <w:rFonts w:eastAsia="宋体"/>
          <w:lang w:eastAsia="zh-CN"/>
        </w:rPr>
      </w:pPr>
      <w:r>
        <w:rPr>
          <w:rFonts w:hint="eastAsia"/>
        </w:rPr>
        <w:t>We will run controlled computational experiments to decide which human‑activity‑recognition (HAR) method is most reliable when the people used for training are different from those used for testing.</w:t>
      </w:r>
      <w:r>
        <w:rPr>
          <w:rFonts w:hint="eastAsia" w:eastAsia="宋体"/>
          <w:lang w:eastAsia="zh-CN"/>
        </w:rPr>
        <w:t xml:space="preserve"> I will run six models—KNN, Random Forest, InceptionTime (Fawaz et al., 2020), MultiRocket, TST, and Model A—on three public datasets (SHL, DaLiAc, RealWorld). The plan uses gated phases to avoid over‑promising.</w:t>
      </w:r>
    </w:p>
    <w:p w14:paraId="29A439D5">
      <w:pPr>
        <w:pStyle w:val="2"/>
        <w:spacing w:before="192" w:line="366" w:lineRule="auto"/>
        <w:ind w:right="3"/>
        <w:jc w:val="both"/>
        <w:rPr>
          <w:rFonts w:eastAsia="宋体"/>
          <w:lang w:eastAsia="zh-CN"/>
        </w:rPr>
      </w:pPr>
      <w:r>
        <w:rPr>
          <w:rFonts w:eastAsia="宋体"/>
          <w:lang w:eastAsia="zh-CN"/>
        </w:rPr>
        <w:t>Data protocol and leakage control.</w:t>
      </w:r>
    </w:p>
    <w:p w14:paraId="1C4B5EF2">
      <w:pPr>
        <w:pStyle w:val="2"/>
        <w:spacing w:before="192" w:line="366" w:lineRule="auto"/>
        <w:ind w:right="3"/>
        <w:jc w:val="both"/>
        <w:rPr>
          <w:rFonts w:eastAsia="宋体"/>
          <w:lang w:eastAsia="zh-CN"/>
        </w:rPr>
      </w:pPr>
      <w:r>
        <w:rPr>
          <w:rFonts w:eastAsia="宋体"/>
          <w:lang w:eastAsia="zh-CN"/>
        </w:rPr>
        <w:t xml:space="preserve">Evaluation is by subject (leave‑one‑subject‑out, LOSO) to ensure no person appears in both training and test. I will harmonise labels, sensor channels and units across datasets; align or resample sampling rates; and document any class mismatches and how they are merged or treated as “other”. Windows are chosen via a small grid (e.g., 3 lengths × 2 overlaps). All runs use </w:t>
      </w:r>
      <w:r>
        <w:rPr>
          <w:rFonts w:hint="eastAsia" w:eastAsia="宋体"/>
          <w:lang w:eastAsia="zh-CN"/>
        </w:rPr>
        <w:t>3-5</w:t>
      </w:r>
      <w:r>
        <w:rPr>
          <w:rFonts w:eastAsia="宋体"/>
          <w:lang w:eastAsia="zh-CN"/>
        </w:rPr>
        <w:t xml:space="preserve"> random seeds, unified configs and logging. I record Accuracy, Macro‑F1 (treats all classes equally) and confusion matrices; I also save raw prediction scores for calibration and uncertainty quantification.</w:t>
      </w:r>
    </w:p>
    <w:p w14:paraId="12863718">
      <w:pPr>
        <w:pStyle w:val="2"/>
        <w:spacing w:before="192" w:line="366" w:lineRule="auto"/>
        <w:ind w:right="3"/>
        <w:jc w:val="both"/>
        <w:rPr>
          <w:rFonts w:eastAsia="宋体"/>
          <w:lang w:eastAsia="zh-CN"/>
        </w:rPr>
      </w:pPr>
    </w:p>
    <w:p w14:paraId="41FC4AA4">
      <w:pPr>
        <w:pStyle w:val="2"/>
        <w:spacing w:before="192" w:line="366" w:lineRule="auto"/>
        <w:ind w:right="3"/>
        <w:jc w:val="both"/>
      </w:pPr>
      <w:r>
        <w:rPr>
          <w:rFonts w:hint="eastAsia"/>
        </w:rPr>
        <w:t>Phased plan with quantitative gates</w:t>
      </w:r>
      <w:r>
        <w:rPr>
          <w:rFonts w:hint="eastAsia" w:eastAsia="宋体"/>
          <w:lang w:eastAsia="zh-CN"/>
        </w:rPr>
        <w:t xml:space="preserve"> (Figure 1)</w:t>
      </w:r>
      <w:r>
        <w:rPr>
          <w:rFonts w:hint="eastAsia"/>
        </w:rPr>
        <w:t>.</w:t>
      </w:r>
    </w:p>
    <w:p w14:paraId="06C854E4">
      <w:pPr>
        <w:pStyle w:val="2"/>
        <w:spacing w:before="192" w:line="366" w:lineRule="auto"/>
        <w:ind w:right="3"/>
        <w:jc w:val="both"/>
      </w:pPr>
      <w:r>
        <w:rPr>
          <w:rFonts w:hint="eastAsia"/>
        </w:rPr>
        <w:t>Phase A — Baseline alignment. Run 6×3 model–dataset combinations with the window/overlap grid and 8 seeds; choose a robust slicing strategy and verify stability.</w:t>
      </w:r>
    </w:p>
    <w:p w14:paraId="4E6D641A">
      <w:pPr>
        <w:pStyle w:val="2"/>
        <w:spacing w:before="192" w:line="366" w:lineRule="auto"/>
        <w:ind w:right="3"/>
        <w:jc w:val="both"/>
      </w:pPr>
      <w:r>
        <w:rPr>
          <w:rFonts w:hint="eastAsia"/>
        </w:rPr>
        <w:t>Phase B — Champion selection. Compare models with non‑parametric tests (Friedman with Nemenyi critical‑difference plot; or Wilcoxon with Holm correction)</w:t>
      </w:r>
      <w:r>
        <w:rPr>
          <w:rFonts w:hint="eastAsia" w:eastAsia="宋体"/>
          <w:lang w:eastAsia="zh-CN"/>
        </w:rPr>
        <w:t xml:space="preserve"> </w:t>
      </w:r>
      <w:r>
        <w:rPr>
          <w:rFonts w:hint="eastAsia"/>
        </w:rPr>
        <w:t>(Demšar, 2006) plus effect sizes (Cliff’s δ). Select 2–3 champions.</w:t>
      </w:r>
    </w:p>
    <w:p w14:paraId="55A618E7">
      <w:pPr>
        <w:pStyle w:val="2"/>
        <w:spacing w:before="192" w:line="366" w:lineRule="auto"/>
        <w:ind w:right="3"/>
        <w:jc w:val="both"/>
      </w:pPr>
      <w:r>
        <w:rPr>
          <w:rFonts w:hint="eastAsia"/>
        </w:rPr>
        <w:t>Phase C — Cross‑dataset &amp; low‑label protocol. Build explicit label/unit mappings among SHL↔DaLiAc↔RealWorld; test zero‑shot transfer and 1%/5% fine‑tuning; plot Macro‑F1 vs label‑rate.</w:t>
      </w:r>
    </w:p>
    <w:p w14:paraId="60163F7E">
      <w:pPr>
        <w:pStyle w:val="2"/>
        <w:spacing w:before="192" w:line="366" w:lineRule="auto"/>
        <w:ind w:right="3"/>
        <w:jc w:val="both"/>
      </w:pPr>
      <w:r>
        <w:rPr>
          <w:rFonts w:hint="eastAsia"/>
        </w:rPr>
        <w:t xml:space="preserve">Global chain (champions </w:t>
      </w:r>
      <w:r>
        <w:rPr>
          <w:rFonts w:hint="eastAsia" w:eastAsia="宋体"/>
          <w:lang w:eastAsia="zh-CN"/>
        </w:rPr>
        <w:t>and model A</w:t>
      </w:r>
      <w:r>
        <w:rPr>
          <w:rFonts w:hint="eastAsia"/>
        </w:rPr>
        <w:t>, Steps 0–15)</w:t>
      </w:r>
      <w:r>
        <w:rPr>
          <w:rFonts w:hint="eastAsia" w:eastAsia="宋体"/>
          <w:lang w:eastAsia="zh-CN"/>
        </w:rPr>
        <w:t xml:space="preserve"> (Details and term explanation in Table A, B, C)</w:t>
      </w:r>
      <w:r>
        <w:rPr>
          <w:rFonts w:hint="eastAsia"/>
        </w:rPr>
        <w:t>.</w:t>
      </w:r>
    </w:p>
    <w:p w14:paraId="508E9BFD">
      <w:pPr>
        <w:pStyle w:val="2"/>
        <w:spacing w:before="192" w:line="366" w:lineRule="auto"/>
        <w:ind w:right="3"/>
        <w:jc w:val="both"/>
      </w:pPr>
      <w:r>
        <w:rPr>
          <w:rFonts w:hint="eastAsia"/>
        </w:rPr>
        <w:t>Reproducibility plan → data/label protocol → window sensitivity → data augmentation &amp; noise robustness → stronger baselines &amp; tuned Model A → domain adaptation and few‑shot → sampling‑rate vs accuracy vs energy → compression (quantisation/distillation/pruning) → stress tests under down‑sampling/missing sensors → uncertainty &amp; calibration (temperature scaling, isotonic; selective prediction; conformal prediction with coverage guarantees) → open‑set/OOD → class imbalance &amp; confidence‑aware fallback → explainability (e.g., attention/feature importance) → metrics &amp; statistical comparisons (ROC/AUC; Pareto fronts; frequentist + Bayesian) → release &amp; compliance (Dataset/Model Cards; reproducibility checklist).</w:t>
      </w:r>
    </w:p>
    <w:p w14:paraId="0A03233D">
      <w:pPr>
        <w:pStyle w:val="2"/>
        <w:spacing w:before="192" w:line="366" w:lineRule="auto"/>
        <w:ind w:right="3"/>
        <w:jc w:val="both"/>
        <w:rPr>
          <w:rFonts w:eastAsiaTheme="minorEastAsia"/>
          <w:lang w:eastAsia="zh-CN"/>
        </w:rPr>
      </w:pPr>
    </w:p>
    <w:p w14:paraId="356B84F9">
      <w:pPr>
        <w:pStyle w:val="2"/>
        <w:spacing w:before="192" w:line="366" w:lineRule="auto"/>
        <w:ind w:right="3"/>
        <w:jc w:val="both"/>
        <w:rPr>
          <w:rFonts w:eastAsiaTheme="minorEastAsia"/>
          <w:lang w:eastAsia="zh-CN"/>
        </w:rPr>
      </w:pPr>
    </w:p>
    <w:p w14:paraId="78D90591">
      <w:pPr>
        <w:pStyle w:val="2"/>
        <w:spacing w:before="192" w:line="366" w:lineRule="auto"/>
        <w:ind w:right="3"/>
        <w:jc w:val="both"/>
      </w:pPr>
    </w:p>
    <w:p w14:paraId="38B785F6">
      <w:pPr>
        <w:pStyle w:val="2"/>
        <w:spacing w:before="192" w:line="366" w:lineRule="auto"/>
        <w:ind w:right="3"/>
        <w:jc w:val="both"/>
      </w:pPr>
      <w:r>
        <w:rPr>
          <w:rFonts w:hint="eastAsia"/>
        </w:rPr>
        <w:t>Model‑A (for reproducibility). Lightweight hybrid: 3 conv blocks (kernels 5,7,9; channels 32,64,64), 2 attention blocks (dmodel 64, 2 heads), global pooling, classifier + uncertainty head via test‑time dropout (p = 0.2, 30 stochastic passes; temperature scaling). Target ≤1.5 M params, ≤0.6 GFLOPs per window; optional early‑exit head</w:t>
      </w:r>
      <w:r>
        <w:rPr>
          <w:rFonts w:hint="eastAsia" w:eastAsia="宋体"/>
          <w:lang w:eastAsia="zh-CN"/>
        </w:rPr>
        <w:t xml:space="preserve"> (Figure 2) (Zerveas et al., 2021)</w:t>
      </w:r>
      <w:r>
        <w:rPr>
          <w:rFonts w:hint="eastAsia"/>
        </w:rPr>
        <w:t>.</w:t>
      </w:r>
    </w:p>
    <w:p w14:paraId="739AF2A0">
      <w:pPr>
        <w:pStyle w:val="2"/>
        <w:spacing w:before="192" w:line="366" w:lineRule="auto"/>
        <w:ind w:right="3"/>
        <w:jc w:val="both"/>
      </w:pPr>
      <w:r>
        <w:rPr>
          <w:rFonts w:hint="eastAsia"/>
        </w:rPr>
        <w:t>Model A verification.</w:t>
      </w:r>
    </w:p>
    <w:p w14:paraId="1A5AD02D">
      <w:pPr>
        <w:pStyle w:val="2"/>
        <w:spacing w:before="192" w:line="366" w:lineRule="auto"/>
        <w:ind w:right="3"/>
        <w:jc w:val="both"/>
      </w:pPr>
      <w:r>
        <w:rPr>
          <w:rFonts w:hint="eastAsia"/>
        </w:rPr>
        <w:t>We run three ablations (−attention, −uncertainty‑head, halved convolution width). Success: each removal degrades Macro‑F1 by ≥1 pt or worsens ECE by ≥20%, confirming each component’s contribution.</w:t>
      </w:r>
    </w:p>
    <w:p w14:paraId="28F0FF21">
      <w:pPr>
        <w:pStyle w:val="2"/>
        <w:spacing w:before="192" w:line="366" w:lineRule="auto"/>
        <w:ind w:right="3"/>
        <w:jc w:val="both"/>
      </w:pPr>
    </w:p>
    <w:p w14:paraId="407851FB">
      <w:pPr>
        <w:pStyle w:val="2"/>
        <w:spacing w:before="192" w:line="366" w:lineRule="auto"/>
        <w:ind w:right="3"/>
        <w:jc w:val="both"/>
        <w:rPr>
          <w:rFonts w:eastAsia="宋体"/>
          <w:lang w:eastAsia="zh-CN"/>
        </w:rPr>
      </w:pPr>
      <w:r>
        <w:rPr>
          <w:rFonts w:hint="eastAsia"/>
        </w:rPr>
        <w:t>Feasibility, resources, risks</w:t>
      </w:r>
      <w:r>
        <w:rPr>
          <w:rFonts w:hint="eastAsia" w:eastAsia="宋体"/>
          <w:lang w:eastAsia="zh-CN"/>
        </w:rPr>
        <w:t xml:space="preserve"> (Table 9 and 10)</w:t>
      </w:r>
      <w:r>
        <w:rPr>
          <w:rFonts w:hint="eastAsia"/>
        </w:rPr>
        <w:t>.</w:t>
      </w:r>
      <w:r>
        <w:rPr>
          <w:rFonts w:hint="eastAsia" w:eastAsia="宋体"/>
          <w:lang w:eastAsia="zh-CN"/>
        </w:rPr>
        <w:t xml:space="preserve"> </w:t>
      </w:r>
    </w:p>
    <w:p w14:paraId="62EDDE7A">
      <w:pPr>
        <w:pStyle w:val="2"/>
        <w:spacing w:before="192" w:line="366" w:lineRule="auto"/>
        <w:ind w:right="3"/>
        <w:jc w:val="both"/>
      </w:pPr>
      <w:r>
        <w:rPr>
          <w:rFonts w:hint="eastAsia"/>
        </w:rPr>
        <w:t>Planned hardware: A100‑40 GB class GPU and 16‑core CPU.</w:t>
      </w:r>
    </w:p>
    <w:p w14:paraId="5A7CD56C">
      <w:pPr>
        <w:pStyle w:val="2"/>
        <w:spacing w:before="192" w:line="366" w:lineRule="auto"/>
        <w:ind w:right="3"/>
        <w:jc w:val="both"/>
      </w:pPr>
    </w:p>
    <w:p w14:paraId="021467AE">
      <w:pPr>
        <w:pStyle w:val="2"/>
        <w:spacing w:before="192" w:line="366" w:lineRule="auto"/>
        <w:ind w:right="3"/>
        <w:jc w:val="both"/>
      </w:pPr>
    </w:p>
    <w:p w14:paraId="63DA30B6">
      <w:pPr>
        <w:pStyle w:val="2"/>
        <w:spacing w:before="192" w:line="366" w:lineRule="auto"/>
        <w:ind w:right="3"/>
        <w:jc w:val="both"/>
      </w:pPr>
    </w:p>
    <w:p w14:paraId="448BA04B">
      <w:pPr>
        <w:pStyle w:val="2"/>
        <w:spacing w:before="192" w:line="366" w:lineRule="auto"/>
        <w:ind w:right="3"/>
        <w:jc w:val="both"/>
      </w:pPr>
    </w:p>
    <w:p w14:paraId="3B91367C">
      <w:pPr>
        <w:pStyle w:val="2"/>
        <w:spacing w:before="192" w:line="366" w:lineRule="auto"/>
        <w:ind w:right="3"/>
        <w:jc w:val="both"/>
      </w:pPr>
    </w:p>
    <w:p w14:paraId="4CE419B3">
      <w:pPr>
        <w:pStyle w:val="2"/>
        <w:spacing w:before="192" w:line="366" w:lineRule="auto"/>
        <w:ind w:right="3"/>
        <w:jc w:val="both"/>
      </w:pPr>
    </w:p>
    <w:p w14:paraId="65BABC05">
      <w:pPr>
        <w:pStyle w:val="2"/>
        <w:spacing w:before="192" w:line="366" w:lineRule="auto"/>
        <w:ind w:right="3"/>
        <w:jc w:val="both"/>
      </w:pPr>
    </w:p>
    <w:p w14:paraId="47CBFD68">
      <w:pPr>
        <w:pStyle w:val="2"/>
        <w:spacing w:before="192" w:line="366" w:lineRule="auto"/>
        <w:ind w:right="3"/>
        <w:jc w:val="both"/>
      </w:pPr>
    </w:p>
    <w:p w14:paraId="77C566B4">
      <w:pPr>
        <w:pStyle w:val="2"/>
        <w:spacing w:before="192" w:line="366" w:lineRule="auto"/>
        <w:ind w:right="3"/>
        <w:jc w:val="both"/>
      </w:pPr>
    </w:p>
    <w:p w14:paraId="6B02051E">
      <w:pPr>
        <w:pStyle w:val="2"/>
        <w:spacing w:before="192" w:line="366" w:lineRule="auto"/>
        <w:ind w:right="3"/>
        <w:jc w:val="both"/>
      </w:pPr>
    </w:p>
    <w:p w14:paraId="478B484F">
      <w:pPr>
        <w:pStyle w:val="2"/>
        <w:spacing w:before="192" w:line="366" w:lineRule="auto"/>
        <w:ind w:right="3"/>
        <w:jc w:val="both"/>
      </w:pPr>
    </w:p>
    <w:p w14:paraId="4561D4A4">
      <w:pPr>
        <w:pStyle w:val="2"/>
        <w:spacing w:before="192" w:line="366" w:lineRule="auto"/>
        <w:ind w:right="3"/>
        <w:jc w:val="both"/>
      </w:pPr>
    </w:p>
    <w:p w14:paraId="55277E87">
      <w:pPr>
        <w:pStyle w:val="2"/>
        <w:spacing w:before="192" w:line="366" w:lineRule="auto"/>
        <w:ind w:right="3"/>
        <w:jc w:val="both"/>
        <w:rPr>
          <w:rFonts w:eastAsiaTheme="minorEastAsia"/>
          <w:lang w:eastAsia="zh-CN"/>
        </w:rPr>
      </w:pPr>
    </w:p>
    <w:p w14:paraId="672DF0E9">
      <w:pPr>
        <w:pStyle w:val="2"/>
        <w:spacing w:before="192" w:line="366" w:lineRule="auto"/>
        <w:ind w:right="3"/>
        <w:jc w:val="both"/>
        <w:rPr>
          <w:rFonts w:eastAsiaTheme="minorEastAsia"/>
          <w:lang w:eastAsia="zh-CN"/>
        </w:rPr>
      </w:pPr>
    </w:p>
    <w:p w14:paraId="687FFBC0">
      <w:pPr>
        <w:pStyle w:val="2"/>
        <w:spacing w:before="192" w:line="366" w:lineRule="auto"/>
        <w:ind w:right="3"/>
        <w:jc w:val="both"/>
        <w:rPr>
          <w:rFonts w:eastAsiaTheme="minorEastAsia"/>
          <w:lang w:eastAsia="zh-CN"/>
        </w:rPr>
      </w:pPr>
    </w:p>
    <w:p w14:paraId="10E9DE2D">
      <w:pPr>
        <w:pStyle w:val="2"/>
        <w:spacing w:before="192" w:line="366" w:lineRule="auto"/>
        <w:ind w:right="3"/>
        <w:jc w:val="both"/>
      </w:pPr>
    </w:p>
    <w:p w14:paraId="76FD2DA0">
      <w:pPr>
        <w:pStyle w:val="2"/>
        <w:spacing w:before="192" w:line="366" w:lineRule="auto"/>
        <w:ind w:right="3"/>
        <w:jc w:val="both"/>
        <w:rPr>
          <w:rFonts w:eastAsiaTheme="minorEastAsia"/>
          <w:lang w:eastAsia="zh-CN"/>
        </w:rPr>
      </w:pPr>
    </w:p>
    <w:p w14:paraId="69CC45B0">
      <w:pPr>
        <w:pStyle w:val="2"/>
        <w:numPr>
          <w:ilvl w:val="0"/>
          <w:numId w:val="2"/>
        </w:numPr>
        <w:spacing w:before="201" w:line="186" w:lineRule="auto"/>
        <w:rPr>
          <w:rFonts w:eastAsia="宋体"/>
          <w:color w:val="2E74B5"/>
          <w:spacing w:val="-1"/>
          <w:sz w:val="28"/>
          <w:szCs w:val="28"/>
          <w:lang w:eastAsia="zh-CN"/>
        </w:rPr>
      </w:pPr>
      <w:r>
        <w:rPr>
          <w:rFonts w:hint="eastAsia" w:eastAsia="宋体"/>
          <w:color w:val="2E74B5"/>
          <w:spacing w:val="-1"/>
          <w:sz w:val="28"/>
          <w:szCs w:val="28"/>
          <w:lang w:eastAsia="zh-CN"/>
        </w:rPr>
        <w:t>Initial / Mini Literature Review</w:t>
      </w:r>
    </w:p>
    <w:p w14:paraId="5C9A66CC">
      <w:pPr>
        <w:pStyle w:val="2"/>
        <w:spacing w:before="192" w:line="366" w:lineRule="auto"/>
        <w:ind w:right="3"/>
        <w:jc w:val="both"/>
      </w:pPr>
      <w:r>
        <w:rPr>
          <w:rFonts w:hint="eastAsia"/>
        </w:rPr>
        <w:t>State‑of‑the‑art posture detection from smartphone/wearable inertial sensors—covering static postures (sitting/standing/lying), transition events, and IMU‑only 3D posture—shows consistent patterns across recent high‑quality studies. Evaluation. Subject‑exclusive validation is now de facto to avoid identity leakage and to measure generalisation to unseen users (Napoli et al., 2024; Yuan et al., 2024). Cross‑dataset generalisation. Even after harmonising sampling rates and label taxonomies, models trained on one dataset degrade on another; the DAGHAR benchmark formalises aligned‑label transfer tests (Napoli et al., 2024). Baselines. Efficient non‑deep methods remain a strong yardstick—MultiRocket attains near‑state‑of‑the‑art time‑series accuracy at orders‑of‑magnitude lower training cost (Tan et al., 2022). Reliability and uncertainty. Expected Calibration Error (ECE) can be misleading under imbalance and shift, so best practice pairs ECE with proper scoring rules (Brier, negative log‑likelihood) to assess probability quality (Silva Filho et al., 2023); distribution‑free uncertainty via conformal prediction—especially Adaptive Prediction Sets and class‑conditional variants—offers finite‑sample coverage, with mean set size revealing utility–safety trade‑offs (Angelopoulos &amp; Bates, 2023). Representation. Large‑scale self‑supervised pretraining substantially improves cross‑device and cross‑study transfer for posture‑related labels (Yuan et al., 2024); complementary progress shows real‑time IMU‑only 3D posture reconstruction with six sensors (Xiao et al., 2024).</w:t>
      </w:r>
    </w:p>
    <w:p w14:paraId="2A669599">
      <w:pPr>
        <w:pStyle w:val="2"/>
        <w:spacing w:before="192" w:line="366" w:lineRule="auto"/>
        <w:ind w:right="3"/>
        <w:jc w:val="both"/>
      </w:pPr>
    </w:p>
    <w:p w14:paraId="3C85E13A">
      <w:pPr>
        <w:pStyle w:val="2"/>
        <w:spacing w:before="192" w:line="366" w:lineRule="auto"/>
        <w:ind w:right="3"/>
        <w:jc w:val="both"/>
      </w:pPr>
      <w:r>
        <w:rPr>
          <w:rFonts w:hint="eastAsia"/>
        </w:rPr>
        <w:t>What is known. Rigorous subject‑exclusive evaluation, aligned cross‑dataset testing, strong non‑deep baselines, calibrated probabilities with conformal uncertainty, and self‑supervised representations all strengthen posture recognition (Napoli et al., 2024; Tan et al., 2022; Silva Filho et al., 2023; Angelopoulos &amp; Bates, 2023; Yuan et al., 2024; Xiao et al., 2024). Open questions. Low‑latency transition detection under placement shifts; standardised posture‑label mappings across datasets; and decision‑relevant uncertainty under distribution shift. These literature‑derived gaps should drive the research questions formulated next</w:t>
      </w:r>
      <w:r>
        <w:rPr>
          <w:rFonts w:hint="eastAsia" w:eastAsia="宋体"/>
          <w:lang w:eastAsia="zh-CN"/>
        </w:rPr>
        <w:t xml:space="preserve"> (Table 11)</w:t>
      </w:r>
      <w:r>
        <w:rPr>
          <w:rFonts w:hint="eastAsia"/>
        </w:rPr>
        <w:t>.</w:t>
      </w:r>
    </w:p>
    <w:p w14:paraId="771E5552">
      <w:pPr>
        <w:pStyle w:val="2"/>
        <w:spacing w:before="192" w:line="366" w:lineRule="auto"/>
        <w:ind w:right="3"/>
        <w:jc w:val="both"/>
      </w:pPr>
    </w:p>
    <w:p w14:paraId="61BC102A">
      <w:pPr>
        <w:pStyle w:val="2"/>
        <w:spacing w:before="192" w:line="366" w:lineRule="auto"/>
        <w:ind w:right="3"/>
        <w:jc w:val="both"/>
      </w:pPr>
    </w:p>
    <w:p w14:paraId="06C51253">
      <w:pPr>
        <w:pStyle w:val="2"/>
        <w:spacing w:before="192" w:line="366" w:lineRule="auto"/>
        <w:ind w:right="3"/>
        <w:jc w:val="both"/>
      </w:pPr>
    </w:p>
    <w:p w14:paraId="515C9F51">
      <w:pPr>
        <w:pStyle w:val="2"/>
        <w:spacing w:before="192" w:line="366" w:lineRule="auto"/>
        <w:ind w:right="3"/>
        <w:jc w:val="both"/>
      </w:pPr>
    </w:p>
    <w:p w14:paraId="6958C3DC">
      <w:pPr>
        <w:pStyle w:val="2"/>
        <w:spacing w:before="192" w:line="366" w:lineRule="auto"/>
        <w:ind w:right="3"/>
        <w:jc w:val="both"/>
      </w:pPr>
    </w:p>
    <w:p w14:paraId="0D5EBC2C">
      <w:pPr>
        <w:pStyle w:val="2"/>
        <w:spacing w:before="192" w:line="366" w:lineRule="auto"/>
        <w:ind w:right="3"/>
        <w:jc w:val="both"/>
      </w:pPr>
    </w:p>
    <w:p w14:paraId="06659105">
      <w:pPr>
        <w:pStyle w:val="2"/>
        <w:spacing w:before="192" w:line="366" w:lineRule="auto"/>
        <w:ind w:right="3"/>
        <w:jc w:val="both"/>
      </w:pPr>
    </w:p>
    <w:p w14:paraId="017926AA">
      <w:pPr>
        <w:pStyle w:val="2"/>
        <w:spacing w:before="192" w:line="366" w:lineRule="auto"/>
        <w:ind w:right="3"/>
        <w:jc w:val="both"/>
      </w:pPr>
    </w:p>
    <w:p w14:paraId="1FCD03ED">
      <w:pPr>
        <w:pStyle w:val="2"/>
        <w:spacing w:before="192" w:line="366" w:lineRule="auto"/>
        <w:ind w:right="3"/>
        <w:jc w:val="both"/>
        <w:rPr>
          <w:rFonts w:eastAsiaTheme="minorEastAsia"/>
          <w:lang w:eastAsia="zh-CN"/>
        </w:rPr>
      </w:pPr>
    </w:p>
    <w:p w14:paraId="171C6F79">
      <w:pPr>
        <w:pStyle w:val="2"/>
        <w:numPr>
          <w:ilvl w:val="0"/>
          <w:numId w:val="2"/>
        </w:numPr>
        <w:spacing w:before="201" w:line="186" w:lineRule="auto"/>
        <w:rPr>
          <w:rFonts w:eastAsia="宋体"/>
          <w:color w:val="2E74B5"/>
          <w:spacing w:val="-1"/>
          <w:sz w:val="28"/>
          <w:szCs w:val="28"/>
          <w:lang w:eastAsia="zh-CN"/>
        </w:rPr>
      </w:pPr>
      <w:r>
        <w:rPr>
          <w:rFonts w:hint="eastAsia" w:eastAsia="宋体"/>
          <w:color w:val="2E74B5"/>
          <w:spacing w:val="-1"/>
          <w:sz w:val="28"/>
          <w:szCs w:val="28"/>
          <w:lang w:eastAsia="zh-CN"/>
        </w:rPr>
        <w:t>Bibliography</w:t>
      </w:r>
    </w:p>
    <w:p w14:paraId="38ED21CD">
      <w:pPr>
        <w:pStyle w:val="2"/>
        <w:spacing w:before="196" w:line="344" w:lineRule="auto"/>
        <w:ind w:left="420" w:right="54" w:hanging="420" w:hangingChars="200"/>
        <w:rPr>
          <w:rFonts w:eastAsia="宋体"/>
        </w:rPr>
      </w:pPr>
      <w:r>
        <w:rPr>
          <w:rFonts w:hint="eastAsia" w:eastAsia="宋体"/>
        </w:rPr>
        <w:t xml:space="preserve">Angelopoulos, A. N., &amp; Bates, S. (2023). Conformal prediction: A gentle introduction. Foundations and Trends in Machine Learning, 16(4), 494–591. </w:t>
      </w:r>
      <w:r>
        <w:fldChar w:fldCharType="begin"/>
      </w:r>
      <w:r>
        <w:instrText xml:space="preserve"> HYPERLINK "https://doi.org/10.1561/2200000101" </w:instrText>
      </w:r>
      <w:r>
        <w:fldChar w:fldCharType="separate"/>
      </w:r>
      <w:r>
        <w:rPr>
          <w:rStyle w:val="11"/>
          <w:rFonts w:hint="eastAsia" w:eastAsia="宋体"/>
        </w:rPr>
        <w:t>https://doi.org/10.1561/2200000101</w:t>
      </w:r>
      <w:r>
        <w:rPr>
          <w:rStyle w:val="11"/>
          <w:rFonts w:hint="eastAsia" w:eastAsia="宋体"/>
        </w:rPr>
        <w:fldChar w:fldCharType="end"/>
      </w:r>
    </w:p>
    <w:p w14:paraId="7C369770">
      <w:pPr>
        <w:pStyle w:val="2"/>
        <w:spacing w:before="196" w:line="344" w:lineRule="auto"/>
        <w:ind w:left="420" w:right="54" w:hanging="420" w:hangingChars="200"/>
        <w:rPr>
          <w:rFonts w:eastAsia="宋体"/>
        </w:rPr>
      </w:pPr>
      <w:r>
        <w:rPr>
          <w:rFonts w:hint="eastAsia" w:eastAsia="宋体"/>
        </w:rPr>
        <w:t xml:space="preserve">Arrotta, L., Civitarese, G., Chen, X., Cumin, J., &amp; Bettini, C. (2025). Multi-subject human activities: A survey of recognition and evaluation methods based on a formal framework. Expert Systems with Applications, 267, 126178. </w:t>
      </w:r>
      <w:r>
        <w:fldChar w:fldCharType="begin"/>
      </w:r>
      <w:r>
        <w:instrText xml:space="preserve"> HYPERLINK "https://doi.org/10.1016/j.eswa.2024.126178" </w:instrText>
      </w:r>
      <w:r>
        <w:fldChar w:fldCharType="separate"/>
      </w:r>
      <w:r>
        <w:rPr>
          <w:rStyle w:val="11"/>
          <w:rFonts w:hint="eastAsia" w:eastAsia="宋体"/>
        </w:rPr>
        <w:t>https://doi.org/10.1016/j.eswa.2024.126178</w:t>
      </w:r>
      <w:r>
        <w:rPr>
          <w:rStyle w:val="11"/>
          <w:rFonts w:hint="eastAsia" w:eastAsia="宋体"/>
        </w:rPr>
        <w:fldChar w:fldCharType="end"/>
      </w:r>
    </w:p>
    <w:p w14:paraId="555CA3AA">
      <w:pPr>
        <w:pStyle w:val="2"/>
        <w:spacing w:before="196" w:line="344" w:lineRule="auto"/>
        <w:ind w:left="420" w:right="54" w:hanging="420" w:hangingChars="200"/>
        <w:rPr>
          <w:rFonts w:eastAsia="宋体"/>
        </w:rPr>
      </w:pPr>
      <w:r>
        <w:rPr>
          <w:rFonts w:hint="eastAsia" w:eastAsia="宋体"/>
        </w:rPr>
        <w:t xml:space="preserve">Contoli, C., Freschi, V., &amp; Lattanzi, E. (2024). Energy‑aware human activity recognition for wearable devices: A comprehensive review. Pervasive and Mobile Computing, 104, 101976. </w:t>
      </w:r>
      <w:r>
        <w:fldChar w:fldCharType="begin"/>
      </w:r>
      <w:r>
        <w:instrText xml:space="preserve"> HYPERLINK "https://doi.org/10.1016/j.pmcj.2024.101976" </w:instrText>
      </w:r>
      <w:r>
        <w:fldChar w:fldCharType="separate"/>
      </w:r>
      <w:r>
        <w:rPr>
          <w:rStyle w:val="11"/>
          <w:rFonts w:hint="eastAsia" w:eastAsia="宋体"/>
        </w:rPr>
        <w:t>https://doi.org/10.1016/j.pmcj.2024.101976</w:t>
      </w:r>
      <w:r>
        <w:rPr>
          <w:rStyle w:val="11"/>
          <w:rFonts w:hint="eastAsia" w:eastAsia="宋体"/>
        </w:rPr>
        <w:fldChar w:fldCharType="end"/>
      </w:r>
    </w:p>
    <w:p w14:paraId="5DFF93E3">
      <w:pPr>
        <w:pStyle w:val="2"/>
        <w:spacing w:before="196" w:line="344" w:lineRule="auto"/>
        <w:ind w:left="420" w:right="54" w:hanging="420" w:hangingChars="200"/>
        <w:rPr>
          <w:rFonts w:eastAsia="宋体"/>
        </w:rPr>
      </w:pPr>
      <w:r>
        <w:rPr>
          <w:rFonts w:hint="eastAsia" w:eastAsia="宋体"/>
        </w:rPr>
        <w:t xml:space="preserve">Demšar, J. (2006). Statistical comparisons of classifiers over multiple data sets. Journal of Machine Learning Research, 7, 1–30. </w:t>
      </w:r>
      <w:r>
        <w:fldChar w:fldCharType="begin"/>
      </w:r>
      <w:r>
        <w:instrText xml:space="preserve"> HYPERLINK "https://www.jmlr.org/papers/v7/demsar06a.html" </w:instrText>
      </w:r>
      <w:r>
        <w:fldChar w:fldCharType="separate"/>
      </w:r>
      <w:r>
        <w:rPr>
          <w:rStyle w:val="11"/>
          <w:rFonts w:hint="eastAsia" w:eastAsia="宋体"/>
        </w:rPr>
        <w:t>https://www.jmlr.org/papers/v7/demsar06a.html</w:t>
      </w:r>
      <w:r>
        <w:rPr>
          <w:rStyle w:val="11"/>
          <w:rFonts w:hint="eastAsia" w:eastAsia="宋体"/>
        </w:rPr>
        <w:fldChar w:fldCharType="end"/>
      </w:r>
    </w:p>
    <w:p w14:paraId="30D95138">
      <w:pPr>
        <w:pStyle w:val="2"/>
        <w:spacing w:before="196" w:line="344" w:lineRule="auto"/>
        <w:ind w:left="420" w:right="54" w:hanging="420" w:hangingChars="200"/>
        <w:rPr>
          <w:rFonts w:eastAsia="宋体"/>
        </w:rPr>
      </w:pPr>
      <w:r>
        <w:rPr>
          <w:rFonts w:hint="eastAsia" w:eastAsia="宋体"/>
        </w:rPr>
        <w:t xml:space="preserve">Doherty, C., Baldwin, M., Lambe, R., Altini, M., &amp; Caulfield, B. (2025). Privacy in consumer wearable technologies: A living systematic analysis of data policies across leading manufacturers. npj Digital Medicine, 8, 363. </w:t>
      </w:r>
      <w:r>
        <w:fldChar w:fldCharType="begin"/>
      </w:r>
      <w:r>
        <w:instrText xml:space="preserve"> HYPERLINK "https://doi.org/10.1038/s41746-025-01757-1" </w:instrText>
      </w:r>
      <w:r>
        <w:fldChar w:fldCharType="separate"/>
      </w:r>
      <w:r>
        <w:rPr>
          <w:rStyle w:val="11"/>
          <w:rFonts w:hint="eastAsia" w:eastAsia="宋体"/>
        </w:rPr>
        <w:t>https://doi.org/10.1038/s41746-025-01757-1</w:t>
      </w:r>
      <w:r>
        <w:rPr>
          <w:rStyle w:val="11"/>
          <w:rFonts w:hint="eastAsia" w:eastAsia="宋体"/>
        </w:rPr>
        <w:fldChar w:fldCharType="end"/>
      </w:r>
    </w:p>
    <w:p w14:paraId="1C0D9E73">
      <w:pPr>
        <w:pStyle w:val="2"/>
        <w:spacing w:before="196" w:line="344" w:lineRule="auto"/>
        <w:ind w:left="420" w:right="54" w:hanging="420" w:hangingChars="200"/>
        <w:rPr>
          <w:rFonts w:eastAsia="宋体"/>
        </w:rPr>
      </w:pPr>
      <w:r>
        <w:rPr>
          <w:rFonts w:hint="eastAsia" w:eastAsia="宋体"/>
        </w:rPr>
        <w:t xml:space="preserve">Fawaz, H. I., Lucas, B., Forestier, G., Pelletier, C., Schmidt, D. F., Weber, J., Webb, G. I., Idoumghar, L., Muller, P.-A., &amp; Petitjean, F. (2020). InceptionTime: Finding AlexNet for time series classification. Data Mining and Knowledge Discovery, 34(6), 1936–1962. </w:t>
      </w:r>
      <w:r>
        <w:fldChar w:fldCharType="begin"/>
      </w:r>
      <w:r>
        <w:instrText xml:space="preserve"> HYPERLINK "https://doi.org/10.1007/s10618-020-00710-y" </w:instrText>
      </w:r>
      <w:r>
        <w:fldChar w:fldCharType="separate"/>
      </w:r>
      <w:r>
        <w:rPr>
          <w:rStyle w:val="11"/>
          <w:rFonts w:hint="eastAsia" w:eastAsia="宋体"/>
        </w:rPr>
        <w:t>https://doi.org/10.1007/s10618-020-00710-y</w:t>
      </w:r>
      <w:r>
        <w:rPr>
          <w:rStyle w:val="11"/>
          <w:rFonts w:hint="eastAsia" w:eastAsia="宋体"/>
        </w:rPr>
        <w:fldChar w:fldCharType="end"/>
      </w:r>
    </w:p>
    <w:p w14:paraId="518451BB">
      <w:pPr>
        <w:pStyle w:val="2"/>
        <w:spacing w:before="196" w:line="344" w:lineRule="auto"/>
        <w:ind w:left="420" w:right="54" w:hanging="420" w:hangingChars="200"/>
        <w:rPr>
          <w:rFonts w:eastAsia="宋体"/>
        </w:rPr>
      </w:pPr>
      <w:r>
        <w:rPr>
          <w:rFonts w:hint="eastAsia" w:eastAsia="宋体"/>
        </w:rPr>
        <w:t xml:space="preserve">Hong, Z., Li, Z., Zhong, S., Lyu, W., Wang, H., Ding, Y., He, T., &amp; Zhang, D. (2024). CrossHAR: Generalizing cross‑dataset human activity recognition via hierarchical self‑supervised pretraining. Proceedings of the ACM on Interactive, Mobile, Wearable and Ubiquitous Technologies, 8(2), Article 64. </w:t>
      </w:r>
      <w:r>
        <w:fldChar w:fldCharType="begin"/>
      </w:r>
      <w:r>
        <w:instrText xml:space="preserve"> HYPERLINK "https://doi.org/10.1145/3659597" </w:instrText>
      </w:r>
      <w:r>
        <w:fldChar w:fldCharType="separate"/>
      </w:r>
      <w:r>
        <w:rPr>
          <w:rStyle w:val="11"/>
          <w:rFonts w:hint="eastAsia" w:eastAsia="宋体"/>
        </w:rPr>
        <w:t>https://doi.org/10.1145/3659597</w:t>
      </w:r>
      <w:r>
        <w:rPr>
          <w:rStyle w:val="11"/>
          <w:rFonts w:hint="eastAsia" w:eastAsia="宋体"/>
        </w:rPr>
        <w:fldChar w:fldCharType="end"/>
      </w:r>
    </w:p>
    <w:p w14:paraId="5C40565D">
      <w:pPr>
        <w:pStyle w:val="2"/>
        <w:spacing w:before="196" w:line="344" w:lineRule="auto"/>
        <w:ind w:left="420" w:right="54" w:hanging="420" w:hangingChars="200"/>
        <w:rPr>
          <w:rFonts w:eastAsia="宋体"/>
        </w:rPr>
      </w:pPr>
      <w:r>
        <w:rPr>
          <w:rFonts w:hint="eastAsia" w:eastAsia="宋体"/>
        </w:rPr>
        <w:t xml:space="preserve">Janapa Reddi, V., Kanter, D., Mattson, P., Duke, J., Nguyen, T., Chukka, R., Shiring, K., Tan, K.-S., Charlebois, M., Chou, W., El‑Khamy, M., Hong, J., St. John, T., Trinh, C., Buch, M., Mazumder, M., Markovic, R., Cakir, F., … Zika, D. (2022). MLPerf Mobile Inference Benchmark: An industry‑standard open‑source machine learning benchmark for on‑device AI. In Proceedings of the 5th Conference on Machine Learning and Systems (MLSys 2022). Santa Clara, CA, USA. </w:t>
      </w:r>
      <w:r>
        <w:fldChar w:fldCharType="begin"/>
      </w:r>
      <w:r>
        <w:instrText xml:space="preserve"> HYPERLINK "https://proceedings.mlsys.org/paper_files/paper/2022/file/a2b2702ea7e682c5ea2c20e8f71efb0c-Paper.pdf" </w:instrText>
      </w:r>
      <w:r>
        <w:fldChar w:fldCharType="separate"/>
      </w:r>
      <w:r>
        <w:rPr>
          <w:rStyle w:val="11"/>
          <w:rFonts w:hint="eastAsia" w:eastAsia="宋体"/>
        </w:rPr>
        <w:t>https://proceedings.mlsys.org/paper_files/paper/2022/file/a2b2702ea7e682c5ea2c20e8f71efb0c-Paper.pdf</w:t>
      </w:r>
      <w:r>
        <w:rPr>
          <w:rStyle w:val="11"/>
          <w:rFonts w:hint="eastAsia" w:eastAsia="宋体"/>
        </w:rPr>
        <w:fldChar w:fldCharType="end"/>
      </w:r>
    </w:p>
    <w:p w14:paraId="2B3E090D">
      <w:pPr>
        <w:pStyle w:val="2"/>
        <w:spacing w:before="196" w:line="344" w:lineRule="auto"/>
        <w:ind w:left="420" w:right="54" w:hanging="420" w:hangingChars="200"/>
        <w:rPr>
          <w:rFonts w:eastAsia="宋体"/>
        </w:rPr>
      </w:pPr>
      <w:r>
        <w:rPr>
          <w:rFonts w:hint="eastAsia" w:eastAsia="宋体"/>
        </w:rPr>
        <w:t xml:space="preserve">Jin, Y., &amp; Ren, Z. (2025). Confidence on the focal: Conformal prediction with selection‑conditional coverage. Journal of the Royal Statistical Society: Series B (Statistical Methodology), 87(4). </w:t>
      </w:r>
      <w:r>
        <w:fldChar w:fldCharType="begin"/>
      </w:r>
      <w:r>
        <w:instrText xml:space="preserve"> HYPERLINK "https://doi.org/10.1093/jrsssb/qkaf016" </w:instrText>
      </w:r>
      <w:r>
        <w:fldChar w:fldCharType="separate"/>
      </w:r>
      <w:r>
        <w:rPr>
          <w:rStyle w:val="11"/>
          <w:rFonts w:hint="eastAsia" w:eastAsia="宋体"/>
        </w:rPr>
        <w:t>https://doi.org/10.1093/jrsssb/qkaf016</w:t>
      </w:r>
      <w:r>
        <w:rPr>
          <w:rStyle w:val="11"/>
          <w:rFonts w:hint="eastAsia" w:eastAsia="宋体"/>
        </w:rPr>
        <w:fldChar w:fldCharType="end"/>
      </w:r>
    </w:p>
    <w:p w14:paraId="05EDF458">
      <w:pPr>
        <w:pStyle w:val="2"/>
        <w:spacing w:before="196" w:line="344" w:lineRule="auto"/>
        <w:ind w:left="420" w:right="54" w:hanging="420" w:hangingChars="200"/>
        <w:rPr>
          <w:rFonts w:eastAsia="宋体"/>
        </w:rPr>
      </w:pPr>
    </w:p>
    <w:p w14:paraId="14C3856D">
      <w:pPr>
        <w:pStyle w:val="2"/>
        <w:spacing w:before="196" w:line="344" w:lineRule="auto"/>
        <w:ind w:left="420" w:right="54" w:hanging="420" w:hangingChars="200"/>
        <w:rPr>
          <w:rFonts w:eastAsia="宋体"/>
        </w:rPr>
      </w:pPr>
      <w:r>
        <w:rPr>
          <w:rFonts w:hint="eastAsia" w:eastAsia="宋体"/>
        </w:rPr>
        <w:t xml:space="preserve">Khan, A. R., Manzoor, H. U., Ayaz, F., Imran, M. A., &amp; Zoha, A. (2023). A privacy and energy‑aware federated framework for human activity recognition. Sensors, 23(23), 9339. </w:t>
      </w:r>
      <w:r>
        <w:fldChar w:fldCharType="begin"/>
      </w:r>
      <w:r>
        <w:instrText xml:space="preserve"> HYPERLINK "https://doi.org/10.3390/s23239339" </w:instrText>
      </w:r>
      <w:r>
        <w:fldChar w:fldCharType="separate"/>
      </w:r>
      <w:r>
        <w:rPr>
          <w:rStyle w:val="11"/>
          <w:rFonts w:hint="eastAsia" w:eastAsia="宋体"/>
        </w:rPr>
        <w:t>https://doi.org/10.3390/s23239339</w:t>
      </w:r>
      <w:r>
        <w:rPr>
          <w:rStyle w:val="11"/>
          <w:rFonts w:hint="eastAsia" w:eastAsia="宋体"/>
        </w:rPr>
        <w:fldChar w:fldCharType="end"/>
      </w:r>
    </w:p>
    <w:p w14:paraId="2BE25594">
      <w:pPr>
        <w:pStyle w:val="2"/>
        <w:spacing w:before="196" w:line="344" w:lineRule="auto"/>
        <w:ind w:left="420" w:right="54" w:hanging="420" w:hangingChars="200"/>
        <w:rPr>
          <w:rFonts w:eastAsia="宋体"/>
        </w:rPr>
      </w:pPr>
      <w:r>
        <w:rPr>
          <w:rFonts w:hint="eastAsia" w:eastAsia="宋体"/>
        </w:rPr>
        <w:t xml:space="preserve">Mennella, C., Esposito, M., De Pietro, G., &amp; Maniscalco, U. (2024). Promoting fairness in activity recognition algorithms for patient’s monitoring and evaluation systems in healthcare. Computers in Biology and Medicine, 179, 108826. </w:t>
      </w:r>
      <w:r>
        <w:fldChar w:fldCharType="begin"/>
      </w:r>
      <w:r>
        <w:instrText xml:space="preserve"> HYPERLINK "https://doi.org/10.1016/j.compbiomed.2024.108826" </w:instrText>
      </w:r>
      <w:r>
        <w:fldChar w:fldCharType="separate"/>
      </w:r>
      <w:r>
        <w:rPr>
          <w:rStyle w:val="11"/>
          <w:rFonts w:hint="eastAsia" w:eastAsia="宋体"/>
        </w:rPr>
        <w:t>https://doi.org/10.1016/j.compbiomed.2024.108826</w:t>
      </w:r>
      <w:r>
        <w:rPr>
          <w:rStyle w:val="11"/>
          <w:rFonts w:hint="eastAsia" w:eastAsia="宋体"/>
        </w:rPr>
        <w:fldChar w:fldCharType="end"/>
      </w:r>
    </w:p>
    <w:p w14:paraId="24F9E456">
      <w:pPr>
        <w:pStyle w:val="2"/>
        <w:spacing w:before="196" w:line="344" w:lineRule="auto"/>
        <w:ind w:left="420" w:right="54" w:hanging="420" w:hangingChars="200"/>
        <w:rPr>
          <w:rFonts w:eastAsia="宋体"/>
        </w:rPr>
      </w:pPr>
      <w:r>
        <w:rPr>
          <w:rFonts w:hint="eastAsia" w:eastAsia="宋体"/>
        </w:rPr>
        <w:t xml:space="preserve">MLCommons. (2025). MLPerf Inference: Mobile. MLCommons Association. </w:t>
      </w:r>
      <w:r>
        <w:fldChar w:fldCharType="begin"/>
      </w:r>
      <w:r>
        <w:instrText xml:space="preserve"> HYPERLINK "https://mlcommons.org/benchmarks/inference-mobile/" </w:instrText>
      </w:r>
      <w:r>
        <w:fldChar w:fldCharType="separate"/>
      </w:r>
      <w:r>
        <w:rPr>
          <w:rStyle w:val="11"/>
          <w:rFonts w:hint="eastAsia" w:eastAsia="宋体"/>
        </w:rPr>
        <w:t>https://mlcommons.org/benchmarks/inference-mobile/</w:t>
      </w:r>
      <w:r>
        <w:rPr>
          <w:rStyle w:val="11"/>
          <w:rFonts w:hint="eastAsia" w:eastAsia="宋体"/>
        </w:rPr>
        <w:fldChar w:fldCharType="end"/>
      </w:r>
    </w:p>
    <w:p w14:paraId="21B97B5B">
      <w:pPr>
        <w:pStyle w:val="2"/>
        <w:spacing w:before="196" w:line="344" w:lineRule="auto"/>
        <w:ind w:left="420" w:right="54" w:hanging="420" w:hangingChars="200"/>
        <w:rPr>
          <w:rFonts w:eastAsia="宋体"/>
        </w:rPr>
      </w:pPr>
      <w:r>
        <w:rPr>
          <w:rFonts w:hint="eastAsia" w:eastAsia="宋体"/>
        </w:rPr>
        <w:t xml:space="preserve">Napoli, O., Duarte, D., Alves, P., Palo Soto, D. H., de Oliveira, H. E., Rocha, A., Boccato, L., &amp; Borin, E. (2024). A benchmark for domain adaptation and generalization in smartphone‑based human activity recognition. Scientific Data, 11, 1192. </w:t>
      </w:r>
      <w:r>
        <w:fldChar w:fldCharType="begin"/>
      </w:r>
      <w:r>
        <w:instrText xml:space="preserve"> HYPERLINK "https://doi.org/10.1038/s41597-024-03951-4" </w:instrText>
      </w:r>
      <w:r>
        <w:fldChar w:fldCharType="separate"/>
      </w:r>
      <w:r>
        <w:rPr>
          <w:rStyle w:val="11"/>
          <w:rFonts w:hint="eastAsia" w:eastAsia="宋体"/>
        </w:rPr>
        <w:t>https://doi.org/10.1038/s41597-024-03951-4</w:t>
      </w:r>
      <w:r>
        <w:rPr>
          <w:rStyle w:val="11"/>
          <w:rFonts w:hint="eastAsia" w:eastAsia="宋体"/>
        </w:rPr>
        <w:fldChar w:fldCharType="end"/>
      </w:r>
    </w:p>
    <w:p w14:paraId="63BE09CE">
      <w:pPr>
        <w:pStyle w:val="2"/>
        <w:spacing w:before="196" w:line="344" w:lineRule="auto"/>
        <w:ind w:left="420" w:right="54" w:hanging="420" w:hangingChars="200"/>
        <w:rPr>
          <w:rFonts w:eastAsia="宋体"/>
        </w:rPr>
      </w:pPr>
      <w:r>
        <w:rPr>
          <w:rFonts w:hint="eastAsia" w:eastAsia="宋体"/>
        </w:rPr>
        <w:t xml:space="preserve">National Institute of Standards and Technology. (2023). Artificial Intelligence Risk Management Framework (AI RMF 1.0) (NIST AI 100-1). U.S. Department of Commerce. </w:t>
      </w:r>
      <w:r>
        <w:fldChar w:fldCharType="begin"/>
      </w:r>
      <w:r>
        <w:instrText xml:space="preserve"> HYPERLINK "https://doi.org/10.6028/NIST.AI.100-1" </w:instrText>
      </w:r>
      <w:r>
        <w:fldChar w:fldCharType="separate"/>
      </w:r>
      <w:r>
        <w:rPr>
          <w:rStyle w:val="11"/>
          <w:rFonts w:hint="eastAsia" w:eastAsia="宋体"/>
        </w:rPr>
        <w:t>https://doi.org/10.6028/NIST.AI.100-1</w:t>
      </w:r>
      <w:r>
        <w:rPr>
          <w:rStyle w:val="11"/>
          <w:rFonts w:hint="eastAsia" w:eastAsia="宋体"/>
        </w:rPr>
        <w:fldChar w:fldCharType="end"/>
      </w:r>
    </w:p>
    <w:p w14:paraId="0C8B0313">
      <w:pPr>
        <w:pStyle w:val="2"/>
        <w:spacing w:before="196" w:line="344" w:lineRule="auto"/>
        <w:ind w:left="420" w:right="54" w:hanging="420" w:hangingChars="200"/>
        <w:rPr>
          <w:rFonts w:eastAsia="宋体"/>
        </w:rPr>
      </w:pPr>
      <w:r>
        <w:rPr>
          <w:rFonts w:hint="eastAsia" w:eastAsia="宋体"/>
        </w:rPr>
        <w:t xml:space="preserve">Rehman, S. U., Ali, A., Khan, A. M., &amp; Okpala, C. (2024). Human activity recognition: A comparative study of validation methods and impact of feature extraction in wearable sensors. Algorithms, 17(12), 556. </w:t>
      </w:r>
      <w:r>
        <w:fldChar w:fldCharType="begin"/>
      </w:r>
      <w:r>
        <w:instrText xml:space="preserve"> HYPERLINK "https://doi.org/10.3390/a17120556" </w:instrText>
      </w:r>
      <w:r>
        <w:fldChar w:fldCharType="separate"/>
      </w:r>
      <w:r>
        <w:rPr>
          <w:rStyle w:val="11"/>
          <w:rFonts w:hint="eastAsia" w:eastAsia="宋体"/>
        </w:rPr>
        <w:t>https://doi.org/10.3390/a17120556</w:t>
      </w:r>
      <w:r>
        <w:rPr>
          <w:rStyle w:val="11"/>
          <w:rFonts w:hint="eastAsia" w:eastAsia="宋体"/>
        </w:rPr>
        <w:fldChar w:fldCharType="end"/>
      </w:r>
    </w:p>
    <w:p w14:paraId="4C019E35">
      <w:pPr>
        <w:pStyle w:val="2"/>
        <w:spacing w:before="196" w:line="344" w:lineRule="auto"/>
        <w:ind w:left="420" w:right="54" w:hanging="420" w:hangingChars="200"/>
        <w:rPr>
          <w:rFonts w:eastAsia="宋体"/>
        </w:rPr>
      </w:pPr>
      <w:r>
        <w:rPr>
          <w:rFonts w:hint="eastAsia" w:eastAsia="宋体"/>
        </w:rPr>
        <w:t xml:space="preserve">Silva Filho, T., Song, H., Perelló‑Nieto, M., Santos‑Rodríguez, R., Kull, M., &amp; Flach, P. (2023). Classifier calibration: A survey on how to assess and improve predicted class probabilities. Machine Learning, 112, 3211–3260. </w:t>
      </w:r>
      <w:r>
        <w:fldChar w:fldCharType="begin"/>
      </w:r>
      <w:r>
        <w:instrText xml:space="preserve"> HYPERLINK "https://doi.org/10.1007/s10994-023-06336-7" </w:instrText>
      </w:r>
      <w:r>
        <w:fldChar w:fldCharType="separate"/>
      </w:r>
      <w:r>
        <w:rPr>
          <w:rStyle w:val="11"/>
          <w:rFonts w:hint="eastAsia" w:eastAsia="宋体"/>
        </w:rPr>
        <w:t>https://doi.org/10.1007/s10994-023-06336-7</w:t>
      </w:r>
      <w:r>
        <w:rPr>
          <w:rStyle w:val="11"/>
          <w:rFonts w:hint="eastAsia" w:eastAsia="宋体"/>
        </w:rPr>
        <w:fldChar w:fldCharType="end"/>
      </w:r>
    </w:p>
    <w:p w14:paraId="751F3AD5">
      <w:pPr>
        <w:pStyle w:val="2"/>
        <w:spacing w:before="196" w:line="344" w:lineRule="auto"/>
        <w:ind w:left="420" w:right="54" w:hanging="420" w:hangingChars="200"/>
        <w:rPr>
          <w:rFonts w:eastAsia="宋体"/>
        </w:rPr>
      </w:pPr>
      <w:r>
        <w:rPr>
          <w:rFonts w:hint="eastAsia" w:eastAsia="宋体"/>
        </w:rPr>
        <w:t xml:space="preserve">Tan, C. W., Dempster, A., Bergmeir, C., &amp; Webb, G. I. (2022). MultiRocket: Multiple pooling operators and transformations for fast and effective time series classification. Data Mining and Knowledge Discovery, 36(5), 1623–1646. </w:t>
      </w:r>
      <w:r>
        <w:fldChar w:fldCharType="begin"/>
      </w:r>
      <w:r>
        <w:instrText xml:space="preserve"> HYPERLINK "https://doi.org/10.1007/s10618-022-00844-1" </w:instrText>
      </w:r>
      <w:r>
        <w:fldChar w:fldCharType="separate"/>
      </w:r>
      <w:r>
        <w:rPr>
          <w:rStyle w:val="11"/>
          <w:rFonts w:hint="eastAsia" w:eastAsia="宋体"/>
        </w:rPr>
        <w:t>https://doi.org/10.1007/s10618-022-00844-1</w:t>
      </w:r>
      <w:r>
        <w:rPr>
          <w:rStyle w:val="11"/>
          <w:rFonts w:hint="eastAsia" w:eastAsia="宋体"/>
        </w:rPr>
        <w:fldChar w:fldCharType="end"/>
      </w:r>
    </w:p>
    <w:p w14:paraId="4A20E694">
      <w:pPr>
        <w:pStyle w:val="2"/>
        <w:spacing w:before="196" w:line="344" w:lineRule="auto"/>
        <w:ind w:left="420" w:right="54" w:hanging="420" w:hangingChars="200"/>
        <w:rPr>
          <w:rFonts w:eastAsia="宋体"/>
        </w:rPr>
      </w:pPr>
      <w:r>
        <w:rPr>
          <w:rFonts w:hint="eastAsia" w:eastAsia="宋体"/>
        </w:rPr>
        <w:t xml:space="preserve">Xiao, X., Wang, J., Feng, P., Gong, A., Zhang, X., &amp; Zhang, J. (2024). Fast human motion reconstruction from sparse inertial measurement units considering the human shape. Nature Communications, 15, Article 2423. </w:t>
      </w:r>
      <w:r>
        <w:fldChar w:fldCharType="begin"/>
      </w:r>
      <w:r>
        <w:instrText xml:space="preserve"> HYPERLINK "https://doi.org/10.1038/s41467-024-46662-5" </w:instrText>
      </w:r>
      <w:r>
        <w:fldChar w:fldCharType="separate"/>
      </w:r>
      <w:r>
        <w:rPr>
          <w:rStyle w:val="11"/>
          <w:rFonts w:hint="eastAsia" w:eastAsia="宋体"/>
        </w:rPr>
        <w:t>https://doi.org/10.1038/s41467-024-46662-5</w:t>
      </w:r>
      <w:r>
        <w:rPr>
          <w:rStyle w:val="11"/>
          <w:rFonts w:hint="eastAsia" w:eastAsia="宋体"/>
        </w:rPr>
        <w:fldChar w:fldCharType="end"/>
      </w:r>
    </w:p>
    <w:p w14:paraId="6B3A9680">
      <w:pPr>
        <w:pStyle w:val="2"/>
        <w:spacing w:before="196" w:line="344" w:lineRule="auto"/>
        <w:ind w:left="420" w:right="54" w:hanging="420" w:hangingChars="200"/>
        <w:rPr>
          <w:rFonts w:eastAsia="宋体"/>
        </w:rPr>
      </w:pPr>
      <w:r>
        <w:rPr>
          <w:rFonts w:hint="eastAsia" w:eastAsia="宋体"/>
        </w:rPr>
        <w:t xml:space="preserve">Yuan, H., Chan, S., Creagh, A. P., Tong, C., Acquah, A., Clifton, D. A., &amp; Doherty, A. (2024). Self-supervised learning for human activity recognition using 700,000 person-days of wearable data. npj Digital Medicine, 7, Article 91. </w:t>
      </w:r>
      <w:r>
        <w:fldChar w:fldCharType="begin"/>
      </w:r>
      <w:r>
        <w:instrText xml:space="preserve"> HYPERLINK "https://doi.org/10.1038/s41746-024-01062-3" </w:instrText>
      </w:r>
      <w:r>
        <w:fldChar w:fldCharType="separate"/>
      </w:r>
      <w:r>
        <w:rPr>
          <w:rStyle w:val="11"/>
          <w:rFonts w:hint="eastAsia" w:eastAsia="宋体"/>
        </w:rPr>
        <w:t>https://doi.org/10.1038/s41746-024-01062-3</w:t>
      </w:r>
      <w:r>
        <w:rPr>
          <w:rStyle w:val="11"/>
          <w:rFonts w:hint="eastAsia" w:eastAsia="宋体"/>
        </w:rPr>
        <w:fldChar w:fldCharType="end"/>
      </w:r>
    </w:p>
    <w:p w14:paraId="41ACAB6E">
      <w:pPr>
        <w:pStyle w:val="2"/>
        <w:spacing w:before="196" w:line="344" w:lineRule="auto"/>
        <w:ind w:left="420" w:right="54" w:hanging="420" w:hangingChars="200"/>
        <w:rPr>
          <w:rFonts w:eastAsia="宋体"/>
        </w:rPr>
      </w:pPr>
      <w:r>
        <w:rPr>
          <w:rFonts w:hint="eastAsia" w:eastAsia="宋体"/>
        </w:rPr>
        <w:t xml:space="preserve">Zerveas, G., Jayaraman, S., Patel, D., Bhamidipaty, A., &amp; Eickhoff, C. (2021). A transformer‑based framework for multivariate time series representation learning. In Proceedings of the 27th ACM SIGKDD Conference on Knowledge Discovery &amp; Data Mining (KDD ’21) (pp. 2114–2124). ACM. </w:t>
      </w:r>
      <w:r>
        <w:fldChar w:fldCharType="begin"/>
      </w:r>
      <w:r>
        <w:instrText xml:space="preserve"> HYPERLINK "https://doi.org/10.1145/3447548.3467401" </w:instrText>
      </w:r>
      <w:r>
        <w:fldChar w:fldCharType="separate"/>
      </w:r>
      <w:r>
        <w:rPr>
          <w:rStyle w:val="11"/>
          <w:rFonts w:hint="eastAsia" w:eastAsia="宋体"/>
        </w:rPr>
        <w:t>https://doi.org/10.1145/3447548.3467401</w:t>
      </w:r>
      <w:r>
        <w:rPr>
          <w:rStyle w:val="11"/>
          <w:rFonts w:hint="eastAsia" w:eastAsia="宋体"/>
        </w:rPr>
        <w:fldChar w:fldCharType="end"/>
      </w:r>
    </w:p>
    <w:p w14:paraId="1839696A">
      <w:pPr>
        <w:pStyle w:val="2"/>
        <w:spacing w:before="196" w:line="344" w:lineRule="auto"/>
        <w:ind w:left="420" w:right="54" w:hanging="420" w:hangingChars="200"/>
        <w:rPr>
          <w:rFonts w:eastAsia="宋体"/>
        </w:rPr>
      </w:pPr>
    </w:p>
    <w:p w14:paraId="6D8DC1CD">
      <w:pPr>
        <w:pStyle w:val="2"/>
        <w:spacing w:before="196" w:line="344" w:lineRule="auto"/>
        <w:ind w:right="54"/>
        <w:rPr>
          <w:rFonts w:eastAsia="宋体"/>
        </w:rPr>
      </w:pPr>
    </w:p>
    <w:p w14:paraId="7250BB73">
      <w:pPr>
        <w:pStyle w:val="2"/>
        <w:spacing w:before="196" w:line="344" w:lineRule="auto"/>
        <w:ind w:left="420" w:right="54" w:hanging="420" w:hangingChars="200"/>
        <w:rPr>
          <w:rFonts w:eastAsia="宋体"/>
        </w:rPr>
      </w:pPr>
      <w:r>
        <w:rPr>
          <w:rFonts w:eastAsia="宋体"/>
        </w:rPr>
        <w:t>Project P189135</w:t>
      </w:r>
    </w:p>
    <w:tbl>
      <w:tblPr>
        <w:tblStyle w:val="12"/>
        <w:tblW w:w="8777" w:type="dxa"/>
        <w:tblInd w:w="27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4"/>
        <w:gridCol w:w="8303"/>
      </w:tblGrid>
      <w:tr w14:paraId="5E3B3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tcW w:w="474" w:type="dxa"/>
          </w:tcPr>
          <w:p w14:paraId="1E340CDC">
            <w:pPr>
              <w:spacing w:before="48" w:line="205" w:lineRule="auto"/>
              <w:ind w:left="22"/>
              <w:rPr>
                <w:rFonts w:ascii="Wingdings" w:hAnsi="Wingdings" w:eastAsia="Wingdings" w:cs="Wingdings"/>
                <w:sz w:val="22"/>
                <w:szCs w:val="22"/>
              </w:rPr>
            </w:pPr>
            <w:r>
              <w:rPr>
                <w:rFonts w:ascii="Wingdings" w:hAnsi="Wingdings" w:eastAsia="Wingdings" w:cs="Wingdings"/>
                <w:sz w:val="22"/>
                <w:szCs w:val="22"/>
              </w:rPr>
              <w:sym w:font="Wingdings" w:char="00FE"/>
            </w:r>
          </w:p>
        </w:tc>
        <w:tc>
          <w:tcPr>
            <w:tcW w:w="8303" w:type="dxa"/>
          </w:tcPr>
          <w:p w14:paraId="4DDE24EB">
            <w:pPr>
              <w:pStyle w:val="14"/>
              <w:spacing w:before="52" w:line="241" w:lineRule="auto"/>
              <w:ind w:left="12" w:right="273" w:firstLine="5"/>
              <w:rPr>
                <w:sz w:val="22"/>
                <w:szCs w:val="22"/>
              </w:rPr>
            </w:pPr>
            <w:r>
              <w:rPr>
                <w:spacing w:val="-1"/>
                <w:sz w:val="22"/>
                <w:szCs w:val="22"/>
              </w:rPr>
              <w:t xml:space="preserve">I submitted my ethics application, </w:t>
            </w:r>
            <w:r>
              <w:rPr>
                <w:spacing w:val="-2"/>
                <w:sz w:val="22"/>
                <w:szCs w:val="22"/>
              </w:rPr>
              <w:t>and</w:t>
            </w:r>
            <w:r>
              <w:rPr>
                <w:spacing w:val="13"/>
                <w:sz w:val="22"/>
                <w:szCs w:val="22"/>
              </w:rPr>
              <w:t xml:space="preserve"> </w:t>
            </w:r>
            <w:r>
              <w:rPr>
                <w:spacing w:val="-2"/>
                <w:sz w:val="22"/>
                <w:szCs w:val="22"/>
              </w:rPr>
              <w:t>my</w:t>
            </w:r>
            <w:r>
              <w:rPr>
                <w:spacing w:val="6"/>
                <w:sz w:val="22"/>
                <w:szCs w:val="22"/>
              </w:rPr>
              <w:t xml:space="preserve"> </w:t>
            </w:r>
            <w:r>
              <w:rPr>
                <w:spacing w:val="-2"/>
                <w:sz w:val="22"/>
                <w:szCs w:val="22"/>
              </w:rPr>
              <w:t>application</w:t>
            </w:r>
            <w:r>
              <w:rPr>
                <w:spacing w:val="15"/>
                <w:w w:val="101"/>
                <w:sz w:val="22"/>
                <w:szCs w:val="22"/>
              </w:rPr>
              <w:t xml:space="preserve"> </w:t>
            </w:r>
            <w:r>
              <w:rPr>
                <w:spacing w:val="-2"/>
                <w:sz w:val="22"/>
                <w:szCs w:val="22"/>
              </w:rPr>
              <w:t>has</w:t>
            </w:r>
            <w:r>
              <w:rPr>
                <w:spacing w:val="15"/>
                <w:sz w:val="22"/>
                <w:szCs w:val="22"/>
              </w:rPr>
              <w:t xml:space="preserve"> </w:t>
            </w:r>
            <w:r>
              <w:rPr>
                <w:spacing w:val="-2"/>
                <w:sz w:val="22"/>
                <w:szCs w:val="22"/>
              </w:rPr>
              <w:t>been</w:t>
            </w:r>
            <w:r>
              <w:rPr>
                <w:spacing w:val="8"/>
                <w:sz w:val="22"/>
                <w:szCs w:val="22"/>
              </w:rPr>
              <w:t xml:space="preserve"> </w:t>
            </w:r>
            <w:r>
              <w:rPr>
                <w:spacing w:val="-2"/>
                <w:sz w:val="22"/>
                <w:szCs w:val="22"/>
              </w:rPr>
              <w:t>approved.</w:t>
            </w:r>
            <w:r>
              <w:rPr>
                <w:spacing w:val="18"/>
                <w:sz w:val="22"/>
                <w:szCs w:val="22"/>
              </w:rPr>
              <w:t xml:space="preserve"> </w:t>
            </w:r>
            <w:r>
              <w:rPr>
                <w:spacing w:val="-2"/>
                <w:sz w:val="22"/>
                <w:szCs w:val="22"/>
              </w:rPr>
              <w:t>I</w:t>
            </w:r>
            <w:r>
              <w:rPr>
                <w:spacing w:val="16"/>
                <w:w w:val="101"/>
                <w:sz w:val="22"/>
                <w:szCs w:val="22"/>
              </w:rPr>
              <w:t xml:space="preserve"> </w:t>
            </w:r>
            <w:r>
              <w:rPr>
                <w:spacing w:val="-2"/>
                <w:sz w:val="22"/>
                <w:szCs w:val="22"/>
              </w:rPr>
              <w:t>include</w:t>
            </w:r>
            <w:r>
              <w:rPr>
                <w:sz w:val="22"/>
                <w:szCs w:val="22"/>
              </w:rPr>
              <w:t xml:space="preserve"> </w:t>
            </w:r>
            <w:r>
              <w:rPr>
                <w:spacing w:val="-1"/>
                <w:sz w:val="22"/>
                <w:szCs w:val="22"/>
              </w:rPr>
              <w:t>my ethics certificate in the</w:t>
            </w:r>
            <w:r>
              <w:rPr>
                <w:spacing w:val="17"/>
                <w:sz w:val="22"/>
                <w:szCs w:val="22"/>
              </w:rPr>
              <w:t xml:space="preserve"> </w:t>
            </w:r>
            <w:r>
              <w:rPr>
                <w:spacing w:val="-1"/>
                <w:sz w:val="22"/>
                <w:szCs w:val="22"/>
              </w:rPr>
              <w:t>appendix</w:t>
            </w:r>
            <w:r>
              <w:rPr>
                <w:spacing w:val="9"/>
                <w:sz w:val="22"/>
                <w:szCs w:val="22"/>
              </w:rPr>
              <w:t xml:space="preserve"> </w:t>
            </w:r>
            <w:r>
              <w:rPr>
                <w:spacing w:val="-1"/>
                <w:sz w:val="22"/>
                <w:szCs w:val="22"/>
              </w:rPr>
              <w:t>as</w:t>
            </w:r>
            <w:r>
              <w:rPr>
                <w:spacing w:val="7"/>
                <w:sz w:val="22"/>
                <w:szCs w:val="22"/>
              </w:rPr>
              <w:t xml:space="preserve"> </w:t>
            </w:r>
            <w:r>
              <w:rPr>
                <w:spacing w:val="-1"/>
                <w:sz w:val="22"/>
                <w:szCs w:val="22"/>
              </w:rPr>
              <w:t>evidence.</w:t>
            </w:r>
          </w:p>
        </w:tc>
      </w:tr>
      <w:tr w14:paraId="6ADDDA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474" w:type="dxa"/>
          </w:tcPr>
          <w:p w14:paraId="2017A2E2">
            <w:pPr>
              <w:spacing w:before="48" w:line="205" w:lineRule="auto"/>
              <w:ind w:left="22"/>
              <w:rPr>
                <w:rFonts w:ascii="Wingdings" w:hAnsi="Wingdings" w:eastAsia="Wingdings" w:cs="Wingdings"/>
                <w:sz w:val="22"/>
                <w:szCs w:val="22"/>
              </w:rPr>
            </w:pPr>
            <w:r>
              <w:rPr>
                <w:rFonts w:ascii="Wingdings" w:hAnsi="Wingdings" w:eastAsia="Wingdings" w:cs="Wingdings"/>
                <w:sz w:val="22"/>
                <w:szCs w:val="22"/>
              </w:rPr>
              <w:sym w:font="Wingdings" w:char="00A8"/>
            </w:r>
          </w:p>
        </w:tc>
        <w:tc>
          <w:tcPr>
            <w:tcW w:w="8303" w:type="dxa"/>
          </w:tcPr>
          <w:p w14:paraId="45D0807B">
            <w:pPr>
              <w:pStyle w:val="14"/>
              <w:spacing w:before="49" w:line="197" w:lineRule="auto"/>
              <w:ind w:left="18"/>
              <w:rPr>
                <w:sz w:val="22"/>
                <w:szCs w:val="22"/>
              </w:rPr>
            </w:pPr>
            <w:r>
              <w:rPr>
                <w:spacing w:val="-1"/>
                <w:sz w:val="22"/>
                <w:szCs w:val="22"/>
              </w:rPr>
              <w:t>I submitted my ethics application, and</w:t>
            </w:r>
            <w:r>
              <w:rPr>
                <w:spacing w:val="13"/>
                <w:sz w:val="22"/>
                <w:szCs w:val="22"/>
              </w:rPr>
              <w:t xml:space="preserve"> </w:t>
            </w:r>
            <w:r>
              <w:rPr>
                <w:spacing w:val="-1"/>
                <w:sz w:val="22"/>
                <w:szCs w:val="22"/>
              </w:rPr>
              <w:t>my</w:t>
            </w:r>
            <w:r>
              <w:rPr>
                <w:spacing w:val="7"/>
                <w:sz w:val="22"/>
                <w:szCs w:val="22"/>
              </w:rPr>
              <w:t xml:space="preserve"> </w:t>
            </w:r>
            <w:r>
              <w:rPr>
                <w:spacing w:val="-1"/>
                <w:sz w:val="22"/>
                <w:szCs w:val="22"/>
              </w:rPr>
              <w:t>application</w:t>
            </w:r>
            <w:r>
              <w:rPr>
                <w:spacing w:val="15"/>
                <w:sz w:val="22"/>
                <w:szCs w:val="22"/>
              </w:rPr>
              <w:t xml:space="preserve"> </w:t>
            </w:r>
            <w:r>
              <w:rPr>
                <w:spacing w:val="-1"/>
                <w:sz w:val="22"/>
                <w:szCs w:val="22"/>
              </w:rPr>
              <w:t>is</w:t>
            </w:r>
            <w:r>
              <w:rPr>
                <w:spacing w:val="8"/>
                <w:sz w:val="22"/>
                <w:szCs w:val="22"/>
              </w:rPr>
              <w:t xml:space="preserve"> </w:t>
            </w:r>
            <w:r>
              <w:rPr>
                <w:spacing w:val="-2"/>
                <w:sz w:val="22"/>
                <w:szCs w:val="22"/>
              </w:rPr>
              <w:t>currently</w:t>
            </w:r>
            <w:r>
              <w:rPr>
                <w:spacing w:val="16"/>
                <w:sz w:val="22"/>
                <w:szCs w:val="22"/>
              </w:rPr>
              <w:t xml:space="preserve"> </w:t>
            </w:r>
            <w:r>
              <w:rPr>
                <w:spacing w:val="-2"/>
                <w:sz w:val="22"/>
                <w:szCs w:val="22"/>
              </w:rPr>
              <w:t>under</w:t>
            </w:r>
            <w:r>
              <w:rPr>
                <w:spacing w:val="11"/>
                <w:sz w:val="22"/>
                <w:szCs w:val="22"/>
              </w:rPr>
              <w:t xml:space="preserve"> </w:t>
            </w:r>
            <w:r>
              <w:rPr>
                <w:spacing w:val="-2"/>
                <w:sz w:val="22"/>
                <w:szCs w:val="22"/>
              </w:rPr>
              <w:t>review.</w:t>
            </w:r>
          </w:p>
        </w:tc>
      </w:tr>
      <w:tr w14:paraId="508F6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474" w:type="dxa"/>
          </w:tcPr>
          <w:p w14:paraId="5C0EAF92">
            <w:pPr>
              <w:spacing w:before="48" w:line="205" w:lineRule="auto"/>
              <w:ind w:left="22"/>
              <w:rPr>
                <w:rFonts w:ascii="Wingdings" w:hAnsi="Wingdings" w:eastAsia="Wingdings" w:cs="Wingdings"/>
                <w:sz w:val="22"/>
                <w:szCs w:val="22"/>
              </w:rPr>
            </w:pPr>
            <w:r>
              <w:rPr>
                <w:rFonts w:ascii="Wingdings" w:hAnsi="Wingdings" w:eastAsia="Wingdings" w:cs="Wingdings"/>
                <w:sz w:val="22"/>
                <w:szCs w:val="22"/>
              </w:rPr>
              <w:sym w:font="Wingdings" w:char="00A8"/>
            </w:r>
          </w:p>
        </w:tc>
        <w:tc>
          <w:tcPr>
            <w:tcW w:w="8303" w:type="dxa"/>
          </w:tcPr>
          <w:p w14:paraId="3A725E10">
            <w:pPr>
              <w:pStyle w:val="14"/>
              <w:spacing w:before="49" w:line="197" w:lineRule="auto"/>
              <w:ind w:left="18"/>
              <w:rPr>
                <w:sz w:val="22"/>
                <w:szCs w:val="22"/>
              </w:rPr>
            </w:pPr>
            <w:r>
              <w:rPr>
                <w:spacing w:val="-1"/>
                <w:sz w:val="22"/>
                <w:szCs w:val="22"/>
              </w:rPr>
              <w:t>I</w:t>
            </w:r>
            <w:r>
              <w:rPr>
                <w:spacing w:val="16"/>
                <w:w w:val="101"/>
                <w:sz w:val="22"/>
                <w:szCs w:val="22"/>
              </w:rPr>
              <w:t xml:space="preserve"> </w:t>
            </w:r>
            <w:r>
              <w:rPr>
                <w:spacing w:val="-1"/>
                <w:sz w:val="22"/>
                <w:szCs w:val="22"/>
              </w:rPr>
              <w:t>have not submitted my</w:t>
            </w:r>
            <w:r>
              <w:rPr>
                <w:spacing w:val="7"/>
                <w:sz w:val="22"/>
                <w:szCs w:val="22"/>
              </w:rPr>
              <w:t xml:space="preserve"> </w:t>
            </w:r>
            <w:r>
              <w:rPr>
                <w:spacing w:val="-1"/>
                <w:sz w:val="22"/>
                <w:szCs w:val="22"/>
              </w:rPr>
              <w:t>ethics</w:t>
            </w:r>
            <w:r>
              <w:rPr>
                <w:spacing w:val="9"/>
                <w:sz w:val="22"/>
                <w:szCs w:val="22"/>
              </w:rPr>
              <w:t xml:space="preserve"> </w:t>
            </w:r>
            <w:r>
              <w:rPr>
                <w:spacing w:val="-2"/>
                <w:sz w:val="22"/>
                <w:szCs w:val="22"/>
              </w:rPr>
              <w:t>application.</w:t>
            </w:r>
          </w:p>
        </w:tc>
      </w:tr>
    </w:tbl>
    <w:p w14:paraId="285B27EB">
      <w:pPr>
        <w:pStyle w:val="2"/>
        <w:spacing w:before="196" w:line="344" w:lineRule="auto"/>
        <w:ind w:right="54"/>
        <w:rPr>
          <w:rFonts w:eastAsia="宋体"/>
        </w:rPr>
      </w:pPr>
    </w:p>
    <w:p w14:paraId="4C1734CB">
      <w:pPr>
        <w:pStyle w:val="2"/>
        <w:spacing w:before="196" w:line="344" w:lineRule="auto"/>
        <w:ind w:left="406" w:right="54" w:hanging="446" w:hangingChars="200"/>
        <w:jc w:val="center"/>
        <w:rPr>
          <w:rFonts w:eastAsia="宋体"/>
          <w:lang w:eastAsia="zh-CN"/>
        </w:rPr>
      </w:pPr>
      <w:r>
        <w:rPr>
          <w:rFonts w:hint="eastAsia" w:eastAsia="宋体"/>
          <w:color w:val="231F20"/>
          <w:spacing w:val="20"/>
          <w:w w:val="102"/>
          <w:sz w:val="18"/>
          <w:szCs w:val="18"/>
          <w:lang w:eastAsia="zh-CN"/>
        </w:rPr>
        <w:t>FIGURE</w:t>
      </w:r>
      <w:r>
        <w:rPr>
          <w:color w:val="231F20"/>
          <w:spacing w:val="20"/>
          <w:w w:val="102"/>
          <w:sz w:val="18"/>
          <w:szCs w:val="18"/>
        </w:rPr>
        <w:t xml:space="preserve"> </w:t>
      </w:r>
      <w:r>
        <w:rPr>
          <w:color w:val="231F20"/>
          <w:spacing w:val="2"/>
          <w:sz w:val="18"/>
          <w:szCs w:val="18"/>
        </w:rPr>
        <w:t>1.</w:t>
      </w:r>
      <w:r>
        <w:rPr>
          <w:color w:val="231F20"/>
          <w:spacing w:val="10"/>
          <w:w w:val="102"/>
          <w:sz w:val="18"/>
          <w:szCs w:val="18"/>
        </w:rPr>
        <w:t xml:space="preserve"> </w:t>
      </w:r>
      <w:r>
        <w:rPr>
          <w:rFonts w:hint="eastAsia" w:eastAsia="宋体"/>
          <w:color w:val="231F20"/>
          <w:spacing w:val="2"/>
          <w:sz w:val="18"/>
          <w:szCs w:val="18"/>
          <w:lang w:eastAsia="zh-CN"/>
        </w:rPr>
        <w:t>Gantt chart</w:t>
      </w:r>
    </w:p>
    <w:p w14:paraId="31512218">
      <w:pPr>
        <w:pStyle w:val="2"/>
        <w:spacing w:before="196" w:line="344" w:lineRule="auto"/>
        <w:ind w:left="420" w:right="54" w:hanging="420" w:hangingChars="200"/>
        <w:jc w:val="both"/>
        <w:rPr>
          <w:color w:val="231F20"/>
          <w:spacing w:val="2"/>
          <w:sz w:val="18"/>
          <w:szCs w:val="18"/>
        </w:rPr>
      </w:pPr>
      <w:r>
        <w:drawing>
          <wp:inline distT="0" distB="0" distL="114300" distR="114300">
            <wp:extent cx="5892165" cy="2419350"/>
            <wp:effectExtent l="0" t="0" r="63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892165" cy="2419350"/>
                    </a:xfrm>
                    <a:prstGeom prst="rect">
                      <a:avLst/>
                    </a:prstGeom>
                    <a:noFill/>
                    <a:ln>
                      <a:noFill/>
                    </a:ln>
                  </pic:spPr>
                </pic:pic>
              </a:graphicData>
            </a:graphic>
          </wp:inline>
        </w:drawing>
      </w:r>
    </w:p>
    <w:p w14:paraId="1095BE1A">
      <w:pPr>
        <w:pStyle w:val="2"/>
        <w:spacing w:before="196" w:line="344" w:lineRule="auto"/>
        <w:ind w:right="54"/>
        <w:jc w:val="both"/>
        <w:rPr>
          <w:rFonts w:eastAsia="宋体"/>
          <w:color w:val="231F20"/>
          <w:spacing w:val="20"/>
          <w:w w:val="102"/>
          <w:sz w:val="18"/>
          <w:szCs w:val="18"/>
          <w:lang w:eastAsia="zh-CN"/>
        </w:rPr>
      </w:pPr>
    </w:p>
    <w:p w14:paraId="5BAA9494">
      <w:pPr>
        <w:pStyle w:val="2"/>
        <w:spacing w:before="196" w:line="344" w:lineRule="auto"/>
        <w:ind w:right="54"/>
        <w:jc w:val="center"/>
        <w:rPr>
          <w:rFonts w:eastAsia="宋体"/>
          <w:color w:val="231F20"/>
          <w:spacing w:val="10"/>
          <w:w w:val="102"/>
          <w:sz w:val="18"/>
          <w:szCs w:val="18"/>
          <w:lang w:eastAsia="zh-CN"/>
        </w:rPr>
      </w:pPr>
      <w:r>
        <w:rPr>
          <w:rFonts w:hint="eastAsia" w:eastAsia="宋体"/>
          <w:color w:val="231F20"/>
          <w:spacing w:val="20"/>
          <w:w w:val="102"/>
          <w:sz w:val="18"/>
          <w:szCs w:val="18"/>
          <w:lang w:eastAsia="zh-CN"/>
        </w:rPr>
        <w:t>FIGURE</w:t>
      </w:r>
      <w:r>
        <w:rPr>
          <w:color w:val="231F20"/>
          <w:spacing w:val="20"/>
          <w:w w:val="102"/>
          <w:sz w:val="18"/>
          <w:szCs w:val="18"/>
        </w:rPr>
        <w:t xml:space="preserve"> </w:t>
      </w:r>
      <w:r>
        <w:rPr>
          <w:rFonts w:hint="eastAsia" w:eastAsia="宋体"/>
          <w:color w:val="231F20"/>
          <w:spacing w:val="20"/>
          <w:w w:val="102"/>
          <w:sz w:val="18"/>
          <w:szCs w:val="18"/>
          <w:lang w:eastAsia="zh-CN"/>
        </w:rPr>
        <w:t>2</w:t>
      </w:r>
      <w:r>
        <w:rPr>
          <w:color w:val="231F20"/>
          <w:spacing w:val="2"/>
          <w:sz w:val="18"/>
          <w:szCs w:val="18"/>
        </w:rPr>
        <w:t>.</w:t>
      </w:r>
      <w:r>
        <w:rPr>
          <w:color w:val="231F20"/>
          <w:spacing w:val="10"/>
          <w:w w:val="102"/>
          <w:sz w:val="18"/>
          <w:szCs w:val="18"/>
        </w:rPr>
        <w:t xml:space="preserve"> </w:t>
      </w:r>
      <w:r>
        <w:rPr>
          <w:rFonts w:hint="eastAsia" w:eastAsia="宋体"/>
          <w:color w:val="231F20"/>
          <w:spacing w:val="10"/>
          <w:w w:val="102"/>
          <w:sz w:val="18"/>
          <w:szCs w:val="18"/>
          <w:lang w:eastAsia="zh-CN"/>
        </w:rPr>
        <w:t>Model A</w:t>
      </w:r>
    </w:p>
    <w:p w14:paraId="3A12E741">
      <w:pPr>
        <w:pStyle w:val="2"/>
        <w:spacing w:before="196" w:line="344" w:lineRule="auto"/>
        <w:ind w:left="366" w:right="54" w:hanging="406" w:hangingChars="200"/>
        <w:jc w:val="both"/>
        <w:rPr>
          <w:rFonts w:eastAsia="宋体"/>
          <w:color w:val="231F20"/>
          <w:spacing w:val="10"/>
          <w:w w:val="102"/>
          <w:sz w:val="18"/>
          <w:szCs w:val="18"/>
          <w:lang w:eastAsia="zh-CN"/>
        </w:rPr>
      </w:pPr>
      <w:r>
        <w:rPr>
          <w:rFonts w:eastAsia="宋体"/>
          <w:color w:val="231F20"/>
          <w:spacing w:val="10"/>
          <w:w w:val="102"/>
          <w:sz w:val="18"/>
          <w:szCs w:val="18"/>
          <w:lang w:eastAsia="zh-CN"/>
        </w:rPr>
        <w:drawing>
          <wp:inline distT="0" distB="0" distL="114300" distR="114300">
            <wp:extent cx="5320030" cy="3547110"/>
            <wp:effectExtent l="0" t="0" r="1270" b="8890"/>
            <wp:docPr id="2" name="图片 2" descr="Mod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odel A"/>
                    <pic:cNvPicPr>
                      <a:picLocks noChangeAspect="1"/>
                    </pic:cNvPicPr>
                  </pic:nvPicPr>
                  <pic:blipFill>
                    <a:blip r:embed="rId5"/>
                    <a:stretch>
                      <a:fillRect/>
                    </a:stretch>
                  </pic:blipFill>
                  <pic:spPr>
                    <a:xfrm>
                      <a:off x="0" y="0"/>
                      <a:ext cx="5320030" cy="3547110"/>
                    </a:xfrm>
                    <a:prstGeom prst="rect">
                      <a:avLst/>
                    </a:prstGeom>
                  </pic:spPr>
                </pic:pic>
              </a:graphicData>
            </a:graphic>
          </wp:inline>
        </w:drawing>
      </w:r>
    </w:p>
    <w:p w14:paraId="023E7B43">
      <w:pPr>
        <w:pStyle w:val="2"/>
        <w:spacing w:before="196" w:line="344" w:lineRule="auto"/>
        <w:ind w:right="54"/>
        <w:jc w:val="both"/>
        <w:rPr>
          <w:color w:val="231F20"/>
          <w:spacing w:val="2"/>
          <w:sz w:val="18"/>
          <w:szCs w:val="18"/>
        </w:rPr>
      </w:pPr>
    </w:p>
    <w:p w14:paraId="320B7A3B">
      <w:pPr>
        <w:pStyle w:val="2"/>
        <w:spacing w:before="196" w:line="344" w:lineRule="auto"/>
        <w:ind w:left="364" w:right="54" w:hanging="368" w:hangingChars="200"/>
        <w:jc w:val="center"/>
        <w:rPr>
          <w:rFonts w:eastAsia="宋体"/>
          <w:sz w:val="18"/>
          <w:szCs w:val="18"/>
          <w:lang w:eastAsia="zh-CN"/>
        </w:rPr>
      </w:pPr>
      <w:r>
        <w:rPr>
          <w:color w:val="231F20"/>
          <w:spacing w:val="2"/>
          <w:sz w:val="18"/>
          <w:szCs w:val="18"/>
        </w:rPr>
        <w:t>TABLE</w:t>
      </w:r>
      <w:r>
        <w:rPr>
          <w:color w:val="231F20"/>
          <w:spacing w:val="20"/>
          <w:w w:val="102"/>
          <w:sz w:val="18"/>
          <w:szCs w:val="18"/>
        </w:rPr>
        <w:t xml:space="preserve"> </w:t>
      </w:r>
      <w:r>
        <w:rPr>
          <w:color w:val="231F20"/>
          <w:spacing w:val="2"/>
          <w:sz w:val="18"/>
          <w:szCs w:val="18"/>
        </w:rPr>
        <w:t>1.</w:t>
      </w:r>
      <w:r>
        <w:rPr>
          <w:color w:val="231F20"/>
          <w:spacing w:val="10"/>
          <w:w w:val="102"/>
          <w:sz w:val="18"/>
          <w:szCs w:val="18"/>
        </w:rPr>
        <w:t xml:space="preserve"> </w:t>
      </w:r>
      <w:r>
        <w:rPr>
          <w:rFonts w:hint="eastAsia" w:eastAsia="宋体"/>
          <w:color w:val="231F20"/>
          <w:spacing w:val="2"/>
          <w:sz w:val="18"/>
          <w:szCs w:val="18"/>
          <w:lang w:eastAsia="zh-CN"/>
        </w:rPr>
        <w:t>Comparison of three datasets</w:t>
      </w:r>
    </w:p>
    <w:tbl>
      <w:tblPr>
        <w:tblStyle w:val="13"/>
        <w:tblpPr w:leftFromText="180" w:rightFromText="180" w:vertAnchor="text" w:horzAnchor="page" w:tblpX="1534" w:tblpY="23"/>
        <w:tblOverlap w:val="never"/>
        <w:tblW w:w="9498" w:type="dxa"/>
        <w:tblInd w:w="0" w:type="dxa"/>
        <w:tblLayout w:type="autofit"/>
        <w:tblCellMar>
          <w:top w:w="43" w:type="dxa"/>
          <w:left w:w="0" w:type="dxa"/>
          <w:bottom w:w="0" w:type="dxa"/>
          <w:right w:w="0" w:type="dxa"/>
        </w:tblCellMar>
      </w:tblPr>
      <w:tblGrid>
        <w:gridCol w:w="1245"/>
        <w:gridCol w:w="3055"/>
        <w:gridCol w:w="1698"/>
        <w:gridCol w:w="1756"/>
        <w:gridCol w:w="1744"/>
      </w:tblGrid>
      <w:tr w14:paraId="5FE6D4AD">
        <w:tblPrEx>
          <w:tblCellMar>
            <w:top w:w="43" w:type="dxa"/>
            <w:left w:w="0" w:type="dxa"/>
            <w:bottom w:w="0" w:type="dxa"/>
            <w:right w:w="0" w:type="dxa"/>
          </w:tblCellMar>
        </w:tblPrEx>
        <w:trPr>
          <w:trHeight w:val="333" w:hRule="atLeast"/>
        </w:trPr>
        <w:tc>
          <w:tcPr>
            <w:tcW w:w="1245" w:type="dxa"/>
            <w:tcBorders>
              <w:top w:val="single" w:color="000000" w:sz="6" w:space="0"/>
              <w:left w:val="nil"/>
              <w:bottom w:val="single" w:color="000000" w:sz="4" w:space="0"/>
              <w:right w:val="nil"/>
            </w:tcBorders>
            <w:vAlign w:val="center"/>
          </w:tcPr>
          <w:p w14:paraId="7D5CE872">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Dataset</w:t>
            </w:r>
          </w:p>
        </w:tc>
        <w:tc>
          <w:tcPr>
            <w:tcW w:w="3055" w:type="dxa"/>
            <w:tcBorders>
              <w:top w:val="single" w:color="000000" w:sz="6" w:space="0"/>
              <w:left w:val="nil"/>
              <w:bottom w:val="single" w:color="000000" w:sz="4" w:space="0"/>
              <w:right w:val="nil"/>
            </w:tcBorders>
            <w:vAlign w:val="center"/>
          </w:tcPr>
          <w:p w14:paraId="704E6B67">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Sensors / Device</w:t>
            </w:r>
          </w:p>
        </w:tc>
        <w:tc>
          <w:tcPr>
            <w:tcW w:w="1698" w:type="dxa"/>
            <w:tcBorders>
              <w:top w:val="single" w:color="000000" w:sz="6" w:space="0"/>
              <w:left w:val="nil"/>
              <w:bottom w:val="single" w:color="000000" w:sz="4" w:space="0"/>
              <w:right w:val="nil"/>
            </w:tcBorders>
            <w:vAlign w:val="center"/>
          </w:tcPr>
          <w:p w14:paraId="0B7B305A">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Placement</w:t>
            </w:r>
          </w:p>
        </w:tc>
        <w:tc>
          <w:tcPr>
            <w:tcW w:w="1756" w:type="dxa"/>
            <w:tcBorders>
              <w:top w:val="single" w:color="000000" w:sz="6" w:space="0"/>
              <w:left w:val="nil"/>
              <w:bottom w:val="single" w:color="000000" w:sz="4" w:space="0"/>
              <w:right w:val="nil"/>
            </w:tcBorders>
            <w:vAlign w:val="center"/>
          </w:tcPr>
          <w:p w14:paraId="0FFAAFC2">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Labels</w:t>
            </w:r>
          </w:p>
        </w:tc>
        <w:tc>
          <w:tcPr>
            <w:tcW w:w="1744" w:type="dxa"/>
            <w:tcBorders>
              <w:top w:val="single" w:color="000000" w:sz="6" w:space="0"/>
              <w:left w:val="nil"/>
              <w:bottom w:val="single" w:color="000000" w:sz="4" w:space="0"/>
              <w:right w:val="nil"/>
            </w:tcBorders>
            <w:vAlign w:val="center"/>
          </w:tcPr>
          <w:p w14:paraId="1F356EC2">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What it uniquely adds</w:t>
            </w:r>
          </w:p>
        </w:tc>
      </w:tr>
      <w:tr w14:paraId="4095560B">
        <w:tblPrEx>
          <w:tblCellMar>
            <w:top w:w="43" w:type="dxa"/>
            <w:left w:w="0" w:type="dxa"/>
            <w:bottom w:w="0" w:type="dxa"/>
            <w:right w:w="0" w:type="dxa"/>
          </w:tblCellMar>
        </w:tblPrEx>
        <w:trPr>
          <w:trHeight w:val="1185" w:hRule="atLeast"/>
        </w:trPr>
        <w:tc>
          <w:tcPr>
            <w:tcW w:w="1245" w:type="dxa"/>
            <w:tcBorders>
              <w:top w:val="single" w:color="000000" w:sz="4" w:space="0"/>
              <w:left w:val="nil"/>
              <w:bottom w:val="nil"/>
              <w:right w:val="nil"/>
            </w:tcBorders>
            <w:vAlign w:val="center"/>
          </w:tcPr>
          <w:p w14:paraId="3579E6A3">
            <w:pPr>
              <w:jc w:val="center"/>
              <w:rPr>
                <w:rFonts w:ascii="Times New Roman" w:hAnsi="Times New Roman" w:cs="Times New Roman"/>
                <w:sz w:val="18"/>
                <w:szCs w:val="18"/>
              </w:rPr>
            </w:pPr>
            <w:r>
              <w:rPr>
                <w:rStyle w:val="8"/>
                <w:rFonts w:ascii="Times New Roman" w:hAnsi="Times New Roman" w:eastAsia="宋体" w:cs="Times New Roman"/>
                <w:sz w:val="18"/>
                <w:szCs w:val="18"/>
                <w:lang w:eastAsia="zh-CN" w:bidi="ar"/>
              </w:rPr>
              <w:t>SHL (Sussex-Huawei Locomotion)</w:t>
            </w:r>
          </w:p>
        </w:tc>
        <w:tc>
          <w:tcPr>
            <w:tcW w:w="3055" w:type="dxa"/>
            <w:tcBorders>
              <w:top w:val="single" w:color="000000" w:sz="4" w:space="0"/>
              <w:left w:val="nil"/>
              <w:bottom w:val="nil"/>
              <w:right w:val="nil"/>
            </w:tcBorders>
            <w:vAlign w:val="center"/>
          </w:tcPr>
          <w:p w14:paraId="2091C35F">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Smartphone sensors (accelerometer/gyroscope/magnetometer; GPS available), 100 Hz, 5 s windows</w:t>
            </w:r>
          </w:p>
        </w:tc>
        <w:tc>
          <w:tcPr>
            <w:tcW w:w="1698" w:type="dxa"/>
            <w:tcBorders>
              <w:top w:val="single" w:color="000000" w:sz="4" w:space="0"/>
              <w:left w:val="nil"/>
              <w:bottom w:val="nil"/>
              <w:right w:val="nil"/>
            </w:tcBorders>
            <w:vAlign w:val="center"/>
          </w:tcPr>
          <w:p w14:paraId="1300EA48">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Hand, torso, trouser pocket (hip), bag</w:t>
            </w:r>
          </w:p>
        </w:tc>
        <w:tc>
          <w:tcPr>
            <w:tcW w:w="1756" w:type="dxa"/>
            <w:tcBorders>
              <w:top w:val="single" w:color="000000" w:sz="4" w:space="0"/>
              <w:left w:val="nil"/>
              <w:bottom w:val="nil"/>
              <w:right w:val="nil"/>
            </w:tcBorders>
            <w:vAlign w:val="center"/>
          </w:tcPr>
          <w:p w14:paraId="25288CAC">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8 locomotion/transport classes (still, walk, run, bike, car, bus, train, subway)</w:t>
            </w:r>
          </w:p>
        </w:tc>
        <w:tc>
          <w:tcPr>
            <w:tcW w:w="1744" w:type="dxa"/>
            <w:tcBorders>
              <w:top w:val="single" w:color="000000" w:sz="4" w:space="0"/>
              <w:left w:val="nil"/>
              <w:bottom w:val="nil"/>
              <w:right w:val="nil"/>
            </w:tcBorders>
            <w:vAlign w:val="center"/>
          </w:tcPr>
          <w:p w14:paraId="1FA96506">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Strong carry/orientation variability; user/position/time-independent splits</w:t>
            </w:r>
          </w:p>
        </w:tc>
      </w:tr>
      <w:tr w14:paraId="04A9EA22">
        <w:tblPrEx>
          <w:tblCellMar>
            <w:top w:w="43" w:type="dxa"/>
            <w:left w:w="0" w:type="dxa"/>
            <w:bottom w:w="0" w:type="dxa"/>
            <w:right w:w="0" w:type="dxa"/>
          </w:tblCellMar>
        </w:tblPrEx>
        <w:trPr>
          <w:trHeight w:val="1595" w:hRule="atLeast"/>
        </w:trPr>
        <w:tc>
          <w:tcPr>
            <w:tcW w:w="1245" w:type="dxa"/>
            <w:tcBorders>
              <w:top w:val="nil"/>
              <w:left w:val="nil"/>
              <w:bottom w:val="nil"/>
              <w:right w:val="nil"/>
            </w:tcBorders>
            <w:vAlign w:val="center"/>
          </w:tcPr>
          <w:p w14:paraId="3C12CD0C">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DaLiAc (Daily Life Activities)</w:t>
            </w:r>
          </w:p>
        </w:tc>
        <w:tc>
          <w:tcPr>
            <w:tcW w:w="3055" w:type="dxa"/>
            <w:tcBorders>
              <w:top w:val="nil"/>
              <w:left w:val="nil"/>
              <w:bottom w:val="nil"/>
              <w:right w:val="nil"/>
            </w:tcBorders>
            <w:vAlign w:val="center"/>
          </w:tcPr>
          <w:p w14:paraId="38511229">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4 wearable IMUs (acc + gyro), 200 Hz</w:t>
            </w:r>
          </w:p>
        </w:tc>
        <w:tc>
          <w:tcPr>
            <w:tcW w:w="1698" w:type="dxa"/>
            <w:tcBorders>
              <w:top w:val="nil"/>
              <w:left w:val="nil"/>
              <w:bottom w:val="nil"/>
              <w:right w:val="nil"/>
            </w:tcBorders>
            <w:vAlign w:val="center"/>
          </w:tcPr>
          <w:p w14:paraId="19328FB4">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Chest, right hip, both ankles</w:t>
            </w:r>
          </w:p>
        </w:tc>
        <w:tc>
          <w:tcPr>
            <w:tcW w:w="1756" w:type="dxa"/>
            <w:tcBorders>
              <w:top w:val="nil"/>
              <w:left w:val="nil"/>
              <w:bottom w:val="nil"/>
              <w:right w:val="nil"/>
            </w:tcBorders>
            <w:vAlign w:val="center"/>
          </w:tcPr>
          <w:p w14:paraId="43BFB9F1">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13 daily activities (sit/lie/stand, dishwashing, vacuuming, sweeping, outdoor walk, stairs, treadmill run, cycling levels, skipping rope)</w:t>
            </w:r>
          </w:p>
        </w:tc>
        <w:tc>
          <w:tcPr>
            <w:tcW w:w="1744" w:type="dxa"/>
            <w:tcBorders>
              <w:top w:val="nil"/>
              <w:left w:val="nil"/>
              <w:bottom w:val="nil"/>
              <w:right w:val="nil"/>
            </w:tcBorders>
            <w:vAlign w:val="center"/>
          </w:tcPr>
          <w:p w14:paraId="2D4D2C51">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Household &amp; everyday actions; multi-node sensor fusion; high-rate, body-part variability</w:t>
            </w:r>
          </w:p>
        </w:tc>
      </w:tr>
      <w:tr w14:paraId="4CE800AF">
        <w:tblPrEx>
          <w:tblCellMar>
            <w:top w:w="43" w:type="dxa"/>
            <w:left w:w="0" w:type="dxa"/>
            <w:bottom w:w="0" w:type="dxa"/>
            <w:right w:w="0" w:type="dxa"/>
          </w:tblCellMar>
        </w:tblPrEx>
        <w:trPr>
          <w:trHeight w:val="1380" w:hRule="atLeast"/>
        </w:trPr>
        <w:tc>
          <w:tcPr>
            <w:tcW w:w="1245" w:type="dxa"/>
            <w:tcBorders>
              <w:top w:val="nil"/>
              <w:left w:val="nil"/>
              <w:bottom w:val="nil"/>
              <w:right w:val="nil"/>
            </w:tcBorders>
            <w:vAlign w:val="center"/>
          </w:tcPr>
          <w:p w14:paraId="0587D181">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RealWorld (HAR) 2016</w:t>
            </w:r>
          </w:p>
        </w:tc>
        <w:tc>
          <w:tcPr>
            <w:tcW w:w="3055" w:type="dxa"/>
            <w:tcBorders>
              <w:top w:val="nil"/>
              <w:left w:val="nil"/>
              <w:bottom w:val="nil"/>
              <w:right w:val="nil"/>
            </w:tcBorders>
            <w:vAlign w:val="center"/>
          </w:tcPr>
          <w:p w14:paraId="467CE95A">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Multi-sensor (acc, gyro, magnetometer, light, GPS, sound level)</w:t>
            </w:r>
          </w:p>
        </w:tc>
        <w:tc>
          <w:tcPr>
            <w:tcW w:w="1698" w:type="dxa"/>
            <w:tcBorders>
              <w:top w:val="nil"/>
              <w:left w:val="nil"/>
              <w:bottom w:val="nil"/>
              <w:right w:val="nil"/>
            </w:tcBorders>
            <w:vAlign w:val="center"/>
          </w:tcPr>
          <w:p w14:paraId="4110F0F8">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7 body sites: chest, forearm, head, shin, thigh, upper arm, waist</w:t>
            </w:r>
          </w:p>
        </w:tc>
        <w:tc>
          <w:tcPr>
            <w:tcW w:w="1756" w:type="dxa"/>
            <w:tcBorders>
              <w:top w:val="nil"/>
              <w:left w:val="nil"/>
              <w:bottom w:val="nil"/>
              <w:right w:val="nil"/>
            </w:tcBorders>
            <w:vAlign w:val="center"/>
          </w:tcPr>
          <w:p w14:paraId="41F93AAD">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8 basic activities/transitions (walk, run, sit, stand, lie, stairs up/down, jump)</w:t>
            </w:r>
          </w:p>
        </w:tc>
        <w:tc>
          <w:tcPr>
            <w:tcW w:w="1744" w:type="dxa"/>
            <w:tcBorders>
              <w:top w:val="nil"/>
              <w:left w:val="nil"/>
              <w:bottom w:val="nil"/>
              <w:right w:val="nil"/>
            </w:tcBorders>
            <w:vAlign w:val="center"/>
          </w:tcPr>
          <w:p w14:paraId="114CDDDC">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Synchronized multi-site recording with video alignment; 15 subjects; cross-position &amp; multimodal consistency tests</w:t>
            </w:r>
          </w:p>
        </w:tc>
      </w:tr>
    </w:tbl>
    <w:p w14:paraId="7B6F2984">
      <w:pPr>
        <w:pStyle w:val="2"/>
        <w:spacing w:before="196" w:line="344" w:lineRule="auto"/>
        <w:ind w:left="420" w:right="54" w:hanging="420" w:hangingChars="200"/>
        <w:rPr>
          <w:rFonts w:eastAsia="宋体"/>
        </w:rPr>
      </w:pPr>
    </w:p>
    <w:p w14:paraId="72989507">
      <w:pPr>
        <w:pStyle w:val="2"/>
        <w:spacing w:before="196" w:line="344" w:lineRule="auto"/>
        <w:ind w:right="54"/>
        <w:rPr>
          <w:rFonts w:eastAsia="宋体"/>
        </w:rPr>
      </w:pPr>
    </w:p>
    <w:p w14:paraId="629A12EB">
      <w:pPr>
        <w:pStyle w:val="2"/>
        <w:spacing w:before="196" w:line="344" w:lineRule="auto"/>
        <w:ind w:left="364" w:right="54" w:hanging="368" w:hangingChars="200"/>
        <w:jc w:val="center"/>
        <w:rPr>
          <w:rFonts w:eastAsia="宋体"/>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2</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Model details</w:t>
      </w:r>
    </w:p>
    <w:tbl>
      <w:tblPr>
        <w:tblStyle w:val="13"/>
        <w:tblpPr w:leftFromText="180" w:rightFromText="180" w:vertAnchor="text" w:horzAnchor="page" w:tblpX="1534" w:tblpY="23"/>
        <w:tblOverlap w:val="never"/>
        <w:tblW w:w="9941" w:type="dxa"/>
        <w:tblInd w:w="0" w:type="dxa"/>
        <w:tblLayout w:type="autofit"/>
        <w:tblCellMar>
          <w:top w:w="43" w:type="dxa"/>
          <w:left w:w="0" w:type="dxa"/>
          <w:bottom w:w="0" w:type="dxa"/>
          <w:right w:w="0" w:type="dxa"/>
        </w:tblCellMar>
      </w:tblPr>
      <w:tblGrid>
        <w:gridCol w:w="3020"/>
        <w:gridCol w:w="6921"/>
      </w:tblGrid>
      <w:tr w14:paraId="30E899A2">
        <w:tblPrEx>
          <w:tblCellMar>
            <w:top w:w="43" w:type="dxa"/>
            <w:left w:w="0" w:type="dxa"/>
            <w:bottom w:w="0" w:type="dxa"/>
            <w:right w:w="0" w:type="dxa"/>
          </w:tblCellMar>
        </w:tblPrEx>
        <w:trPr>
          <w:trHeight w:val="704" w:hRule="atLeast"/>
        </w:trPr>
        <w:tc>
          <w:tcPr>
            <w:tcW w:w="1609" w:type="dxa"/>
            <w:tcBorders>
              <w:top w:val="single" w:color="000000" w:sz="6" w:space="0"/>
              <w:left w:val="nil"/>
              <w:bottom w:val="single" w:color="000000" w:sz="4" w:space="0"/>
              <w:right w:val="nil"/>
            </w:tcBorders>
            <w:vAlign w:val="center"/>
          </w:tcPr>
          <w:p w14:paraId="4BD4B86F">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Model</w:t>
            </w:r>
          </w:p>
        </w:tc>
        <w:tc>
          <w:tcPr>
            <w:tcW w:w="3687" w:type="dxa"/>
            <w:tcBorders>
              <w:top w:val="single" w:color="000000" w:sz="6" w:space="0"/>
              <w:left w:val="nil"/>
              <w:bottom w:val="single" w:color="000000" w:sz="4" w:space="0"/>
              <w:right w:val="nil"/>
            </w:tcBorders>
            <w:vAlign w:val="center"/>
          </w:tcPr>
          <w:p w14:paraId="3AB445DA">
            <w:pPr>
              <w:jc w:val="center"/>
              <w:rPr>
                <w:rFonts w:ascii="Times New Roman" w:hAnsi="Times New Roman" w:eastAsia="宋体" w:cs="Times New Roman"/>
                <w:sz w:val="18"/>
                <w:szCs w:val="18"/>
                <w:lang w:eastAsia="zh-CN"/>
              </w:rPr>
            </w:pPr>
            <w:r>
              <w:rPr>
                <w:rFonts w:hint="eastAsia" w:ascii="Times New Roman" w:hAnsi="Times New Roman" w:eastAsia="宋体" w:cs="Times New Roman"/>
                <w:b/>
                <w:bCs/>
                <w:sz w:val="18"/>
                <w:szCs w:val="18"/>
                <w:lang w:eastAsia="zh-CN" w:bidi="ar"/>
              </w:rPr>
              <w:t>Explanation of the principle</w:t>
            </w:r>
          </w:p>
        </w:tc>
      </w:tr>
      <w:tr w14:paraId="33A93B83">
        <w:tblPrEx>
          <w:tblCellMar>
            <w:top w:w="43" w:type="dxa"/>
            <w:left w:w="0" w:type="dxa"/>
            <w:bottom w:w="0" w:type="dxa"/>
            <w:right w:w="0" w:type="dxa"/>
          </w:tblCellMar>
        </w:tblPrEx>
        <w:trPr>
          <w:trHeight w:val="641" w:hRule="atLeast"/>
        </w:trPr>
        <w:tc>
          <w:tcPr>
            <w:tcW w:w="1609" w:type="dxa"/>
            <w:tcBorders>
              <w:top w:val="single" w:color="000000" w:sz="4" w:space="0"/>
              <w:left w:val="nil"/>
              <w:bottom w:val="nil"/>
              <w:right w:val="nil"/>
            </w:tcBorders>
            <w:vAlign w:val="center"/>
          </w:tcPr>
          <w:p w14:paraId="665AA2B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K-Nearest Neighbors (KNN)</w:t>
            </w:r>
          </w:p>
        </w:tc>
        <w:tc>
          <w:tcPr>
            <w:tcW w:w="3687" w:type="dxa"/>
            <w:tcBorders>
              <w:top w:val="single" w:color="000000" w:sz="4" w:space="0"/>
              <w:left w:val="nil"/>
              <w:bottom w:val="nil"/>
              <w:right w:val="nil"/>
            </w:tcBorders>
            <w:vAlign w:val="center"/>
          </w:tcPr>
          <w:p w14:paraId="3E21D9B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For a new time window, find the most similar past windows and let them vote on the activity label.</w:t>
            </w:r>
          </w:p>
        </w:tc>
      </w:tr>
      <w:tr w14:paraId="1F0206B1">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7E5CCCC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Random Forest (RF)</w:t>
            </w:r>
          </w:p>
        </w:tc>
        <w:tc>
          <w:tcPr>
            <w:tcW w:w="3687" w:type="dxa"/>
            <w:tcBorders>
              <w:top w:val="nil"/>
              <w:left w:val="nil"/>
              <w:bottom w:val="nil"/>
              <w:right w:val="nil"/>
            </w:tcBorders>
            <w:vAlign w:val="center"/>
          </w:tcPr>
          <w:p w14:paraId="492802D8">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A “forest” of many simple decision trees; each tree votes, and the majority decision is the final label.</w:t>
            </w:r>
          </w:p>
        </w:tc>
      </w:tr>
      <w:tr w14:paraId="62B6E64B">
        <w:tblPrEx>
          <w:tblCellMar>
            <w:top w:w="43" w:type="dxa"/>
            <w:left w:w="0" w:type="dxa"/>
            <w:bottom w:w="0" w:type="dxa"/>
            <w:right w:w="0" w:type="dxa"/>
          </w:tblCellMar>
        </w:tblPrEx>
        <w:trPr>
          <w:trHeight w:val="503" w:hRule="atLeast"/>
        </w:trPr>
        <w:tc>
          <w:tcPr>
            <w:tcW w:w="1609" w:type="dxa"/>
            <w:tcBorders>
              <w:top w:val="nil"/>
              <w:left w:val="nil"/>
              <w:bottom w:val="nil"/>
              <w:right w:val="nil"/>
            </w:tcBorders>
            <w:vAlign w:val="center"/>
          </w:tcPr>
          <w:p w14:paraId="2BC76F3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InceptionTime</w:t>
            </w:r>
          </w:p>
        </w:tc>
        <w:tc>
          <w:tcPr>
            <w:tcW w:w="3687" w:type="dxa"/>
            <w:tcBorders>
              <w:top w:val="nil"/>
              <w:left w:val="nil"/>
              <w:bottom w:val="nil"/>
              <w:right w:val="nil"/>
            </w:tcBorders>
            <w:vAlign w:val="center"/>
          </w:tcPr>
          <w:p w14:paraId="1D01A22A">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A deep neural network that scans the signal with filters of different lengths to capture both short and long patterns.</w:t>
            </w:r>
          </w:p>
        </w:tc>
      </w:tr>
      <w:tr w14:paraId="64FB0BF9">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1DADBE90">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MultiRocket</w:t>
            </w:r>
          </w:p>
        </w:tc>
        <w:tc>
          <w:tcPr>
            <w:tcW w:w="3687" w:type="dxa"/>
            <w:tcBorders>
              <w:top w:val="nil"/>
              <w:left w:val="nil"/>
              <w:bottom w:val="nil"/>
              <w:right w:val="nil"/>
            </w:tcBorders>
            <w:vAlign w:val="center"/>
          </w:tcPr>
          <w:p w14:paraId="2D7462B2">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Applies a large set of fixed, simple transforms to the signal to generate many features, then uses a lightweight classifier—fast and strong.</w:t>
            </w:r>
          </w:p>
        </w:tc>
      </w:tr>
      <w:tr w14:paraId="4F1ECE90">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0E0729F9">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Time-Series Transformer (TST)</w:t>
            </w:r>
          </w:p>
        </w:tc>
        <w:tc>
          <w:tcPr>
            <w:tcW w:w="3687" w:type="dxa"/>
            <w:tcBorders>
              <w:top w:val="nil"/>
              <w:left w:val="nil"/>
              <w:bottom w:val="nil"/>
              <w:right w:val="nil"/>
            </w:tcBorders>
            <w:vAlign w:val="center"/>
          </w:tcPr>
          <w:p w14:paraId="43E1F91E">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 xml:space="preserve">Trains the model to </w:t>
            </w:r>
            <w:r>
              <w:rPr>
                <w:rStyle w:val="8"/>
                <w:rFonts w:ascii="Times New Roman" w:hAnsi="Times New Roman" w:eastAsia="宋体" w:cs="Times New Roman"/>
                <w:sz w:val="18"/>
                <w:szCs w:val="18"/>
                <w:lang w:eastAsia="zh-CN" w:bidi="ar"/>
              </w:rPr>
              <w:t>pay attention</w:t>
            </w:r>
            <w:r>
              <w:rPr>
                <w:rFonts w:ascii="Times New Roman" w:hAnsi="Times New Roman" w:eastAsia="宋体" w:cs="Times New Roman"/>
                <w:sz w:val="18"/>
                <w:szCs w:val="18"/>
                <w:lang w:eastAsia="zh-CN" w:bidi="ar"/>
              </w:rPr>
              <w:t xml:space="preserve"> to the most important moments in the sequence instead of treating every timestep equally.</w:t>
            </w:r>
          </w:p>
        </w:tc>
      </w:tr>
      <w:tr w14:paraId="05915A87">
        <w:tblPrEx>
          <w:tblCellMar>
            <w:top w:w="43" w:type="dxa"/>
            <w:left w:w="0" w:type="dxa"/>
            <w:bottom w:w="0" w:type="dxa"/>
            <w:right w:w="0" w:type="dxa"/>
          </w:tblCellMar>
        </w:tblPrEx>
        <w:trPr>
          <w:trHeight w:val="598" w:hRule="atLeast"/>
        </w:trPr>
        <w:tc>
          <w:tcPr>
            <w:tcW w:w="1609" w:type="dxa"/>
            <w:tcBorders>
              <w:top w:val="nil"/>
              <w:left w:val="nil"/>
              <w:bottom w:val="nil"/>
              <w:right w:val="nil"/>
            </w:tcBorders>
            <w:vAlign w:val="center"/>
          </w:tcPr>
          <w:p w14:paraId="6BE73BE8">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Model A (this project)</w:t>
            </w:r>
          </w:p>
        </w:tc>
        <w:tc>
          <w:tcPr>
            <w:tcW w:w="3687" w:type="dxa"/>
            <w:tcBorders>
              <w:top w:val="nil"/>
              <w:left w:val="nil"/>
              <w:bottom w:val="nil"/>
              <w:right w:val="nil"/>
            </w:tcBorders>
            <w:vAlign w:val="center"/>
          </w:tcPr>
          <w:p w14:paraId="20F22C11">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A lightweight hybrid: small convolutions learn short patterns, compact attention blocks focus on key signals; includes an uncertainty head (test-time dropout) so the model can express how confident it is.</w:t>
            </w:r>
          </w:p>
        </w:tc>
      </w:tr>
    </w:tbl>
    <w:p w14:paraId="344A920F">
      <w:pPr>
        <w:pStyle w:val="2"/>
        <w:spacing w:before="196" w:line="344" w:lineRule="auto"/>
        <w:ind w:left="364" w:right="54" w:hanging="368" w:hangingChars="200"/>
        <w:jc w:val="center"/>
        <w:rPr>
          <w:color w:val="231F20"/>
          <w:spacing w:val="2"/>
          <w:sz w:val="18"/>
          <w:szCs w:val="18"/>
        </w:rPr>
      </w:pPr>
    </w:p>
    <w:p w14:paraId="2BD218F3">
      <w:pPr>
        <w:pStyle w:val="2"/>
        <w:spacing w:before="196" w:line="344" w:lineRule="auto"/>
        <w:ind w:left="364" w:right="54" w:hanging="368" w:hangingChars="200"/>
        <w:jc w:val="center"/>
        <w:rPr>
          <w:color w:val="231F20"/>
          <w:spacing w:val="2"/>
          <w:sz w:val="18"/>
          <w:szCs w:val="18"/>
        </w:rPr>
      </w:pPr>
    </w:p>
    <w:p w14:paraId="3613F167">
      <w:pPr>
        <w:pStyle w:val="2"/>
        <w:spacing w:before="196" w:line="344" w:lineRule="auto"/>
        <w:ind w:left="364" w:right="54" w:hanging="368" w:hangingChars="200"/>
        <w:jc w:val="center"/>
        <w:rPr>
          <w:color w:val="231F20"/>
          <w:spacing w:val="2"/>
          <w:sz w:val="18"/>
          <w:szCs w:val="18"/>
        </w:rPr>
      </w:pPr>
    </w:p>
    <w:p w14:paraId="3620CF11">
      <w:pPr>
        <w:pStyle w:val="2"/>
        <w:spacing w:before="196" w:line="344" w:lineRule="auto"/>
        <w:ind w:left="364" w:right="54" w:hanging="368" w:hangingChars="200"/>
        <w:jc w:val="center"/>
        <w:rPr>
          <w:color w:val="231F20"/>
          <w:spacing w:val="2"/>
          <w:sz w:val="18"/>
          <w:szCs w:val="18"/>
        </w:rPr>
      </w:pPr>
    </w:p>
    <w:p w14:paraId="23B48011">
      <w:pPr>
        <w:pStyle w:val="2"/>
        <w:spacing w:before="196" w:line="344" w:lineRule="auto"/>
        <w:ind w:left="364" w:right="54" w:hanging="368" w:hangingChars="200"/>
        <w:jc w:val="center"/>
        <w:rPr>
          <w:color w:val="231F20"/>
          <w:spacing w:val="2"/>
          <w:sz w:val="18"/>
          <w:szCs w:val="18"/>
        </w:rPr>
      </w:pPr>
    </w:p>
    <w:p w14:paraId="5EA1CB30">
      <w:pPr>
        <w:pStyle w:val="2"/>
        <w:spacing w:before="196" w:line="344" w:lineRule="auto"/>
        <w:ind w:left="364" w:right="54" w:hanging="368" w:hangingChars="200"/>
        <w:jc w:val="center"/>
        <w:rPr>
          <w:color w:val="231F20"/>
          <w:spacing w:val="2"/>
          <w:sz w:val="18"/>
          <w:szCs w:val="18"/>
        </w:rPr>
      </w:pPr>
    </w:p>
    <w:p w14:paraId="7FFCE76C">
      <w:pPr>
        <w:pStyle w:val="2"/>
        <w:spacing w:before="196" w:line="344" w:lineRule="auto"/>
        <w:ind w:left="364" w:right="54" w:hanging="368" w:hangingChars="200"/>
        <w:jc w:val="center"/>
        <w:rPr>
          <w:color w:val="231F20"/>
          <w:spacing w:val="2"/>
          <w:sz w:val="18"/>
          <w:szCs w:val="18"/>
        </w:rPr>
      </w:pPr>
    </w:p>
    <w:p w14:paraId="24470529">
      <w:pPr>
        <w:pStyle w:val="2"/>
        <w:spacing w:before="196" w:line="344" w:lineRule="auto"/>
        <w:ind w:left="364" w:right="54" w:hanging="368" w:hangingChars="200"/>
        <w:jc w:val="center"/>
        <w:rPr>
          <w:rFonts w:eastAsia="宋体"/>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3</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Detailed explanation</w:t>
      </w:r>
    </w:p>
    <w:tbl>
      <w:tblPr>
        <w:tblStyle w:val="13"/>
        <w:tblpPr w:leftFromText="180" w:rightFromText="180" w:vertAnchor="text" w:horzAnchor="page" w:tblpX="1534" w:tblpY="23"/>
        <w:tblOverlap w:val="never"/>
        <w:tblW w:w="9939" w:type="dxa"/>
        <w:tblInd w:w="0" w:type="dxa"/>
        <w:tblLayout w:type="autofit"/>
        <w:tblCellMar>
          <w:top w:w="43" w:type="dxa"/>
          <w:left w:w="0" w:type="dxa"/>
          <w:bottom w:w="0" w:type="dxa"/>
          <w:right w:w="0" w:type="dxa"/>
        </w:tblCellMar>
      </w:tblPr>
      <w:tblGrid>
        <w:gridCol w:w="1896"/>
        <w:gridCol w:w="8043"/>
      </w:tblGrid>
      <w:tr w14:paraId="6825B017">
        <w:tblPrEx>
          <w:tblCellMar>
            <w:top w:w="43" w:type="dxa"/>
            <w:left w:w="0" w:type="dxa"/>
            <w:bottom w:w="0" w:type="dxa"/>
            <w:right w:w="0" w:type="dxa"/>
          </w:tblCellMar>
        </w:tblPrEx>
        <w:trPr>
          <w:trHeight w:val="607" w:hRule="atLeast"/>
        </w:trPr>
        <w:tc>
          <w:tcPr>
            <w:tcW w:w="1896" w:type="dxa"/>
            <w:tcBorders>
              <w:top w:val="single" w:color="000000" w:sz="6" w:space="0"/>
              <w:left w:val="nil"/>
              <w:bottom w:val="single" w:color="000000" w:sz="4" w:space="0"/>
              <w:right w:val="nil"/>
            </w:tcBorders>
            <w:vAlign w:val="center"/>
          </w:tcPr>
          <w:p w14:paraId="539DB129">
            <w:pPr>
              <w:jc w:val="center"/>
              <w:rPr>
                <w:rFonts w:ascii="Times New Roman" w:hAnsi="Times New Roman" w:eastAsia="宋体" w:cs="Times New Roman"/>
                <w:sz w:val="18"/>
                <w:szCs w:val="18"/>
                <w:lang w:eastAsia="zh-CN"/>
              </w:rPr>
            </w:pPr>
            <w:r>
              <w:rPr>
                <w:rFonts w:hint="eastAsia" w:ascii="Times New Roman" w:hAnsi="Times New Roman" w:eastAsia="宋体" w:cs="Times New Roman"/>
                <w:b/>
                <w:bCs/>
                <w:sz w:val="18"/>
                <w:szCs w:val="18"/>
                <w:lang w:eastAsia="zh-CN" w:bidi="ar"/>
              </w:rPr>
              <w:t>A</w:t>
            </w:r>
            <w:r>
              <w:rPr>
                <w:rFonts w:ascii="Times New Roman" w:hAnsi="Times New Roman" w:eastAsia="宋体" w:cs="Times New Roman"/>
                <w:b/>
                <w:bCs/>
                <w:sz w:val="18"/>
                <w:szCs w:val="18"/>
                <w:lang w:eastAsia="zh-CN" w:bidi="ar"/>
              </w:rPr>
              <w:t>djective</w:t>
            </w:r>
          </w:p>
        </w:tc>
        <w:tc>
          <w:tcPr>
            <w:tcW w:w="8043" w:type="dxa"/>
            <w:tcBorders>
              <w:top w:val="single" w:color="000000" w:sz="6" w:space="0"/>
              <w:left w:val="nil"/>
              <w:bottom w:val="single" w:color="000000" w:sz="4" w:space="0"/>
              <w:right w:val="nil"/>
            </w:tcBorders>
            <w:vAlign w:val="center"/>
          </w:tcPr>
          <w:p w14:paraId="63A265BB">
            <w:pPr>
              <w:jc w:val="center"/>
              <w:rPr>
                <w:rFonts w:ascii="Times New Roman" w:hAnsi="Times New Roman" w:eastAsia="宋体" w:cs="Times New Roman"/>
                <w:sz w:val="18"/>
                <w:szCs w:val="18"/>
                <w:lang w:eastAsia="zh-CN"/>
              </w:rPr>
            </w:pPr>
            <w:r>
              <w:rPr>
                <w:rFonts w:hint="eastAsia" w:ascii="Times New Roman" w:hAnsi="Times New Roman" w:eastAsia="宋体" w:cs="Times New Roman"/>
                <w:b/>
                <w:bCs/>
                <w:sz w:val="18"/>
                <w:szCs w:val="18"/>
                <w:lang w:eastAsia="zh-CN" w:bidi="ar"/>
              </w:rPr>
              <w:t>Explanation of meaning</w:t>
            </w:r>
          </w:p>
        </w:tc>
      </w:tr>
      <w:tr w14:paraId="35D0B43A">
        <w:tblPrEx>
          <w:tblCellMar>
            <w:top w:w="43" w:type="dxa"/>
            <w:left w:w="0" w:type="dxa"/>
            <w:bottom w:w="0" w:type="dxa"/>
            <w:right w:w="0" w:type="dxa"/>
          </w:tblCellMar>
        </w:tblPrEx>
        <w:trPr>
          <w:trHeight w:val="752" w:hRule="atLeast"/>
        </w:trPr>
        <w:tc>
          <w:tcPr>
            <w:tcW w:w="1896" w:type="dxa"/>
            <w:tcBorders>
              <w:top w:val="single" w:color="000000" w:sz="4" w:space="0"/>
              <w:left w:val="nil"/>
              <w:bottom w:val="nil"/>
              <w:right w:val="nil"/>
            </w:tcBorders>
            <w:vAlign w:val="center"/>
          </w:tcPr>
          <w:p w14:paraId="08E1578C">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Fair model selection</w:t>
            </w:r>
          </w:p>
        </w:tc>
        <w:tc>
          <w:tcPr>
            <w:tcW w:w="8043" w:type="dxa"/>
            <w:tcBorders>
              <w:top w:val="single" w:color="000000" w:sz="4" w:space="0"/>
              <w:left w:val="nil"/>
              <w:bottom w:val="nil"/>
              <w:right w:val="nil"/>
            </w:tcBorders>
            <w:vAlign w:val="center"/>
          </w:tcPr>
          <w:p w14:paraId="47E84CA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Which model is most dependable on new people and new datasets? I will compare overall correctness, how steady rankings stay across datasets, and how honest the confidence is.</w:t>
            </w:r>
          </w:p>
        </w:tc>
      </w:tr>
      <w:tr w14:paraId="53DECC25">
        <w:tblPrEx>
          <w:tblCellMar>
            <w:top w:w="43" w:type="dxa"/>
            <w:left w:w="0" w:type="dxa"/>
            <w:bottom w:w="0" w:type="dxa"/>
            <w:right w:w="0" w:type="dxa"/>
          </w:tblCellMar>
        </w:tblPrEx>
        <w:trPr>
          <w:trHeight w:val="592" w:hRule="atLeast"/>
        </w:trPr>
        <w:tc>
          <w:tcPr>
            <w:tcW w:w="1896" w:type="dxa"/>
            <w:tcBorders>
              <w:top w:val="nil"/>
              <w:left w:val="nil"/>
              <w:bottom w:val="nil"/>
              <w:right w:val="nil"/>
            </w:tcBorders>
            <w:vAlign w:val="center"/>
          </w:tcPr>
          <w:p w14:paraId="229ED297">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Reliability</w:t>
            </w:r>
          </w:p>
        </w:tc>
        <w:tc>
          <w:tcPr>
            <w:tcW w:w="8043" w:type="dxa"/>
            <w:tcBorders>
              <w:top w:val="nil"/>
              <w:left w:val="nil"/>
              <w:bottom w:val="nil"/>
              <w:right w:val="nil"/>
            </w:tcBorders>
            <w:vAlign w:val="center"/>
          </w:tcPr>
          <w:p w14:paraId="4201A334">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Can we cut over‑confidence in half and provide prediction sets that say “it is walking or cycling” while still covering the true label about 90% of the time, with almost no loss in accuracy?</w:t>
            </w:r>
          </w:p>
        </w:tc>
      </w:tr>
      <w:tr w14:paraId="46517414">
        <w:tblPrEx>
          <w:tblCellMar>
            <w:top w:w="43" w:type="dxa"/>
            <w:left w:w="0" w:type="dxa"/>
            <w:bottom w:w="0" w:type="dxa"/>
            <w:right w:w="0" w:type="dxa"/>
          </w:tblCellMar>
        </w:tblPrEx>
        <w:trPr>
          <w:trHeight w:val="687" w:hRule="atLeast"/>
        </w:trPr>
        <w:tc>
          <w:tcPr>
            <w:tcW w:w="1896" w:type="dxa"/>
            <w:tcBorders>
              <w:top w:val="nil"/>
              <w:left w:val="nil"/>
              <w:bottom w:val="nil"/>
              <w:right w:val="nil"/>
            </w:tcBorders>
            <w:vAlign w:val="center"/>
          </w:tcPr>
          <w:p w14:paraId="254A818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Efficiency</w:t>
            </w:r>
          </w:p>
        </w:tc>
        <w:tc>
          <w:tcPr>
            <w:tcW w:w="8043" w:type="dxa"/>
            <w:tcBorders>
              <w:top w:val="nil"/>
              <w:left w:val="nil"/>
              <w:bottom w:val="nil"/>
              <w:right w:val="nil"/>
            </w:tcBorders>
            <w:vAlign w:val="center"/>
          </w:tcPr>
          <w:p w14:paraId="36571871">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Can careful down‑sampling and model compression deliver at least a two‑fold speed/energy gain on device while keeping performance within one percentage point of the uncompressed model?</w:t>
            </w:r>
          </w:p>
        </w:tc>
      </w:tr>
      <w:tr w14:paraId="54CA68BD">
        <w:tblPrEx>
          <w:tblCellMar>
            <w:top w:w="43" w:type="dxa"/>
            <w:left w:w="0" w:type="dxa"/>
            <w:bottom w:w="0" w:type="dxa"/>
            <w:right w:w="0" w:type="dxa"/>
          </w:tblCellMar>
        </w:tblPrEx>
        <w:trPr>
          <w:trHeight w:val="809" w:hRule="atLeast"/>
        </w:trPr>
        <w:tc>
          <w:tcPr>
            <w:tcW w:w="1896" w:type="dxa"/>
            <w:tcBorders>
              <w:top w:val="nil"/>
              <w:left w:val="nil"/>
              <w:bottom w:val="nil"/>
              <w:right w:val="nil"/>
            </w:tcBorders>
            <w:vAlign w:val="center"/>
          </w:tcPr>
          <w:p w14:paraId="3DDEF29D">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bidi="ar"/>
              </w:rPr>
              <w:t>E</w:t>
            </w:r>
            <w:r>
              <w:rPr>
                <w:rFonts w:ascii="Times New Roman" w:hAnsi="Times New Roman" w:eastAsia="宋体" w:cs="Times New Roman"/>
                <w:sz w:val="18"/>
                <w:szCs w:val="18"/>
                <w:lang w:eastAsia="zh-CN" w:bidi="ar"/>
              </w:rPr>
              <w:t xml:space="preserve">volvable </w:t>
            </w:r>
          </w:p>
        </w:tc>
        <w:tc>
          <w:tcPr>
            <w:tcW w:w="8043" w:type="dxa"/>
            <w:tcBorders>
              <w:top w:val="nil"/>
              <w:left w:val="nil"/>
              <w:bottom w:val="nil"/>
              <w:right w:val="nil"/>
            </w:tcBorders>
            <w:vAlign w:val="center"/>
          </w:tcPr>
          <w:p w14:paraId="2D0E5896">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Can a self-developed model that integrates the strengths of mainstream architectures achieve superior performance—e.g., higher accuracy, lower inference latency, and a smaller footprint—and can its underlying mechanism be made interpretable?</w:t>
            </w:r>
          </w:p>
          <w:p w14:paraId="1A694D62">
            <w:pPr>
              <w:jc w:val="center"/>
              <w:rPr>
                <w:rFonts w:ascii="Times New Roman" w:hAnsi="Times New Roman" w:cs="Times New Roman"/>
                <w:sz w:val="18"/>
                <w:szCs w:val="18"/>
              </w:rPr>
            </w:pPr>
          </w:p>
        </w:tc>
      </w:tr>
    </w:tbl>
    <w:p w14:paraId="74210714">
      <w:pPr>
        <w:pStyle w:val="2"/>
        <w:spacing w:before="196" w:line="344" w:lineRule="auto"/>
        <w:ind w:right="54"/>
        <w:rPr>
          <w:rFonts w:eastAsia="宋体"/>
        </w:rPr>
      </w:pPr>
    </w:p>
    <w:p w14:paraId="3219841A">
      <w:pPr>
        <w:pStyle w:val="2"/>
        <w:spacing w:before="196" w:line="344" w:lineRule="auto"/>
        <w:ind w:right="54"/>
        <w:rPr>
          <w:rFonts w:eastAsia="宋体"/>
        </w:rPr>
      </w:pPr>
    </w:p>
    <w:p w14:paraId="17ED9A69">
      <w:pPr>
        <w:pStyle w:val="2"/>
        <w:spacing w:before="196" w:line="344" w:lineRule="auto"/>
        <w:ind w:left="364" w:right="54" w:hanging="368" w:hangingChars="200"/>
        <w:jc w:val="center"/>
        <w:rPr>
          <w:rFonts w:eastAsia="宋体"/>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4</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User groups and benefits</w:t>
      </w:r>
    </w:p>
    <w:tbl>
      <w:tblPr>
        <w:tblStyle w:val="13"/>
        <w:tblpPr w:leftFromText="180" w:rightFromText="180" w:vertAnchor="text" w:horzAnchor="page" w:tblpX="1534" w:tblpY="23"/>
        <w:tblOverlap w:val="never"/>
        <w:tblW w:w="9957" w:type="dxa"/>
        <w:tblInd w:w="0" w:type="dxa"/>
        <w:tblLayout w:type="autofit"/>
        <w:tblCellMar>
          <w:top w:w="43" w:type="dxa"/>
          <w:left w:w="0" w:type="dxa"/>
          <w:bottom w:w="0" w:type="dxa"/>
          <w:right w:w="0" w:type="dxa"/>
        </w:tblCellMar>
      </w:tblPr>
      <w:tblGrid>
        <w:gridCol w:w="1600"/>
        <w:gridCol w:w="2729"/>
        <w:gridCol w:w="2812"/>
        <w:gridCol w:w="2816"/>
      </w:tblGrid>
      <w:tr w14:paraId="1413C6BA">
        <w:tblPrEx>
          <w:tblCellMar>
            <w:top w:w="43" w:type="dxa"/>
            <w:left w:w="0" w:type="dxa"/>
            <w:bottom w:w="0" w:type="dxa"/>
            <w:right w:w="0" w:type="dxa"/>
          </w:tblCellMar>
        </w:tblPrEx>
        <w:trPr>
          <w:trHeight w:val="743" w:hRule="atLeast"/>
        </w:trPr>
        <w:tc>
          <w:tcPr>
            <w:tcW w:w="1600" w:type="dxa"/>
            <w:tcBorders>
              <w:top w:val="single" w:color="000000" w:sz="6" w:space="0"/>
              <w:left w:val="nil"/>
              <w:bottom w:val="single" w:color="000000" w:sz="4" w:space="0"/>
              <w:right w:val="nil"/>
            </w:tcBorders>
            <w:vAlign w:val="center"/>
          </w:tcPr>
          <w:p w14:paraId="11497421">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User group (priority)</w:t>
            </w:r>
          </w:p>
        </w:tc>
        <w:tc>
          <w:tcPr>
            <w:tcW w:w="2729" w:type="dxa"/>
            <w:tcBorders>
              <w:top w:val="single" w:color="000000" w:sz="6" w:space="0"/>
              <w:left w:val="nil"/>
              <w:bottom w:val="single" w:color="000000" w:sz="4" w:space="0"/>
              <w:right w:val="nil"/>
            </w:tcBorders>
            <w:vAlign w:val="center"/>
          </w:tcPr>
          <w:p w14:paraId="49F8E27D">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Job they hire the app to do</w:t>
            </w:r>
          </w:p>
        </w:tc>
        <w:tc>
          <w:tcPr>
            <w:tcW w:w="2812" w:type="dxa"/>
            <w:tcBorders>
              <w:top w:val="single" w:color="000000" w:sz="6" w:space="0"/>
              <w:left w:val="nil"/>
              <w:bottom w:val="single" w:color="000000" w:sz="4" w:space="0"/>
              <w:right w:val="nil"/>
            </w:tcBorders>
            <w:vAlign w:val="center"/>
          </w:tcPr>
          <w:p w14:paraId="6C15C0B5">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Today’s pain</w:t>
            </w:r>
          </w:p>
        </w:tc>
        <w:tc>
          <w:tcPr>
            <w:tcW w:w="2816" w:type="dxa"/>
            <w:tcBorders>
              <w:top w:val="single" w:color="000000" w:sz="6" w:space="0"/>
              <w:left w:val="nil"/>
              <w:bottom w:val="single" w:color="000000" w:sz="4" w:space="0"/>
              <w:right w:val="nil"/>
            </w:tcBorders>
            <w:vAlign w:val="center"/>
          </w:tcPr>
          <w:p w14:paraId="198EBDCB">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Benefit from this project</w:t>
            </w:r>
          </w:p>
        </w:tc>
      </w:tr>
      <w:tr w14:paraId="6276F3A5">
        <w:tblPrEx>
          <w:tblCellMar>
            <w:top w:w="43" w:type="dxa"/>
            <w:left w:w="0" w:type="dxa"/>
            <w:bottom w:w="0" w:type="dxa"/>
            <w:right w:w="0" w:type="dxa"/>
          </w:tblCellMar>
        </w:tblPrEx>
        <w:trPr>
          <w:trHeight w:val="823" w:hRule="atLeast"/>
        </w:trPr>
        <w:tc>
          <w:tcPr>
            <w:tcW w:w="1600" w:type="dxa"/>
            <w:tcBorders>
              <w:top w:val="single" w:color="000000" w:sz="4" w:space="0"/>
              <w:left w:val="nil"/>
              <w:bottom w:val="nil"/>
              <w:right w:val="nil"/>
            </w:tcBorders>
            <w:vAlign w:val="center"/>
          </w:tcPr>
          <w:p w14:paraId="55BB86F7">
            <w:pPr>
              <w:jc w:val="center"/>
              <w:rPr>
                <w:rFonts w:ascii="Times New Roman" w:hAnsi="Times New Roman" w:cs="Times New Roman"/>
                <w:sz w:val="18"/>
                <w:szCs w:val="18"/>
              </w:rPr>
            </w:pPr>
            <w:r>
              <w:rPr>
                <w:rStyle w:val="8"/>
                <w:rFonts w:ascii="Times New Roman" w:hAnsi="Times New Roman" w:eastAsia="宋体" w:cs="Times New Roman"/>
                <w:sz w:val="18"/>
                <w:szCs w:val="18"/>
                <w:lang w:eastAsia="zh-CN" w:bidi="ar"/>
              </w:rPr>
              <w:t>Everyday users (Primary)</w:t>
            </w:r>
          </w:p>
        </w:tc>
        <w:tc>
          <w:tcPr>
            <w:tcW w:w="2729" w:type="dxa"/>
            <w:tcBorders>
              <w:top w:val="single" w:color="000000" w:sz="4" w:space="0"/>
              <w:left w:val="nil"/>
              <w:bottom w:val="nil"/>
              <w:right w:val="nil"/>
            </w:tcBorders>
            <w:vAlign w:val="center"/>
          </w:tcPr>
          <w:p w14:paraId="163590D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Track activity, safety alerts, travel diaries</w:t>
            </w:r>
          </w:p>
        </w:tc>
        <w:tc>
          <w:tcPr>
            <w:tcW w:w="2812" w:type="dxa"/>
            <w:tcBorders>
              <w:top w:val="single" w:color="000000" w:sz="4" w:space="0"/>
              <w:left w:val="nil"/>
              <w:bottom w:val="nil"/>
              <w:right w:val="nil"/>
            </w:tcBorders>
            <w:vAlign w:val="center"/>
          </w:tcPr>
          <w:p w14:paraId="200168A9">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Mislabels in pocket/bag; confusing “confidence”; battery drain</w:t>
            </w:r>
          </w:p>
        </w:tc>
        <w:tc>
          <w:tcPr>
            <w:tcW w:w="2816" w:type="dxa"/>
            <w:tcBorders>
              <w:top w:val="single" w:color="000000" w:sz="4" w:space="0"/>
              <w:left w:val="nil"/>
              <w:bottom w:val="nil"/>
              <w:right w:val="nil"/>
            </w:tcBorders>
            <w:vAlign w:val="center"/>
          </w:tcPr>
          <w:p w14:paraId="7118E0DA">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Works across carry styles; clear “not sure” messages; better battery</w:t>
            </w:r>
          </w:p>
        </w:tc>
      </w:tr>
      <w:tr w14:paraId="7DE81FB3">
        <w:tblPrEx>
          <w:tblCellMar>
            <w:top w:w="43" w:type="dxa"/>
            <w:left w:w="0" w:type="dxa"/>
            <w:bottom w:w="0" w:type="dxa"/>
            <w:right w:w="0" w:type="dxa"/>
          </w:tblCellMar>
        </w:tblPrEx>
        <w:trPr>
          <w:trHeight w:val="811" w:hRule="atLeast"/>
        </w:trPr>
        <w:tc>
          <w:tcPr>
            <w:tcW w:w="1600" w:type="dxa"/>
            <w:tcBorders>
              <w:top w:val="nil"/>
              <w:left w:val="nil"/>
              <w:bottom w:val="nil"/>
              <w:right w:val="nil"/>
            </w:tcBorders>
            <w:vAlign w:val="center"/>
          </w:tcPr>
          <w:p w14:paraId="086DE2E0">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Clinicians &amp; carers (Secondary)</w:t>
            </w:r>
          </w:p>
        </w:tc>
        <w:tc>
          <w:tcPr>
            <w:tcW w:w="2729" w:type="dxa"/>
            <w:tcBorders>
              <w:top w:val="nil"/>
              <w:left w:val="nil"/>
              <w:bottom w:val="nil"/>
              <w:right w:val="nil"/>
            </w:tcBorders>
            <w:vAlign w:val="center"/>
          </w:tcPr>
          <w:p w14:paraId="7AA56E5C">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Remote mobility/risk monitoring</w:t>
            </w:r>
          </w:p>
        </w:tc>
        <w:tc>
          <w:tcPr>
            <w:tcW w:w="2812" w:type="dxa"/>
            <w:tcBorders>
              <w:top w:val="nil"/>
              <w:left w:val="nil"/>
              <w:bottom w:val="nil"/>
              <w:right w:val="nil"/>
            </w:tcBorders>
            <w:vAlign w:val="center"/>
          </w:tcPr>
          <w:p w14:paraId="3787A819">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False alarms or misses</w:t>
            </w:r>
          </w:p>
        </w:tc>
        <w:tc>
          <w:tcPr>
            <w:tcW w:w="2816" w:type="dxa"/>
            <w:tcBorders>
              <w:top w:val="nil"/>
              <w:left w:val="nil"/>
              <w:bottom w:val="nil"/>
              <w:right w:val="nil"/>
            </w:tcBorders>
            <w:vAlign w:val="center"/>
          </w:tcPr>
          <w:p w14:paraId="6A48977A">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Calibrated confidence; robust labels; plain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language summaries</w:t>
            </w:r>
          </w:p>
        </w:tc>
      </w:tr>
      <w:tr w14:paraId="295C3C09">
        <w:tblPrEx>
          <w:tblCellMar>
            <w:top w:w="43" w:type="dxa"/>
            <w:left w:w="0" w:type="dxa"/>
            <w:bottom w:w="0" w:type="dxa"/>
            <w:right w:w="0" w:type="dxa"/>
          </w:tblCellMar>
        </w:tblPrEx>
        <w:trPr>
          <w:trHeight w:val="811" w:hRule="atLeast"/>
        </w:trPr>
        <w:tc>
          <w:tcPr>
            <w:tcW w:w="1600" w:type="dxa"/>
            <w:tcBorders>
              <w:top w:val="nil"/>
              <w:left w:val="nil"/>
              <w:bottom w:val="nil"/>
              <w:right w:val="nil"/>
            </w:tcBorders>
            <w:vAlign w:val="center"/>
          </w:tcPr>
          <w:p w14:paraId="4D1503F2">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Transport analysts (Secondary)</w:t>
            </w:r>
          </w:p>
        </w:tc>
        <w:tc>
          <w:tcPr>
            <w:tcW w:w="2729" w:type="dxa"/>
            <w:tcBorders>
              <w:top w:val="nil"/>
              <w:left w:val="nil"/>
              <w:bottom w:val="nil"/>
              <w:right w:val="nil"/>
            </w:tcBorders>
            <w:vAlign w:val="center"/>
          </w:tcPr>
          <w:p w14:paraId="3A4546BD">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Infer modes for studies</w:t>
            </w:r>
          </w:p>
        </w:tc>
        <w:tc>
          <w:tcPr>
            <w:tcW w:w="2812" w:type="dxa"/>
            <w:tcBorders>
              <w:top w:val="nil"/>
              <w:left w:val="nil"/>
              <w:bottom w:val="nil"/>
              <w:right w:val="nil"/>
            </w:tcBorders>
            <w:vAlign w:val="center"/>
          </w:tcPr>
          <w:p w14:paraId="0EB782C0">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Weak cross</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dataset results</w:t>
            </w:r>
          </w:p>
        </w:tc>
        <w:tc>
          <w:tcPr>
            <w:tcW w:w="2816" w:type="dxa"/>
            <w:tcBorders>
              <w:top w:val="nil"/>
              <w:left w:val="nil"/>
              <w:bottom w:val="nil"/>
              <w:right w:val="nil"/>
            </w:tcBorders>
            <w:vAlign w:val="center"/>
          </w:tcPr>
          <w:p w14:paraId="311FBB2B">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Evidence and consistent label mapping</w:t>
            </w:r>
          </w:p>
        </w:tc>
      </w:tr>
      <w:tr w14:paraId="05443949">
        <w:tblPrEx>
          <w:tblCellMar>
            <w:top w:w="43" w:type="dxa"/>
            <w:left w:w="0" w:type="dxa"/>
            <w:bottom w:w="0" w:type="dxa"/>
            <w:right w:w="0" w:type="dxa"/>
          </w:tblCellMar>
        </w:tblPrEx>
        <w:trPr>
          <w:trHeight w:val="811" w:hRule="atLeast"/>
        </w:trPr>
        <w:tc>
          <w:tcPr>
            <w:tcW w:w="1600" w:type="dxa"/>
            <w:tcBorders>
              <w:top w:val="nil"/>
              <w:left w:val="nil"/>
              <w:bottom w:val="nil"/>
              <w:right w:val="nil"/>
            </w:tcBorders>
            <w:vAlign w:val="center"/>
          </w:tcPr>
          <w:p w14:paraId="5277EFD3">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App developers (Secondary)</w:t>
            </w:r>
          </w:p>
        </w:tc>
        <w:tc>
          <w:tcPr>
            <w:tcW w:w="2729" w:type="dxa"/>
            <w:tcBorders>
              <w:top w:val="nil"/>
              <w:left w:val="nil"/>
              <w:bottom w:val="nil"/>
              <w:right w:val="nil"/>
            </w:tcBorders>
            <w:vAlign w:val="center"/>
          </w:tcPr>
          <w:p w14:paraId="5E38413A">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Ship features across devices</w:t>
            </w:r>
          </w:p>
        </w:tc>
        <w:tc>
          <w:tcPr>
            <w:tcW w:w="2812" w:type="dxa"/>
            <w:tcBorders>
              <w:top w:val="nil"/>
              <w:left w:val="nil"/>
              <w:bottom w:val="nil"/>
              <w:right w:val="nil"/>
            </w:tcBorders>
            <w:vAlign w:val="center"/>
          </w:tcPr>
          <w:p w14:paraId="2F2B242A">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Uncertain model/energy trade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offs</w:t>
            </w:r>
          </w:p>
        </w:tc>
        <w:tc>
          <w:tcPr>
            <w:tcW w:w="2816" w:type="dxa"/>
            <w:tcBorders>
              <w:top w:val="nil"/>
              <w:left w:val="nil"/>
              <w:bottom w:val="nil"/>
              <w:right w:val="nil"/>
            </w:tcBorders>
            <w:vAlign w:val="center"/>
          </w:tcPr>
          <w:p w14:paraId="25172DC9">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Tested settings with reported latency/energy</w:t>
            </w:r>
          </w:p>
        </w:tc>
      </w:tr>
      <w:tr w14:paraId="263B945E">
        <w:tblPrEx>
          <w:tblCellMar>
            <w:top w:w="43" w:type="dxa"/>
            <w:left w:w="0" w:type="dxa"/>
            <w:bottom w:w="0" w:type="dxa"/>
            <w:right w:w="0" w:type="dxa"/>
          </w:tblCellMar>
        </w:tblPrEx>
        <w:trPr>
          <w:trHeight w:val="619" w:hRule="atLeast"/>
        </w:trPr>
        <w:tc>
          <w:tcPr>
            <w:tcW w:w="1600" w:type="dxa"/>
            <w:tcBorders>
              <w:top w:val="nil"/>
              <w:left w:val="nil"/>
              <w:bottom w:val="nil"/>
              <w:right w:val="nil"/>
            </w:tcBorders>
            <w:vAlign w:val="center"/>
          </w:tcPr>
          <w:p w14:paraId="25566104">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Researchers (Tertiary)</w:t>
            </w:r>
          </w:p>
        </w:tc>
        <w:tc>
          <w:tcPr>
            <w:tcW w:w="2729" w:type="dxa"/>
            <w:tcBorders>
              <w:top w:val="nil"/>
              <w:left w:val="nil"/>
              <w:bottom w:val="nil"/>
              <w:right w:val="nil"/>
            </w:tcBorders>
            <w:vAlign w:val="center"/>
          </w:tcPr>
          <w:p w14:paraId="7DD49278">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Build on solid evidence</w:t>
            </w:r>
          </w:p>
        </w:tc>
        <w:tc>
          <w:tcPr>
            <w:tcW w:w="2812" w:type="dxa"/>
            <w:tcBorders>
              <w:top w:val="nil"/>
              <w:left w:val="nil"/>
              <w:bottom w:val="nil"/>
              <w:right w:val="nil"/>
            </w:tcBorders>
            <w:vAlign w:val="center"/>
          </w:tcPr>
          <w:p w14:paraId="5F03F263">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Inflated scores from lax testing</w:t>
            </w:r>
          </w:p>
        </w:tc>
        <w:tc>
          <w:tcPr>
            <w:tcW w:w="2816" w:type="dxa"/>
            <w:tcBorders>
              <w:top w:val="nil"/>
              <w:left w:val="nil"/>
              <w:bottom w:val="nil"/>
              <w:right w:val="nil"/>
            </w:tcBorders>
            <w:vAlign w:val="center"/>
          </w:tcPr>
          <w:p w14:paraId="3576B647">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Transparent, reusable evaluation recipe</w:t>
            </w:r>
          </w:p>
        </w:tc>
      </w:tr>
      <w:tr w14:paraId="26660C16">
        <w:tblPrEx>
          <w:tblCellMar>
            <w:top w:w="43" w:type="dxa"/>
            <w:left w:w="0" w:type="dxa"/>
            <w:bottom w:w="0" w:type="dxa"/>
            <w:right w:w="0" w:type="dxa"/>
          </w:tblCellMar>
        </w:tblPrEx>
        <w:trPr>
          <w:trHeight w:val="619" w:hRule="atLeast"/>
        </w:trPr>
        <w:tc>
          <w:tcPr>
            <w:tcW w:w="1600" w:type="dxa"/>
            <w:tcBorders>
              <w:top w:val="nil"/>
              <w:left w:val="nil"/>
              <w:bottom w:val="nil"/>
              <w:right w:val="nil"/>
            </w:tcBorders>
            <w:vAlign w:val="center"/>
          </w:tcPr>
          <w:p w14:paraId="56B79411">
            <w:pPr>
              <w:jc w:val="center"/>
              <w:rPr>
                <w:rStyle w:val="8"/>
                <w:rFonts w:ascii="Times New Roman" w:hAnsi="Times New Roman" w:eastAsia="宋体" w:cs="Times New Roman"/>
                <w:sz w:val="18"/>
                <w:szCs w:val="18"/>
                <w:lang w:eastAsia="zh-CN" w:bidi="ar"/>
              </w:rPr>
            </w:pPr>
            <w:r>
              <w:rPr>
                <w:rStyle w:val="8"/>
                <w:rFonts w:ascii="Times New Roman" w:hAnsi="Times New Roman" w:eastAsia="宋体" w:cs="Times New Roman"/>
                <w:sz w:val="18"/>
                <w:szCs w:val="18"/>
                <w:lang w:eastAsia="zh-CN" w:bidi="ar"/>
              </w:rPr>
              <w:t>Model developer(Tertiary)</w:t>
            </w:r>
          </w:p>
        </w:tc>
        <w:tc>
          <w:tcPr>
            <w:tcW w:w="2729" w:type="dxa"/>
            <w:tcBorders>
              <w:top w:val="nil"/>
              <w:left w:val="nil"/>
              <w:bottom w:val="nil"/>
              <w:right w:val="nil"/>
            </w:tcBorders>
            <w:vAlign w:val="center"/>
          </w:tcPr>
          <w:p w14:paraId="5BB839AC">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Develop new algorithms, models, architectures and paradigms</w:t>
            </w:r>
          </w:p>
        </w:tc>
        <w:tc>
          <w:tcPr>
            <w:tcW w:w="2812" w:type="dxa"/>
            <w:tcBorders>
              <w:top w:val="nil"/>
              <w:left w:val="nil"/>
              <w:bottom w:val="nil"/>
              <w:right w:val="nil"/>
            </w:tcBorders>
            <w:vAlign w:val="center"/>
          </w:tcPr>
          <w:p w14:paraId="45897219">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Rigorous, comprehensive experiments are scarce; baseline comparisons are inadequate; the model architecture exhibits limited interpretability.</w:t>
            </w:r>
          </w:p>
          <w:p w14:paraId="44EAF12A">
            <w:pPr>
              <w:jc w:val="center"/>
              <w:rPr>
                <w:rFonts w:ascii="Times New Roman" w:hAnsi="Times New Roman" w:eastAsia="宋体" w:cs="Times New Roman"/>
                <w:sz w:val="18"/>
                <w:szCs w:val="18"/>
                <w:lang w:eastAsia="zh-CN" w:bidi="ar"/>
              </w:rPr>
            </w:pPr>
          </w:p>
        </w:tc>
        <w:tc>
          <w:tcPr>
            <w:tcW w:w="2816" w:type="dxa"/>
            <w:tcBorders>
              <w:top w:val="nil"/>
              <w:left w:val="nil"/>
              <w:bottom w:val="nil"/>
              <w:right w:val="nil"/>
            </w:tcBorders>
            <w:vAlign w:val="center"/>
          </w:tcPr>
          <w:p w14:paraId="0432A80F">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Stimulate and broaden new directions for research and development</w:t>
            </w:r>
          </w:p>
        </w:tc>
      </w:tr>
    </w:tbl>
    <w:p w14:paraId="33EA6A28">
      <w:pPr>
        <w:pStyle w:val="2"/>
        <w:spacing w:before="196" w:line="344" w:lineRule="auto"/>
        <w:ind w:right="54"/>
        <w:rPr>
          <w:rFonts w:eastAsia="宋体"/>
        </w:rPr>
      </w:pPr>
    </w:p>
    <w:p w14:paraId="42F742EB">
      <w:pPr>
        <w:pStyle w:val="2"/>
        <w:spacing w:before="196" w:line="344" w:lineRule="auto"/>
        <w:ind w:right="54"/>
        <w:rPr>
          <w:rFonts w:eastAsia="宋体"/>
        </w:rPr>
      </w:pPr>
    </w:p>
    <w:p w14:paraId="22CF08AA">
      <w:pPr>
        <w:pStyle w:val="2"/>
        <w:spacing w:before="196" w:line="344" w:lineRule="auto"/>
        <w:ind w:right="54"/>
        <w:rPr>
          <w:rFonts w:eastAsia="宋体"/>
        </w:rPr>
      </w:pPr>
    </w:p>
    <w:p w14:paraId="7B8C2CAF">
      <w:pPr>
        <w:pStyle w:val="2"/>
        <w:spacing w:before="196" w:line="344" w:lineRule="auto"/>
        <w:ind w:right="54"/>
        <w:rPr>
          <w:rFonts w:eastAsia="宋体"/>
        </w:rPr>
      </w:pPr>
    </w:p>
    <w:p w14:paraId="4B9B27FD">
      <w:pPr>
        <w:pStyle w:val="2"/>
        <w:spacing w:before="196" w:line="344" w:lineRule="auto"/>
        <w:ind w:right="54"/>
        <w:rPr>
          <w:rFonts w:eastAsia="宋体"/>
        </w:rPr>
      </w:pPr>
    </w:p>
    <w:p w14:paraId="1A59FCD7">
      <w:pPr>
        <w:pStyle w:val="2"/>
        <w:spacing w:before="196" w:line="344" w:lineRule="auto"/>
        <w:ind w:left="364" w:right="54" w:hanging="368" w:hangingChars="200"/>
        <w:jc w:val="center"/>
        <w:rPr>
          <w:sz w:val="18"/>
          <w:szCs w:val="18"/>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5</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Requirements and acceptance checks</w:t>
      </w:r>
    </w:p>
    <w:tbl>
      <w:tblPr>
        <w:tblStyle w:val="13"/>
        <w:tblpPr w:leftFromText="180" w:rightFromText="180" w:vertAnchor="text" w:horzAnchor="page" w:tblpX="1534" w:tblpY="23"/>
        <w:tblOverlap w:val="never"/>
        <w:tblW w:w="9159" w:type="dxa"/>
        <w:tblInd w:w="0" w:type="dxa"/>
        <w:tblLayout w:type="autofit"/>
        <w:tblCellMar>
          <w:top w:w="43" w:type="dxa"/>
          <w:left w:w="0" w:type="dxa"/>
          <w:bottom w:w="0" w:type="dxa"/>
          <w:right w:w="0" w:type="dxa"/>
        </w:tblCellMar>
      </w:tblPr>
      <w:tblGrid>
        <w:gridCol w:w="1951"/>
        <w:gridCol w:w="4475"/>
        <w:gridCol w:w="2733"/>
      </w:tblGrid>
      <w:tr w14:paraId="68EDA2D1">
        <w:tblPrEx>
          <w:tblCellMar>
            <w:top w:w="43" w:type="dxa"/>
            <w:left w:w="0" w:type="dxa"/>
            <w:bottom w:w="0" w:type="dxa"/>
            <w:right w:w="0" w:type="dxa"/>
          </w:tblCellMar>
        </w:tblPrEx>
        <w:trPr>
          <w:trHeight w:val="789" w:hRule="atLeast"/>
        </w:trPr>
        <w:tc>
          <w:tcPr>
            <w:tcW w:w="1951" w:type="dxa"/>
            <w:tcBorders>
              <w:top w:val="single" w:color="000000" w:sz="6" w:space="0"/>
              <w:left w:val="nil"/>
              <w:bottom w:val="single" w:color="000000" w:sz="4" w:space="0"/>
              <w:right w:val="nil"/>
            </w:tcBorders>
            <w:vAlign w:val="center"/>
          </w:tcPr>
          <w:p w14:paraId="0945751D">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Requirement</w:t>
            </w:r>
          </w:p>
        </w:tc>
        <w:tc>
          <w:tcPr>
            <w:tcW w:w="4475" w:type="dxa"/>
            <w:tcBorders>
              <w:top w:val="single" w:color="000000" w:sz="6" w:space="0"/>
              <w:left w:val="nil"/>
              <w:bottom w:val="single" w:color="000000" w:sz="4" w:space="0"/>
              <w:right w:val="nil"/>
            </w:tcBorders>
            <w:vAlign w:val="center"/>
          </w:tcPr>
          <w:p w14:paraId="48AA8511">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Why it matters</w:t>
            </w:r>
          </w:p>
        </w:tc>
        <w:tc>
          <w:tcPr>
            <w:tcW w:w="2733" w:type="dxa"/>
            <w:tcBorders>
              <w:top w:val="single" w:color="000000" w:sz="6" w:space="0"/>
              <w:left w:val="nil"/>
              <w:bottom w:val="single" w:color="000000" w:sz="4" w:space="0"/>
              <w:right w:val="nil"/>
            </w:tcBorders>
            <w:vAlign w:val="center"/>
          </w:tcPr>
          <w:p w14:paraId="50BFCB78">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Acceptance check</w:t>
            </w:r>
          </w:p>
        </w:tc>
      </w:tr>
      <w:tr w14:paraId="07078D0A">
        <w:tblPrEx>
          <w:tblCellMar>
            <w:top w:w="43" w:type="dxa"/>
            <w:left w:w="0" w:type="dxa"/>
            <w:bottom w:w="0" w:type="dxa"/>
            <w:right w:w="0" w:type="dxa"/>
          </w:tblCellMar>
        </w:tblPrEx>
        <w:trPr>
          <w:trHeight w:val="1067" w:hRule="atLeast"/>
        </w:trPr>
        <w:tc>
          <w:tcPr>
            <w:tcW w:w="1951" w:type="dxa"/>
            <w:tcBorders>
              <w:top w:val="single" w:color="000000" w:sz="4" w:space="0"/>
              <w:left w:val="nil"/>
              <w:bottom w:val="nil"/>
              <w:right w:val="nil"/>
            </w:tcBorders>
            <w:vAlign w:val="center"/>
          </w:tcPr>
          <w:p w14:paraId="7F8C1F29">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Generalises to new people &amp; carry styles</w:t>
            </w:r>
          </w:p>
        </w:tc>
        <w:tc>
          <w:tcPr>
            <w:tcW w:w="4475" w:type="dxa"/>
            <w:tcBorders>
              <w:top w:val="single" w:color="000000" w:sz="4" w:space="0"/>
              <w:left w:val="nil"/>
              <w:bottom w:val="nil"/>
              <w:right w:val="nil"/>
            </w:tcBorders>
            <w:vAlign w:val="center"/>
          </w:tcPr>
          <w:p w14:paraId="3D947609">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Real users are unseen and carry phones differently</w:t>
            </w:r>
          </w:p>
        </w:tc>
        <w:tc>
          <w:tcPr>
            <w:tcW w:w="2733" w:type="dxa"/>
            <w:tcBorders>
              <w:top w:val="single" w:color="000000" w:sz="4" w:space="0"/>
              <w:left w:val="nil"/>
              <w:bottom w:val="nil"/>
              <w:right w:val="nil"/>
            </w:tcBorders>
            <w:vAlign w:val="center"/>
          </w:tcPr>
          <w:p w14:paraId="038100C7">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Person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held</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out (LOSO) and train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on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A/test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on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B; include hand/pocket/bag splits; </w:t>
            </w:r>
            <w:r>
              <w:rPr>
                <w:rStyle w:val="8"/>
                <w:rFonts w:ascii="Times New Roman" w:hAnsi="Times New Roman" w:eastAsia="宋体" w:cs="Times New Roman"/>
                <w:sz w:val="18"/>
                <w:szCs w:val="18"/>
                <w:lang w:eastAsia="zh-CN" w:bidi="ar"/>
              </w:rPr>
              <w:t>fairness:</w:t>
            </w:r>
            <w:r>
              <w:rPr>
                <w:rFonts w:ascii="Times New Roman" w:hAnsi="Times New Roman" w:eastAsia="宋体" w:cs="Times New Roman"/>
                <w:sz w:val="18"/>
                <w:szCs w:val="18"/>
                <w:lang w:eastAsia="zh-CN" w:bidi="ar"/>
              </w:rPr>
              <w:t xml:space="preserve"> gaps across age/sex/wear</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style ≤ </w:t>
            </w:r>
            <w:r>
              <w:rPr>
                <w:rStyle w:val="8"/>
                <w:rFonts w:ascii="Times New Roman" w:hAnsi="Times New Roman" w:eastAsia="宋体" w:cs="Times New Roman"/>
                <w:sz w:val="18"/>
                <w:szCs w:val="18"/>
                <w:lang w:eastAsia="zh-CN" w:bidi="ar"/>
              </w:rPr>
              <w:t>5 pp</w:t>
            </w:r>
            <w:r>
              <w:rPr>
                <w:rFonts w:ascii="Times New Roman" w:hAnsi="Times New Roman" w:eastAsia="宋体" w:cs="Times New Roman"/>
                <w:sz w:val="18"/>
                <w:szCs w:val="18"/>
                <w:lang w:eastAsia="zh-CN" w:bidi="ar"/>
              </w:rPr>
              <w:t>.</w:t>
            </w:r>
          </w:p>
        </w:tc>
      </w:tr>
      <w:tr w14:paraId="7A5C6252">
        <w:tblPrEx>
          <w:tblCellMar>
            <w:top w:w="43" w:type="dxa"/>
            <w:left w:w="0" w:type="dxa"/>
            <w:bottom w:w="0" w:type="dxa"/>
            <w:right w:w="0" w:type="dxa"/>
          </w:tblCellMar>
        </w:tblPrEx>
        <w:trPr>
          <w:trHeight w:val="1038" w:hRule="atLeast"/>
        </w:trPr>
        <w:tc>
          <w:tcPr>
            <w:tcW w:w="1951" w:type="dxa"/>
            <w:tcBorders>
              <w:top w:val="nil"/>
              <w:left w:val="nil"/>
              <w:bottom w:val="nil"/>
              <w:right w:val="nil"/>
            </w:tcBorders>
            <w:vAlign w:val="center"/>
          </w:tcPr>
          <w:p w14:paraId="47BA7BB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Honest uncertainty &amp; calibration</w:t>
            </w:r>
          </w:p>
        </w:tc>
        <w:tc>
          <w:tcPr>
            <w:tcW w:w="4475" w:type="dxa"/>
            <w:tcBorders>
              <w:top w:val="nil"/>
              <w:left w:val="nil"/>
              <w:bottom w:val="nil"/>
              <w:right w:val="nil"/>
            </w:tcBorders>
            <w:vAlign w:val="center"/>
          </w:tcPr>
          <w:p w14:paraId="582824F1">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Prevents misleading decisions</w:t>
            </w:r>
          </w:p>
        </w:tc>
        <w:tc>
          <w:tcPr>
            <w:tcW w:w="2733" w:type="dxa"/>
            <w:tcBorders>
              <w:top w:val="nil"/>
              <w:left w:val="nil"/>
              <w:bottom w:val="nil"/>
              <w:right w:val="nil"/>
            </w:tcBorders>
            <w:vAlign w:val="center"/>
          </w:tcPr>
          <w:p w14:paraId="171E241E">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Small prediction sets; true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label coverage ≥ </w:t>
            </w:r>
            <w:r>
              <w:rPr>
                <w:rStyle w:val="8"/>
                <w:rFonts w:ascii="Times New Roman" w:hAnsi="Times New Roman" w:eastAsia="宋体" w:cs="Times New Roman"/>
                <w:sz w:val="18"/>
                <w:szCs w:val="18"/>
                <w:lang w:eastAsia="zh-CN" w:bidi="ar"/>
              </w:rPr>
              <w:t>90%</w:t>
            </w:r>
            <w:r>
              <w:rPr>
                <w:rFonts w:ascii="Times New Roman" w:hAnsi="Times New Roman" w:eastAsia="宋体" w:cs="Times New Roman"/>
                <w:sz w:val="18"/>
                <w:szCs w:val="18"/>
                <w:lang w:eastAsia="zh-CN" w:bidi="ar"/>
              </w:rPr>
              <w:t xml:space="preserve">; calibration error (ECE) ≤ </w:t>
            </w:r>
            <w:r>
              <w:rPr>
                <w:rStyle w:val="8"/>
                <w:rFonts w:ascii="Times New Roman" w:hAnsi="Times New Roman" w:eastAsia="宋体" w:cs="Times New Roman"/>
                <w:sz w:val="18"/>
                <w:szCs w:val="18"/>
                <w:lang w:eastAsia="zh-CN" w:bidi="ar"/>
              </w:rPr>
              <w:t>0.05</w:t>
            </w:r>
            <w:r>
              <w:rPr>
                <w:rFonts w:ascii="Times New Roman" w:hAnsi="Times New Roman" w:eastAsia="宋体" w:cs="Times New Roman"/>
                <w:sz w:val="18"/>
                <w:szCs w:val="18"/>
                <w:lang w:eastAsia="zh-CN" w:bidi="ar"/>
              </w:rPr>
              <w:t xml:space="preserve"> (confidence ≈ observed accuracy).</w:t>
            </w:r>
          </w:p>
        </w:tc>
      </w:tr>
      <w:tr w14:paraId="389A999A">
        <w:tblPrEx>
          <w:tblCellMar>
            <w:top w:w="43" w:type="dxa"/>
            <w:left w:w="0" w:type="dxa"/>
            <w:bottom w:w="0" w:type="dxa"/>
            <w:right w:w="0" w:type="dxa"/>
          </w:tblCellMar>
        </w:tblPrEx>
        <w:trPr>
          <w:trHeight w:val="854" w:hRule="atLeast"/>
        </w:trPr>
        <w:tc>
          <w:tcPr>
            <w:tcW w:w="1951" w:type="dxa"/>
            <w:tcBorders>
              <w:top w:val="nil"/>
              <w:left w:val="nil"/>
              <w:bottom w:val="nil"/>
              <w:right w:val="nil"/>
            </w:tcBorders>
            <w:vAlign w:val="center"/>
          </w:tcPr>
          <w:p w14:paraId="4534D24F">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Energy &amp; speed on mid</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range phones</w:t>
            </w:r>
          </w:p>
        </w:tc>
        <w:tc>
          <w:tcPr>
            <w:tcW w:w="4475" w:type="dxa"/>
            <w:tcBorders>
              <w:top w:val="nil"/>
              <w:left w:val="nil"/>
              <w:bottom w:val="nil"/>
              <w:right w:val="nil"/>
            </w:tcBorders>
            <w:vAlign w:val="center"/>
          </w:tcPr>
          <w:p w14:paraId="1674F78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Avoid drain and lag</w:t>
            </w:r>
          </w:p>
        </w:tc>
        <w:tc>
          <w:tcPr>
            <w:tcW w:w="2733" w:type="dxa"/>
            <w:tcBorders>
              <w:top w:val="nil"/>
              <w:left w:val="nil"/>
              <w:bottom w:val="nil"/>
              <w:right w:val="nil"/>
            </w:tcBorders>
            <w:vAlign w:val="center"/>
          </w:tcPr>
          <w:p w14:paraId="204956FB">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2×</w:t>
            </w:r>
            <w:r>
              <w:rPr>
                <w:rFonts w:ascii="Times New Roman" w:hAnsi="Times New Roman" w:eastAsia="宋体" w:cs="Times New Roman"/>
                <w:sz w:val="18"/>
                <w:szCs w:val="18"/>
                <w:lang w:eastAsia="zh-CN" w:bidi="ar"/>
              </w:rPr>
              <w:t xml:space="preserve"> efficiency with ≤ </w:t>
            </w:r>
            <w:r>
              <w:rPr>
                <w:rStyle w:val="8"/>
                <w:rFonts w:ascii="Times New Roman" w:hAnsi="Times New Roman" w:eastAsia="宋体" w:cs="Times New Roman"/>
                <w:sz w:val="18"/>
                <w:szCs w:val="18"/>
                <w:lang w:eastAsia="zh-CN" w:bidi="ar"/>
              </w:rPr>
              <w:t>1</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point</w:t>
            </w:r>
            <w:r>
              <w:rPr>
                <w:rFonts w:ascii="Times New Roman" w:hAnsi="Times New Roman" w:eastAsia="宋体" w:cs="Times New Roman"/>
                <w:sz w:val="18"/>
                <w:szCs w:val="18"/>
                <w:lang w:eastAsia="zh-CN" w:bidi="ar"/>
              </w:rPr>
              <w:t xml:space="preserve"> accuracy drop; report mWh/hour and end</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to</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end latency (≤ </w:t>
            </w:r>
            <w:r>
              <w:rPr>
                <w:rStyle w:val="8"/>
                <w:rFonts w:ascii="Times New Roman" w:hAnsi="Times New Roman" w:eastAsia="宋体" w:cs="Times New Roman"/>
                <w:sz w:val="18"/>
                <w:szCs w:val="18"/>
                <w:lang w:eastAsia="zh-CN" w:bidi="ar"/>
              </w:rPr>
              <w:t>200 ms</w:t>
            </w:r>
            <w:r>
              <w:rPr>
                <w:rFonts w:ascii="Times New Roman" w:hAnsi="Times New Roman" w:eastAsia="宋体" w:cs="Times New Roman"/>
                <w:sz w:val="18"/>
                <w:szCs w:val="18"/>
                <w:lang w:eastAsia="zh-CN" w:bidi="ar"/>
              </w:rPr>
              <w:t>).</w:t>
            </w:r>
          </w:p>
        </w:tc>
      </w:tr>
      <w:tr w14:paraId="4F43998B">
        <w:tblPrEx>
          <w:tblCellMar>
            <w:top w:w="43" w:type="dxa"/>
            <w:left w:w="0" w:type="dxa"/>
            <w:bottom w:w="0" w:type="dxa"/>
            <w:right w:w="0" w:type="dxa"/>
          </w:tblCellMar>
        </w:tblPrEx>
        <w:trPr>
          <w:trHeight w:val="671" w:hRule="atLeast"/>
        </w:trPr>
        <w:tc>
          <w:tcPr>
            <w:tcW w:w="1951" w:type="dxa"/>
            <w:tcBorders>
              <w:top w:val="nil"/>
              <w:left w:val="nil"/>
              <w:bottom w:val="nil"/>
              <w:right w:val="nil"/>
            </w:tcBorders>
            <w:vAlign w:val="center"/>
          </w:tcPr>
          <w:p w14:paraId="1E036830">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Consistent, clear labels</w:t>
            </w:r>
          </w:p>
        </w:tc>
        <w:tc>
          <w:tcPr>
            <w:tcW w:w="4475" w:type="dxa"/>
            <w:tcBorders>
              <w:top w:val="nil"/>
              <w:left w:val="nil"/>
              <w:bottom w:val="nil"/>
              <w:right w:val="nil"/>
            </w:tcBorders>
            <w:vAlign w:val="center"/>
          </w:tcPr>
          <w:p w14:paraId="03C0B89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Reduce user confusion</w:t>
            </w:r>
          </w:p>
        </w:tc>
        <w:tc>
          <w:tcPr>
            <w:tcW w:w="2733" w:type="dxa"/>
            <w:tcBorders>
              <w:top w:val="nil"/>
              <w:left w:val="nil"/>
              <w:bottom w:val="nil"/>
              <w:right w:val="nil"/>
            </w:tcBorders>
            <w:vAlign w:val="center"/>
          </w:tcPr>
          <w:p w14:paraId="1376CA8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Map label definitions across datasets; describe in everyday terms; publish glossary.</w:t>
            </w:r>
          </w:p>
        </w:tc>
      </w:tr>
      <w:tr w14:paraId="645C0310">
        <w:tblPrEx>
          <w:tblCellMar>
            <w:top w:w="43" w:type="dxa"/>
            <w:left w:w="0" w:type="dxa"/>
            <w:bottom w:w="0" w:type="dxa"/>
            <w:right w:w="0" w:type="dxa"/>
          </w:tblCellMar>
        </w:tblPrEx>
        <w:trPr>
          <w:trHeight w:val="854" w:hRule="atLeast"/>
        </w:trPr>
        <w:tc>
          <w:tcPr>
            <w:tcW w:w="1951" w:type="dxa"/>
            <w:tcBorders>
              <w:top w:val="nil"/>
              <w:left w:val="nil"/>
              <w:bottom w:val="nil"/>
              <w:right w:val="nil"/>
            </w:tcBorders>
            <w:vAlign w:val="center"/>
          </w:tcPr>
          <w:p w14:paraId="6F664BCD">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Privacy</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aware by design</w:t>
            </w:r>
          </w:p>
        </w:tc>
        <w:tc>
          <w:tcPr>
            <w:tcW w:w="4475" w:type="dxa"/>
            <w:tcBorders>
              <w:top w:val="nil"/>
              <w:left w:val="nil"/>
              <w:bottom w:val="nil"/>
              <w:right w:val="nil"/>
            </w:tcBorders>
            <w:vAlign w:val="center"/>
          </w:tcPr>
          <w:p w14:paraId="4276DD4D">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Motion/location are sensitive</w:t>
            </w:r>
          </w:p>
        </w:tc>
        <w:tc>
          <w:tcPr>
            <w:tcW w:w="2733" w:type="dxa"/>
            <w:tcBorders>
              <w:top w:val="nil"/>
              <w:left w:val="nil"/>
              <w:bottom w:val="nil"/>
              <w:right w:val="nil"/>
            </w:tcBorders>
            <w:vAlign w:val="center"/>
          </w:tcPr>
          <w:p w14:paraId="6514A71D">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On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device by default; raw data retention ≤ </w:t>
            </w:r>
            <w:r>
              <w:rPr>
                <w:rStyle w:val="8"/>
                <w:rFonts w:ascii="Times New Roman" w:hAnsi="Times New Roman" w:eastAsia="宋体" w:cs="Times New Roman"/>
                <w:sz w:val="18"/>
                <w:szCs w:val="18"/>
                <w:lang w:eastAsia="zh-CN" w:bidi="ar"/>
              </w:rPr>
              <w:t>24 h</w:t>
            </w:r>
            <w:r>
              <w:rPr>
                <w:rFonts w:ascii="Times New Roman" w:hAnsi="Times New Roman" w:eastAsia="宋体" w:cs="Times New Roman"/>
                <w:sz w:val="18"/>
                <w:szCs w:val="18"/>
                <w:lang w:eastAsia="zh-CN" w:bidi="ar"/>
              </w:rPr>
              <w:t xml:space="preserve">; no GPS unless required, with ≤ </w:t>
            </w:r>
            <w:r>
              <w:rPr>
                <w:rStyle w:val="8"/>
                <w:rFonts w:ascii="Times New Roman" w:hAnsi="Times New Roman" w:eastAsia="宋体" w:cs="Times New Roman"/>
                <w:sz w:val="18"/>
                <w:szCs w:val="18"/>
                <w:lang w:eastAsia="zh-CN" w:bidi="ar"/>
              </w:rPr>
              <w:t>1</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point</w:t>
            </w:r>
            <w:r>
              <w:rPr>
                <w:rFonts w:ascii="Times New Roman" w:hAnsi="Times New Roman" w:eastAsia="宋体" w:cs="Times New Roman"/>
                <w:sz w:val="18"/>
                <w:szCs w:val="18"/>
                <w:lang w:eastAsia="zh-CN" w:bidi="ar"/>
              </w:rPr>
              <w:t xml:space="preserve"> accuracy loss.</w:t>
            </w:r>
          </w:p>
        </w:tc>
      </w:tr>
      <w:tr w14:paraId="676CD4AD">
        <w:tblPrEx>
          <w:tblCellMar>
            <w:top w:w="43" w:type="dxa"/>
            <w:left w:w="0" w:type="dxa"/>
            <w:bottom w:w="0" w:type="dxa"/>
            <w:right w:w="0" w:type="dxa"/>
          </w:tblCellMar>
        </w:tblPrEx>
        <w:trPr>
          <w:trHeight w:val="671" w:hRule="atLeast"/>
        </w:trPr>
        <w:tc>
          <w:tcPr>
            <w:tcW w:w="1951" w:type="dxa"/>
            <w:tcBorders>
              <w:top w:val="nil"/>
              <w:left w:val="nil"/>
              <w:bottom w:val="nil"/>
              <w:right w:val="nil"/>
            </w:tcBorders>
            <w:vAlign w:val="center"/>
          </w:tcPr>
          <w:p w14:paraId="38EE5C7F">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Lay</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friendly communication</w:t>
            </w:r>
          </w:p>
        </w:tc>
        <w:tc>
          <w:tcPr>
            <w:tcW w:w="4475" w:type="dxa"/>
            <w:tcBorders>
              <w:top w:val="nil"/>
              <w:left w:val="nil"/>
              <w:bottom w:val="nil"/>
              <w:right w:val="nil"/>
            </w:tcBorders>
            <w:vAlign w:val="center"/>
          </w:tcPr>
          <w:p w14:paraId="2B5F4C41">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Wider audience and safer use</w:t>
            </w:r>
          </w:p>
        </w:tc>
        <w:tc>
          <w:tcPr>
            <w:tcW w:w="2733" w:type="dxa"/>
            <w:tcBorders>
              <w:top w:val="nil"/>
              <w:left w:val="nil"/>
              <w:bottom w:val="nil"/>
              <w:right w:val="nil"/>
            </w:tcBorders>
            <w:vAlign w:val="center"/>
          </w:tcPr>
          <w:p w14:paraId="01FD2479">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 xml:space="preserve">Readability ≤ </w:t>
            </w:r>
            <w:r>
              <w:rPr>
                <w:rStyle w:val="8"/>
                <w:rFonts w:ascii="Times New Roman" w:hAnsi="Times New Roman" w:eastAsia="宋体" w:cs="Times New Roman"/>
                <w:sz w:val="18"/>
                <w:szCs w:val="18"/>
                <w:lang w:eastAsia="zh-CN" w:bidi="ar"/>
              </w:rPr>
              <w:t>Grade 8</w:t>
            </w:r>
            <w:r>
              <w:rPr>
                <w:rFonts w:ascii="Times New Roman" w:hAnsi="Times New Roman" w:eastAsia="宋体" w:cs="Times New Roman"/>
                <w:sz w:val="18"/>
                <w:szCs w:val="18"/>
                <w:lang w:eastAsia="zh-CN" w:bidi="ar"/>
              </w:rPr>
              <w:t>; 6–8 lay</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person walkthroughs with ≥ </w:t>
            </w:r>
            <w:r>
              <w:rPr>
                <w:rStyle w:val="8"/>
                <w:rFonts w:ascii="Times New Roman" w:hAnsi="Times New Roman" w:eastAsia="宋体" w:cs="Times New Roman"/>
                <w:sz w:val="18"/>
                <w:szCs w:val="18"/>
                <w:lang w:eastAsia="zh-CN" w:bidi="ar"/>
              </w:rPr>
              <w:t>80%</w:t>
            </w:r>
            <w:r>
              <w:rPr>
                <w:rFonts w:ascii="Times New Roman" w:hAnsi="Times New Roman" w:eastAsia="宋体" w:cs="Times New Roman"/>
                <w:sz w:val="18"/>
                <w:szCs w:val="18"/>
                <w:lang w:eastAsia="zh-CN" w:bidi="ar"/>
              </w:rPr>
              <w:t xml:space="preserve"> correct interpretation.</w:t>
            </w:r>
          </w:p>
        </w:tc>
      </w:tr>
    </w:tbl>
    <w:p w14:paraId="5527DCD2">
      <w:pPr>
        <w:pStyle w:val="2"/>
        <w:spacing w:before="198" w:line="344" w:lineRule="auto"/>
        <w:rPr>
          <w:sz w:val="24"/>
          <w:szCs w:val="24"/>
        </w:rPr>
      </w:pPr>
    </w:p>
    <w:p w14:paraId="754F4B50">
      <w:pPr>
        <w:pStyle w:val="2"/>
        <w:spacing w:before="198" w:line="344" w:lineRule="auto"/>
        <w:rPr>
          <w:sz w:val="24"/>
          <w:szCs w:val="24"/>
        </w:rPr>
      </w:pPr>
    </w:p>
    <w:p w14:paraId="7E0932E5">
      <w:pPr>
        <w:pStyle w:val="2"/>
        <w:spacing w:before="198" w:line="344" w:lineRule="auto"/>
        <w:rPr>
          <w:sz w:val="24"/>
          <w:szCs w:val="24"/>
        </w:rPr>
      </w:pPr>
    </w:p>
    <w:p w14:paraId="41F27EB1">
      <w:pPr>
        <w:pStyle w:val="2"/>
        <w:spacing w:before="198" w:line="344" w:lineRule="auto"/>
        <w:rPr>
          <w:sz w:val="24"/>
          <w:szCs w:val="24"/>
        </w:rPr>
      </w:pPr>
    </w:p>
    <w:p w14:paraId="0EF31DC0">
      <w:pPr>
        <w:pStyle w:val="2"/>
        <w:spacing w:before="198" w:line="344" w:lineRule="auto"/>
        <w:rPr>
          <w:sz w:val="24"/>
          <w:szCs w:val="24"/>
        </w:rPr>
      </w:pPr>
    </w:p>
    <w:p w14:paraId="1FC9133D">
      <w:pPr>
        <w:pStyle w:val="2"/>
        <w:spacing w:before="198" w:line="344" w:lineRule="auto"/>
        <w:rPr>
          <w:sz w:val="24"/>
          <w:szCs w:val="24"/>
        </w:rPr>
      </w:pPr>
    </w:p>
    <w:p w14:paraId="7FF3BF62">
      <w:pPr>
        <w:pStyle w:val="2"/>
        <w:spacing w:before="198" w:line="344" w:lineRule="auto"/>
        <w:rPr>
          <w:sz w:val="24"/>
          <w:szCs w:val="24"/>
        </w:rPr>
      </w:pPr>
    </w:p>
    <w:p w14:paraId="45020398">
      <w:pPr>
        <w:pStyle w:val="2"/>
        <w:spacing w:before="198" w:line="344" w:lineRule="auto"/>
        <w:rPr>
          <w:sz w:val="24"/>
          <w:szCs w:val="24"/>
        </w:rPr>
      </w:pPr>
    </w:p>
    <w:p w14:paraId="7950B4C2">
      <w:pPr>
        <w:pStyle w:val="2"/>
        <w:spacing w:before="198" w:line="344" w:lineRule="auto"/>
        <w:rPr>
          <w:sz w:val="24"/>
          <w:szCs w:val="24"/>
        </w:rPr>
      </w:pPr>
    </w:p>
    <w:p w14:paraId="28336ED0">
      <w:pPr>
        <w:pStyle w:val="2"/>
        <w:spacing w:before="198" w:line="344" w:lineRule="auto"/>
        <w:rPr>
          <w:sz w:val="24"/>
          <w:szCs w:val="24"/>
        </w:rPr>
      </w:pPr>
    </w:p>
    <w:p w14:paraId="582EF09C">
      <w:pPr>
        <w:pStyle w:val="2"/>
        <w:spacing w:before="198" w:line="344" w:lineRule="auto"/>
        <w:rPr>
          <w:sz w:val="24"/>
          <w:szCs w:val="24"/>
        </w:rPr>
      </w:pPr>
    </w:p>
    <w:p w14:paraId="1BD182B7">
      <w:pPr>
        <w:pStyle w:val="2"/>
        <w:spacing w:before="198" w:line="344" w:lineRule="auto"/>
        <w:rPr>
          <w:sz w:val="24"/>
          <w:szCs w:val="24"/>
        </w:rPr>
      </w:pPr>
    </w:p>
    <w:p w14:paraId="4F906B7D">
      <w:pPr>
        <w:pStyle w:val="2"/>
        <w:spacing w:before="198" w:line="344" w:lineRule="auto"/>
        <w:rPr>
          <w:sz w:val="24"/>
          <w:szCs w:val="24"/>
        </w:rPr>
      </w:pPr>
    </w:p>
    <w:p w14:paraId="72787F69">
      <w:pPr>
        <w:pStyle w:val="2"/>
        <w:spacing w:before="196" w:line="344" w:lineRule="auto"/>
        <w:ind w:left="364" w:right="54" w:hanging="368" w:hangingChars="200"/>
        <w:jc w:val="center"/>
        <w:rPr>
          <w:sz w:val="24"/>
          <w:szCs w:val="24"/>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6</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Requirements → acceptance &amp; measurement (pass/fail)</w:t>
      </w:r>
    </w:p>
    <w:tbl>
      <w:tblPr>
        <w:tblStyle w:val="13"/>
        <w:tblpPr w:leftFromText="180" w:rightFromText="180" w:vertAnchor="text" w:horzAnchor="page" w:tblpX="1534" w:tblpY="23"/>
        <w:tblOverlap w:val="never"/>
        <w:tblW w:w="9938" w:type="dxa"/>
        <w:tblInd w:w="0" w:type="dxa"/>
        <w:tblLayout w:type="autofit"/>
        <w:tblCellMar>
          <w:top w:w="43" w:type="dxa"/>
          <w:left w:w="0" w:type="dxa"/>
          <w:bottom w:w="0" w:type="dxa"/>
          <w:right w:w="0" w:type="dxa"/>
        </w:tblCellMar>
      </w:tblPr>
      <w:tblGrid>
        <w:gridCol w:w="2118"/>
        <w:gridCol w:w="4856"/>
        <w:gridCol w:w="2964"/>
      </w:tblGrid>
      <w:tr w14:paraId="7D54BAD1">
        <w:tblPrEx>
          <w:tblCellMar>
            <w:top w:w="43" w:type="dxa"/>
            <w:left w:w="0" w:type="dxa"/>
            <w:bottom w:w="0" w:type="dxa"/>
            <w:right w:w="0" w:type="dxa"/>
          </w:tblCellMar>
        </w:tblPrEx>
        <w:trPr>
          <w:trHeight w:val="776" w:hRule="atLeast"/>
        </w:trPr>
        <w:tc>
          <w:tcPr>
            <w:tcW w:w="2118" w:type="dxa"/>
            <w:tcBorders>
              <w:top w:val="single" w:color="000000" w:sz="6" w:space="0"/>
              <w:left w:val="nil"/>
              <w:bottom w:val="single" w:color="000000" w:sz="4" w:space="0"/>
              <w:right w:val="nil"/>
            </w:tcBorders>
            <w:vAlign w:val="center"/>
          </w:tcPr>
          <w:p w14:paraId="13BCD9A8">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Req</w:t>
            </w:r>
          </w:p>
        </w:tc>
        <w:tc>
          <w:tcPr>
            <w:tcW w:w="4856" w:type="dxa"/>
            <w:tcBorders>
              <w:top w:val="single" w:color="000000" w:sz="6" w:space="0"/>
              <w:left w:val="nil"/>
              <w:bottom w:val="single" w:color="000000" w:sz="4" w:space="0"/>
              <w:right w:val="nil"/>
            </w:tcBorders>
            <w:vAlign w:val="center"/>
          </w:tcPr>
          <w:p w14:paraId="4EF6B4E8">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Why it matters</w:t>
            </w:r>
          </w:p>
        </w:tc>
        <w:tc>
          <w:tcPr>
            <w:tcW w:w="2964" w:type="dxa"/>
            <w:tcBorders>
              <w:top w:val="single" w:color="000000" w:sz="6" w:space="0"/>
              <w:left w:val="nil"/>
              <w:bottom w:val="single" w:color="000000" w:sz="4" w:space="0"/>
              <w:right w:val="nil"/>
            </w:tcBorders>
            <w:vAlign w:val="center"/>
          </w:tcPr>
          <w:p w14:paraId="69870EEE">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Acceptance &amp; measurement definition</w:t>
            </w:r>
          </w:p>
        </w:tc>
      </w:tr>
      <w:tr w14:paraId="614860B4">
        <w:tblPrEx>
          <w:tblCellMar>
            <w:top w:w="43" w:type="dxa"/>
            <w:left w:w="0" w:type="dxa"/>
            <w:bottom w:w="0" w:type="dxa"/>
            <w:right w:w="0" w:type="dxa"/>
          </w:tblCellMar>
        </w:tblPrEx>
        <w:trPr>
          <w:trHeight w:val="1319" w:hRule="atLeast"/>
        </w:trPr>
        <w:tc>
          <w:tcPr>
            <w:tcW w:w="2118" w:type="dxa"/>
            <w:tcBorders>
              <w:top w:val="single" w:color="000000" w:sz="4" w:space="0"/>
              <w:left w:val="nil"/>
              <w:bottom w:val="nil"/>
              <w:right w:val="nil"/>
            </w:tcBorders>
            <w:vAlign w:val="center"/>
          </w:tcPr>
          <w:p w14:paraId="368FD585">
            <w:pPr>
              <w:jc w:val="center"/>
              <w:rPr>
                <w:rFonts w:ascii="Times New Roman" w:hAnsi="Times New Roman" w:cs="Times New Roman"/>
                <w:sz w:val="18"/>
                <w:szCs w:val="18"/>
              </w:rPr>
            </w:pPr>
            <w:r>
              <w:rPr>
                <w:rStyle w:val="8"/>
                <w:rFonts w:ascii="Times New Roman" w:hAnsi="Times New Roman" w:eastAsia="宋体" w:cs="Times New Roman"/>
                <w:sz w:val="18"/>
                <w:szCs w:val="18"/>
                <w:lang w:eastAsia="zh-CN" w:bidi="ar"/>
              </w:rPr>
              <w:t>R1 Honest confidence</w:t>
            </w:r>
          </w:p>
        </w:tc>
        <w:tc>
          <w:tcPr>
            <w:tcW w:w="4856" w:type="dxa"/>
            <w:tcBorders>
              <w:top w:val="single" w:color="000000" w:sz="4" w:space="0"/>
              <w:left w:val="nil"/>
              <w:bottom w:val="nil"/>
              <w:right w:val="nil"/>
            </w:tcBorders>
            <w:vAlign w:val="center"/>
          </w:tcPr>
          <w:p w14:paraId="46FF10E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Avoids misleading single labels.</w:t>
            </w:r>
          </w:p>
        </w:tc>
        <w:tc>
          <w:tcPr>
            <w:tcW w:w="2964" w:type="dxa"/>
            <w:tcBorders>
              <w:top w:val="single" w:color="000000" w:sz="4" w:space="0"/>
              <w:left w:val="nil"/>
              <w:bottom w:val="nil"/>
              <w:right w:val="nil"/>
            </w:tcBorders>
            <w:vAlign w:val="center"/>
          </w:tcPr>
          <w:p w14:paraId="42375F1B">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Prediction sets</w:t>
            </w:r>
            <w:r>
              <w:rPr>
                <w:rFonts w:ascii="Times New Roman" w:hAnsi="Times New Roman" w:eastAsia="宋体" w:cs="Times New Roman"/>
                <w:sz w:val="18"/>
                <w:szCs w:val="18"/>
                <w:lang w:eastAsia="zh-CN" w:bidi="ar"/>
              </w:rPr>
              <w:t xml:space="preserve"> built by </w:t>
            </w:r>
            <w:r>
              <w:rPr>
                <w:rStyle w:val="8"/>
                <w:rFonts w:ascii="Times New Roman" w:hAnsi="Times New Roman" w:eastAsia="宋体" w:cs="Times New Roman"/>
                <w:sz w:val="18"/>
                <w:szCs w:val="18"/>
                <w:lang w:eastAsia="zh-CN" w:bidi="ar"/>
              </w:rPr>
              <w:t>conformal calibration</w:t>
            </w:r>
            <w:r>
              <w:rPr>
                <w:rFonts w:ascii="Times New Roman" w:hAnsi="Times New Roman" w:eastAsia="宋体" w:cs="Times New Roman"/>
                <w:sz w:val="18"/>
                <w:szCs w:val="18"/>
                <w:lang w:eastAsia="zh-CN" w:bidi="ar"/>
              </w:rPr>
              <w:t xml:space="preserve"> (threshold tuned on </w:t>
            </w:r>
            <w:r>
              <w:rPr>
                <w:rStyle w:val="10"/>
                <w:rFonts w:ascii="Times New Roman" w:hAnsi="Times New Roman" w:eastAsia="宋体" w:cs="Times New Roman"/>
                <w:sz w:val="18"/>
                <w:szCs w:val="18"/>
                <w:lang w:eastAsia="zh-CN" w:bidi="ar"/>
              </w:rPr>
              <w:t>validation people</w:t>
            </w:r>
            <w:r>
              <w:rPr>
                <w:rFonts w:ascii="Times New Roman" w:hAnsi="Times New Roman" w:eastAsia="宋体" w:cs="Times New Roman"/>
                <w:sz w:val="18"/>
                <w:szCs w:val="18"/>
                <w:lang w:eastAsia="zh-CN" w:bidi="ar"/>
              </w:rPr>
              <w:t xml:space="preserve"> so the true label is inside the set at the target rate). </w:t>
            </w:r>
            <w:r>
              <w:rPr>
                <w:rStyle w:val="8"/>
                <w:rFonts w:ascii="Times New Roman" w:hAnsi="Times New Roman" w:eastAsia="宋体" w:cs="Times New Roman"/>
                <w:sz w:val="18"/>
                <w:szCs w:val="18"/>
                <w:lang w:eastAsia="zh-CN" w:bidi="ar"/>
              </w:rPr>
              <w:t>Coverage ≥90%</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avg set size ≤2</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ECE ≤0.05</w:t>
            </w:r>
            <w:r>
              <w:rPr>
                <w:rFonts w:ascii="Times New Roman" w:hAnsi="Times New Roman" w:eastAsia="宋体" w:cs="Times New Roman"/>
                <w:sz w:val="18"/>
                <w:szCs w:val="18"/>
                <w:lang w:eastAsia="zh-CN" w:bidi="ar"/>
              </w:rPr>
              <w:t>.</w:t>
            </w:r>
          </w:p>
        </w:tc>
      </w:tr>
      <w:tr w14:paraId="67B35B1B">
        <w:tblPrEx>
          <w:tblCellMar>
            <w:top w:w="43" w:type="dxa"/>
            <w:left w:w="0" w:type="dxa"/>
            <w:bottom w:w="0" w:type="dxa"/>
            <w:right w:w="0" w:type="dxa"/>
          </w:tblCellMar>
        </w:tblPrEx>
        <w:trPr>
          <w:trHeight w:val="1097" w:hRule="atLeast"/>
        </w:trPr>
        <w:tc>
          <w:tcPr>
            <w:tcW w:w="2118" w:type="dxa"/>
            <w:tcBorders>
              <w:top w:val="nil"/>
              <w:left w:val="nil"/>
              <w:bottom w:val="nil"/>
              <w:right w:val="nil"/>
            </w:tcBorders>
            <w:vAlign w:val="center"/>
          </w:tcPr>
          <w:p w14:paraId="30B2C7B0">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R2 Generalises</w:t>
            </w:r>
          </w:p>
        </w:tc>
        <w:tc>
          <w:tcPr>
            <w:tcW w:w="4856" w:type="dxa"/>
            <w:tcBorders>
              <w:top w:val="nil"/>
              <w:left w:val="nil"/>
              <w:bottom w:val="nil"/>
              <w:right w:val="nil"/>
            </w:tcBorders>
            <w:vAlign w:val="center"/>
          </w:tcPr>
          <w:p w14:paraId="55A36CCC">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Real users are unseen; carries vary.</w:t>
            </w:r>
          </w:p>
        </w:tc>
        <w:tc>
          <w:tcPr>
            <w:tcW w:w="2964" w:type="dxa"/>
            <w:tcBorders>
              <w:top w:val="nil"/>
              <w:left w:val="nil"/>
              <w:bottom w:val="nil"/>
              <w:right w:val="nil"/>
            </w:tcBorders>
            <w:vAlign w:val="center"/>
          </w:tcPr>
          <w:p w14:paraId="7991C159">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LOSO</w:t>
            </w:r>
            <w:r>
              <w:rPr>
                <w:rFonts w:ascii="Times New Roman" w:hAnsi="Times New Roman" w:eastAsia="宋体" w:cs="Times New Roman"/>
                <w:sz w:val="18"/>
                <w:szCs w:val="18"/>
                <w:lang w:eastAsia="zh-CN" w:bidi="ar"/>
              </w:rPr>
              <w:t xml:space="preserve"> (person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held</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out) and </w:t>
            </w:r>
            <w:r>
              <w:rPr>
                <w:rStyle w:val="8"/>
                <w:rFonts w:ascii="Times New Roman" w:hAnsi="Times New Roman" w:eastAsia="宋体" w:cs="Times New Roman"/>
                <w:sz w:val="18"/>
                <w:szCs w:val="18"/>
                <w:lang w:eastAsia="zh-CN" w:bidi="ar"/>
              </w:rPr>
              <w:t>train</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on</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A/test</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on</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B</w:t>
            </w:r>
            <w:r>
              <w:rPr>
                <w:rFonts w:ascii="Times New Roman" w:hAnsi="Times New Roman" w:eastAsia="宋体" w:cs="Times New Roman"/>
                <w:sz w:val="18"/>
                <w:szCs w:val="18"/>
                <w:lang w:eastAsia="zh-CN" w:bidi="ar"/>
              </w:rPr>
              <w:t xml:space="preserve"> across datasets; include </w:t>
            </w:r>
            <w:r>
              <w:rPr>
                <w:rStyle w:val="8"/>
                <w:rFonts w:ascii="Times New Roman" w:hAnsi="Times New Roman" w:eastAsia="宋体" w:cs="Times New Roman"/>
                <w:sz w:val="18"/>
                <w:szCs w:val="18"/>
                <w:lang w:eastAsia="zh-CN" w:bidi="ar"/>
              </w:rPr>
              <w:t>hand/pocket/bag</w:t>
            </w:r>
            <w:r>
              <w:rPr>
                <w:rFonts w:ascii="Times New Roman" w:hAnsi="Times New Roman" w:eastAsia="宋体" w:cs="Times New Roman"/>
                <w:sz w:val="18"/>
                <w:szCs w:val="18"/>
                <w:lang w:eastAsia="zh-CN" w:bidi="ar"/>
              </w:rPr>
              <w:t xml:space="preserve"> splits. </w:t>
            </w:r>
            <w:r>
              <w:rPr>
                <w:rStyle w:val="8"/>
                <w:rFonts w:ascii="Times New Roman" w:hAnsi="Times New Roman" w:eastAsia="宋体" w:cs="Times New Roman"/>
                <w:sz w:val="18"/>
                <w:szCs w:val="18"/>
                <w:lang w:eastAsia="zh-CN" w:bidi="ar"/>
              </w:rPr>
              <w:t>Fairness gap ≤5 pp</w:t>
            </w:r>
            <w:r>
              <w:rPr>
                <w:rFonts w:ascii="Times New Roman" w:hAnsi="Times New Roman" w:eastAsia="宋体" w:cs="Times New Roman"/>
                <w:sz w:val="18"/>
                <w:szCs w:val="18"/>
                <w:lang w:eastAsia="zh-CN" w:bidi="ar"/>
              </w:rPr>
              <w:t xml:space="preserve"> where </w:t>
            </w:r>
            <w:r>
              <w:rPr>
                <w:rStyle w:val="10"/>
                <w:rFonts w:ascii="Times New Roman" w:hAnsi="Times New Roman" w:eastAsia="宋体" w:cs="Times New Roman"/>
                <w:sz w:val="18"/>
                <w:szCs w:val="18"/>
                <w:lang w:eastAsia="zh-CN" w:bidi="ar"/>
              </w:rPr>
              <w:t>gap = overall − worst</w:t>
            </w:r>
            <w:r>
              <w:rPr>
                <w:rStyle w:val="10"/>
                <w:rFonts w:ascii="Times New Roman" w:hAnsi="Times New Roman" w:eastAsia="宋体" w:cs="Times New Roman"/>
                <w:sz w:val="18"/>
                <w:szCs w:val="18"/>
                <w:lang w:eastAsia="zh-CN" w:bidi="ar"/>
              </w:rPr>
              <w:noBreakHyphen/>
            </w:r>
            <w:r>
              <w:rPr>
                <w:rStyle w:val="10"/>
                <w:rFonts w:ascii="Times New Roman" w:hAnsi="Times New Roman" w:eastAsia="宋体" w:cs="Times New Roman"/>
                <w:sz w:val="18"/>
                <w:szCs w:val="18"/>
                <w:lang w:eastAsia="zh-CN" w:bidi="ar"/>
              </w:rPr>
              <w:t>group</w:t>
            </w:r>
            <w:r>
              <w:rPr>
                <w:rFonts w:ascii="Times New Roman" w:hAnsi="Times New Roman" w:eastAsia="宋体" w:cs="Times New Roman"/>
                <w:sz w:val="18"/>
                <w:szCs w:val="18"/>
                <w:lang w:eastAsia="zh-CN" w:bidi="ar"/>
              </w:rPr>
              <w:t>.</w:t>
            </w:r>
          </w:p>
        </w:tc>
      </w:tr>
      <w:tr w14:paraId="1D6BCE75">
        <w:tblPrEx>
          <w:tblCellMar>
            <w:top w:w="43" w:type="dxa"/>
            <w:left w:w="0" w:type="dxa"/>
            <w:bottom w:w="0" w:type="dxa"/>
            <w:right w:w="0" w:type="dxa"/>
          </w:tblCellMar>
        </w:tblPrEx>
        <w:trPr>
          <w:trHeight w:val="1730" w:hRule="atLeast"/>
        </w:trPr>
        <w:tc>
          <w:tcPr>
            <w:tcW w:w="2118" w:type="dxa"/>
            <w:tcBorders>
              <w:top w:val="nil"/>
              <w:left w:val="nil"/>
              <w:bottom w:val="nil"/>
              <w:right w:val="nil"/>
            </w:tcBorders>
            <w:vAlign w:val="center"/>
          </w:tcPr>
          <w:p w14:paraId="66BB0AAD">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R3 Efficient on device</w:t>
            </w:r>
          </w:p>
        </w:tc>
        <w:tc>
          <w:tcPr>
            <w:tcW w:w="4856" w:type="dxa"/>
            <w:tcBorders>
              <w:top w:val="nil"/>
              <w:left w:val="nil"/>
              <w:bottom w:val="nil"/>
              <w:right w:val="nil"/>
            </w:tcBorders>
            <w:vAlign w:val="center"/>
          </w:tcPr>
          <w:p w14:paraId="30956FF5">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Saves battery, feels responsive.</w:t>
            </w:r>
          </w:p>
        </w:tc>
        <w:tc>
          <w:tcPr>
            <w:tcW w:w="2964" w:type="dxa"/>
            <w:tcBorders>
              <w:top w:val="nil"/>
              <w:left w:val="nil"/>
              <w:bottom w:val="nil"/>
              <w:right w:val="nil"/>
            </w:tcBorders>
            <w:vAlign w:val="center"/>
          </w:tcPr>
          <w:p w14:paraId="6FF4CD10">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 xml:space="preserve">Test on </w:t>
            </w:r>
            <w:r>
              <w:rPr>
                <w:rStyle w:val="8"/>
                <w:rFonts w:ascii="Times New Roman" w:hAnsi="Times New Roman" w:eastAsia="宋体" w:cs="Times New Roman"/>
                <w:sz w:val="18"/>
                <w:szCs w:val="18"/>
                <w:lang w:eastAsia="zh-CN" w:bidi="ar"/>
              </w:rPr>
              <w:t>mid</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range Android</w:t>
            </w:r>
            <w:r>
              <w:rPr>
                <w:rFonts w:ascii="Times New Roman" w:hAnsi="Times New Roman" w:eastAsia="宋体" w:cs="Times New Roman"/>
                <w:sz w:val="18"/>
                <w:szCs w:val="18"/>
                <w:lang w:eastAsia="zh-CN" w:bidi="ar"/>
              </w:rPr>
              <w:t xml:space="preserve"> (8</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core A7xx/≥6 GB, </w:t>
            </w:r>
            <w:r>
              <w:rPr>
                <w:rStyle w:val="8"/>
                <w:rFonts w:ascii="Times New Roman" w:hAnsi="Times New Roman" w:eastAsia="宋体" w:cs="Times New Roman"/>
                <w:sz w:val="18"/>
                <w:szCs w:val="18"/>
                <w:lang w:eastAsia="zh-CN" w:bidi="ar"/>
              </w:rPr>
              <w:t>Android 12+</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End</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to</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end</w:t>
            </w:r>
            <w:r>
              <w:rPr>
                <w:rFonts w:ascii="Times New Roman" w:hAnsi="Times New Roman" w:eastAsia="宋体" w:cs="Times New Roman"/>
                <w:sz w:val="18"/>
                <w:szCs w:val="18"/>
                <w:lang w:eastAsia="zh-CN" w:bidi="ar"/>
              </w:rPr>
              <w:t xml:space="preserve"> latency (feature + inference + post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process) with </w:t>
            </w:r>
            <w:r>
              <w:rPr>
                <w:rStyle w:val="8"/>
                <w:rFonts w:ascii="Times New Roman" w:hAnsi="Times New Roman" w:eastAsia="宋体" w:cs="Times New Roman"/>
                <w:sz w:val="18"/>
                <w:szCs w:val="18"/>
                <w:lang w:eastAsia="zh-CN" w:bidi="ar"/>
              </w:rPr>
              <w:t>5 s window, 1 s stride</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mean</w:t>
            </w:r>
            <w:r>
              <w:rPr>
                <w:rFonts w:ascii="Times New Roman" w:hAnsi="Times New Roman" w:eastAsia="宋体" w:cs="Times New Roman"/>
                <w:sz w:val="18"/>
                <w:szCs w:val="18"/>
                <w:lang w:eastAsia="zh-CN" w:bidi="ar"/>
              </w:rPr>
              <w:t xml:space="preserve"> and </w:t>
            </w:r>
            <w:r>
              <w:rPr>
                <w:rStyle w:val="8"/>
                <w:rFonts w:ascii="Times New Roman" w:hAnsi="Times New Roman" w:eastAsia="宋体" w:cs="Times New Roman"/>
                <w:sz w:val="18"/>
                <w:szCs w:val="18"/>
                <w:lang w:eastAsia="zh-CN" w:bidi="ar"/>
              </w:rPr>
              <w:t>P95 ≤200 ms</w:t>
            </w:r>
            <w:r>
              <w:rPr>
                <w:rFonts w:ascii="Times New Roman" w:hAnsi="Times New Roman" w:eastAsia="宋体" w:cs="Times New Roman"/>
                <w:sz w:val="18"/>
                <w:szCs w:val="18"/>
                <w:lang w:eastAsia="zh-CN" w:bidi="ar"/>
              </w:rPr>
              <w:t xml:space="preserve">. Energy as </w:t>
            </w:r>
            <w:r>
              <w:rPr>
                <w:rStyle w:val="8"/>
                <w:rFonts w:ascii="Times New Roman" w:hAnsi="Times New Roman" w:eastAsia="宋体" w:cs="Times New Roman"/>
                <w:sz w:val="18"/>
                <w:szCs w:val="18"/>
                <w:lang w:eastAsia="zh-CN" w:bidi="ar"/>
              </w:rPr>
              <w:t>mJ/inference</w:t>
            </w:r>
            <w:r>
              <w:rPr>
                <w:rFonts w:ascii="Times New Roman" w:hAnsi="Times New Roman" w:eastAsia="宋体" w:cs="Times New Roman"/>
                <w:sz w:val="18"/>
                <w:szCs w:val="18"/>
                <w:lang w:eastAsia="zh-CN" w:bidi="ar"/>
              </w:rPr>
              <w:t xml:space="preserve"> and </w:t>
            </w:r>
            <w:r>
              <w:rPr>
                <w:rStyle w:val="8"/>
                <w:rFonts w:ascii="Times New Roman" w:hAnsi="Times New Roman" w:eastAsia="宋体" w:cs="Times New Roman"/>
                <w:sz w:val="18"/>
                <w:szCs w:val="18"/>
                <w:lang w:eastAsia="zh-CN" w:bidi="ar"/>
              </w:rPr>
              <w:t>mWh/hour</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≥2×</w:t>
            </w:r>
            <w:r>
              <w:rPr>
                <w:rFonts w:ascii="Times New Roman" w:hAnsi="Times New Roman" w:eastAsia="宋体" w:cs="Times New Roman"/>
                <w:sz w:val="18"/>
                <w:szCs w:val="18"/>
                <w:lang w:eastAsia="zh-CN" w:bidi="ar"/>
              </w:rPr>
              <w:t xml:space="preserve"> vs. uncompressed model with </w:t>
            </w:r>
            <w:r>
              <w:rPr>
                <w:rStyle w:val="8"/>
                <w:rFonts w:ascii="Times New Roman" w:hAnsi="Times New Roman" w:eastAsia="宋体" w:cs="Times New Roman"/>
                <w:sz w:val="18"/>
                <w:szCs w:val="18"/>
                <w:lang w:eastAsia="zh-CN" w:bidi="ar"/>
              </w:rPr>
              <w:t>≤1 pp</w:t>
            </w:r>
            <w:r>
              <w:rPr>
                <w:rFonts w:ascii="Times New Roman" w:hAnsi="Times New Roman" w:eastAsia="宋体" w:cs="Times New Roman"/>
                <w:sz w:val="18"/>
                <w:szCs w:val="18"/>
                <w:lang w:eastAsia="zh-CN" w:bidi="ar"/>
              </w:rPr>
              <w:t xml:space="preserve"> accuracy drop.</w:t>
            </w:r>
          </w:p>
        </w:tc>
      </w:tr>
      <w:tr w14:paraId="1C5EB0D3">
        <w:tblPrEx>
          <w:tblCellMar>
            <w:top w:w="43" w:type="dxa"/>
            <w:left w:w="0" w:type="dxa"/>
            <w:bottom w:w="0" w:type="dxa"/>
            <w:right w:w="0" w:type="dxa"/>
          </w:tblCellMar>
        </w:tblPrEx>
        <w:trPr>
          <w:trHeight w:val="1097" w:hRule="atLeast"/>
        </w:trPr>
        <w:tc>
          <w:tcPr>
            <w:tcW w:w="2118" w:type="dxa"/>
            <w:tcBorders>
              <w:top w:val="nil"/>
              <w:left w:val="nil"/>
              <w:bottom w:val="nil"/>
              <w:right w:val="nil"/>
            </w:tcBorders>
            <w:vAlign w:val="center"/>
          </w:tcPr>
          <w:p w14:paraId="4BDC2ADB">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R4 Privacy by default</w:t>
            </w:r>
          </w:p>
        </w:tc>
        <w:tc>
          <w:tcPr>
            <w:tcW w:w="4856" w:type="dxa"/>
            <w:tcBorders>
              <w:top w:val="nil"/>
              <w:left w:val="nil"/>
              <w:bottom w:val="nil"/>
              <w:right w:val="nil"/>
            </w:tcBorders>
            <w:vAlign w:val="center"/>
          </w:tcPr>
          <w:p w14:paraId="5864F0E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Motion/location are sensitive.</w:t>
            </w:r>
          </w:p>
        </w:tc>
        <w:tc>
          <w:tcPr>
            <w:tcW w:w="2964" w:type="dxa"/>
            <w:tcBorders>
              <w:top w:val="nil"/>
              <w:left w:val="nil"/>
              <w:bottom w:val="nil"/>
              <w:right w:val="nil"/>
            </w:tcBorders>
            <w:vAlign w:val="center"/>
          </w:tcPr>
          <w:p w14:paraId="337B4DA6">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On</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device only</w:t>
            </w:r>
            <w:r>
              <w:rPr>
                <w:rFonts w:ascii="Times New Roman" w:hAnsi="Times New Roman" w:eastAsia="宋体" w:cs="Times New Roman"/>
                <w:sz w:val="18"/>
                <w:szCs w:val="18"/>
                <w:lang w:eastAsia="zh-CN" w:bidi="ar"/>
              </w:rPr>
              <w:t xml:space="preserve">, no server calls; </w:t>
            </w:r>
            <w:r>
              <w:rPr>
                <w:rStyle w:val="8"/>
                <w:rFonts w:ascii="Times New Roman" w:hAnsi="Times New Roman" w:eastAsia="宋体" w:cs="Times New Roman"/>
                <w:sz w:val="18"/>
                <w:szCs w:val="18"/>
                <w:lang w:eastAsia="zh-CN" w:bidi="ar"/>
              </w:rPr>
              <w:t>no new personal data</w:t>
            </w:r>
            <w:r>
              <w:rPr>
                <w:rFonts w:ascii="Times New Roman" w:hAnsi="Times New Roman" w:eastAsia="宋体" w:cs="Times New Roman"/>
                <w:sz w:val="18"/>
                <w:szCs w:val="18"/>
                <w:lang w:eastAsia="zh-CN" w:bidi="ar"/>
              </w:rPr>
              <w:t xml:space="preserve"> in this study; </w:t>
            </w:r>
            <w:r>
              <w:rPr>
                <w:rStyle w:val="8"/>
                <w:rFonts w:ascii="Times New Roman" w:hAnsi="Times New Roman" w:eastAsia="宋体" w:cs="Times New Roman"/>
                <w:sz w:val="18"/>
                <w:szCs w:val="18"/>
                <w:lang w:eastAsia="zh-CN" w:bidi="ar"/>
              </w:rPr>
              <w:t>GPS off by default</w:t>
            </w:r>
            <w:r>
              <w:rPr>
                <w:rFonts w:ascii="Times New Roman" w:hAnsi="Times New Roman" w:eastAsia="宋体" w:cs="Times New Roman"/>
                <w:sz w:val="18"/>
                <w:szCs w:val="18"/>
                <w:lang w:eastAsia="zh-CN" w:bidi="ar"/>
              </w:rPr>
              <w:t xml:space="preserve"> (allowed if needed with ≤1 pp loss); </w:t>
            </w:r>
            <w:r>
              <w:rPr>
                <w:rStyle w:val="8"/>
                <w:rFonts w:ascii="Times New Roman" w:hAnsi="Times New Roman" w:eastAsia="宋体" w:cs="Times New Roman"/>
                <w:sz w:val="18"/>
                <w:szCs w:val="18"/>
                <w:lang w:eastAsia="zh-CN" w:bidi="ar"/>
              </w:rPr>
              <w:t>raw data retained ≤24 h</w:t>
            </w:r>
            <w:r>
              <w:rPr>
                <w:rFonts w:ascii="Times New Roman" w:hAnsi="Times New Roman" w:eastAsia="宋体" w:cs="Times New Roman"/>
                <w:sz w:val="18"/>
                <w:szCs w:val="18"/>
                <w:lang w:eastAsia="zh-CN" w:bidi="ar"/>
              </w:rPr>
              <w:t>. Any later user study needs ethics review.</w:t>
            </w:r>
          </w:p>
        </w:tc>
      </w:tr>
      <w:tr w14:paraId="05641E36">
        <w:tblPrEx>
          <w:tblCellMar>
            <w:top w:w="43" w:type="dxa"/>
            <w:left w:w="0" w:type="dxa"/>
            <w:bottom w:w="0" w:type="dxa"/>
            <w:right w:w="0" w:type="dxa"/>
          </w:tblCellMar>
        </w:tblPrEx>
        <w:trPr>
          <w:trHeight w:val="886" w:hRule="atLeast"/>
        </w:trPr>
        <w:tc>
          <w:tcPr>
            <w:tcW w:w="2118" w:type="dxa"/>
            <w:tcBorders>
              <w:top w:val="nil"/>
              <w:left w:val="nil"/>
              <w:bottom w:val="nil"/>
              <w:right w:val="nil"/>
            </w:tcBorders>
            <w:vAlign w:val="center"/>
          </w:tcPr>
          <w:p w14:paraId="77B2481F">
            <w:pPr>
              <w:jc w:val="center"/>
              <w:rPr>
                <w:rFonts w:ascii="Times New Roman" w:hAnsi="Times New Roman" w:eastAsia="宋体" w:cs="Times New Roman"/>
                <w:sz w:val="18"/>
                <w:szCs w:val="18"/>
                <w:lang w:eastAsia="zh-CN" w:bidi="ar"/>
              </w:rPr>
            </w:pPr>
            <w:r>
              <w:rPr>
                <w:rStyle w:val="8"/>
                <w:rFonts w:ascii="Times New Roman" w:hAnsi="Times New Roman" w:eastAsia="宋体" w:cs="Times New Roman"/>
                <w:sz w:val="18"/>
                <w:szCs w:val="18"/>
                <w:lang w:eastAsia="zh-CN" w:bidi="ar"/>
              </w:rPr>
              <w:t>R5 Fair &amp; accessible</w:t>
            </w:r>
          </w:p>
        </w:tc>
        <w:tc>
          <w:tcPr>
            <w:tcW w:w="4856" w:type="dxa"/>
            <w:tcBorders>
              <w:top w:val="nil"/>
              <w:left w:val="nil"/>
              <w:bottom w:val="nil"/>
              <w:right w:val="nil"/>
            </w:tcBorders>
            <w:vAlign w:val="center"/>
          </w:tcPr>
          <w:p w14:paraId="0D85B351">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Wider, safer use.</w:t>
            </w:r>
          </w:p>
        </w:tc>
        <w:tc>
          <w:tcPr>
            <w:tcW w:w="2964" w:type="dxa"/>
            <w:tcBorders>
              <w:top w:val="nil"/>
              <w:left w:val="nil"/>
              <w:bottom w:val="nil"/>
              <w:right w:val="nil"/>
            </w:tcBorders>
            <w:vAlign w:val="center"/>
          </w:tcPr>
          <w:p w14:paraId="5D3CED2F">
            <w:pPr>
              <w:jc w:val="center"/>
              <w:rPr>
                <w:rFonts w:ascii="Times New Roman" w:hAnsi="Times New Roman" w:eastAsia="宋体" w:cs="Times New Roman"/>
                <w:sz w:val="18"/>
                <w:szCs w:val="18"/>
                <w:lang w:eastAsia="zh-CN" w:bidi="ar"/>
              </w:rPr>
            </w:pPr>
            <w:r>
              <w:rPr>
                <w:rStyle w:val="8"/>
                <w:rFonts w:ascii="Times New Roman" w:hAnsi="Times New Roman" w:eastAsia="宋体" w:cs="Times New Roman"/>
                <w:sz w:val="18"/>
                <w:szCs w:val="18"/>
                <w:lang w:eastAsia="zh-CN" w:bidi="ar"/>
              </w:rPr>
              <w:t>Readability ≤ Grade 8</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6–8 lay walkthroughs</w:t>
            </w:r>
            <w:r>
              <w:rPr>
                <w:rFonts w:ascii="Times New Roman" w:hAnsi="Times New Roman" w:eastAsia="宋体" w:cs="Times New Roman"/>
                <w:sz w:val="18"/>
                <w:szCs w:val="18"/>
                <w:lang w:eastAsia="zh-CN" w:bidi="ar"/>
              </w:rPr>
              <w:t xml:space="preserve"> with </w:t>
            </w:r>
            <w:r>
              <w:rPr>
                <w:rStyle w:val="8"/>
                <w:rFonts w:ascii="Times New Roman" w:hAnsi="Times New Roman" w:eastAsia="宋体" w:cs="Times New Roman"/>
                <w:sz w:val="18"/>
                <w:szCs w:val="18"/>
                <w:lang w:eastAsia="zh-CN" w:bidi="ar"/>
              </w:rPr>
              <w:t>≥80%</w:t>
            </w:r>
            <w:r>
              <w:rPr>
                <w:rFonts w:ascii="Times New Roman" w:hAnsi="Times New Roman" w:eastAsia="宋体" w:cs="Times New Roman"/>
                <w:sz w:val="18"/>
                <w:szCs w:val="18"/>
                <w:lang w:eastAsia="zh-CN" w:bidi="ar"/>
              </w:rPr>
              <w:t xml:space="preserve"> correct interpretation; offline mode and </w:t>
            </w:r>
            <w:r>
              <w:rPr>
                <w:rStyle w:val="8"/>
                <w:rFonts w:ascii="Times New Roman" w:hAnsi="Times New Roman" w:eastAsia="宋体" w:cs="Times New Roman"/>
                <w:sz w:val="18"/>
                <w:szCs w:val="18"/>
                <w:lang w:eastAsia="zh-CN" w:bidi="ar"/>
              </w:rPr>
              <w:t>screen</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reader labels</w:t>
            </w:r>
            <w:r>
              <w:rPr>
                <w:rFonts w:ascii="Times New Roman" w:hAnsi="Times New Roman" w:eastAsia="宋体" w:cs="Times New Roman"/>
                <w:sz w:val="18"/>
                <w:szCs w:val="18"/>
                <w:lang w:eastAsia="zh-CN" w:bidi="ar"/>
              </w:rPr>
              <w:t xml:space="preserve"> pass checks.</w:t>
            </w:r>
          </w:p>
        </w:tc>
      </w:tr>
      <w:tr w14:paraId="0D2A58C7">
        <w:tblPrEx>
          <w:tblCellMar>
            <w:top w:w="43" w:type="dxa"/>
            <w:left w:w="0" w:type="dxa"/>
            <w:bottom w:w="0" w:type="dxa"/>
            <w:right w:w="0" w:type="dxa"/>
          </w:tblCellMar>
        </w:tblPrEx>
        <w:trPr>
          <w:trHeight w:val="886" w:hRule="atLeast"/>
        </w:trPr>
        <w:tc>
          <w:tcPr>
            <w:tcW w:w="2118" w:type="dxa"/>
            <w:tcBorders>
              <w:top w:val="nil"/>
              <w:left w:val="nil"/>
              <w:bottom w:val="nil"/>
              <w:right w:val="nil"/>
            </w:tcBorders>
            <w:vAlign w:val="center"/>
          </w:tcPr>
          <w:p w14:paraId="6CE7B3F0">
            <w:pPr>
              <w:jc w:val="center"/>
              <w:rPr>
                <w:rFonts w:ascii="Times New Roman" w:hAnsi="Times New Roman" w:eastAsia="宋体" w:cs="Times New Roman"/>
                <w:sz w:val="18"/>
                <w:szCs w:val="18"/>
                <w:lang w:eastAsia="zh-CN" w:bidi="ar"/>
              </w:rPr>
            </w:pPr>
            <w:r>
              <w:rPr>
                <w:rStyle w:val="8"/>
                <w:rFonts w:ascii="Times New Roman" w:hAnsi="Times New Roman" w:eastAsia="宋体" w:cs="Times New Roman"/>
                <w:sz w:val="18"/>
                <w:szCs w:val="18"/>
                <w:lang w:eastAsia="zh-CN" w:bidi="ar"/>
              </w:rPr>
              <w:t>R6 Reproducible &amp; transparent</w:t>
            </w:r>
          </w:p>
        </w:tc>
        <w:tc>
          <w:tcPr>
            <w:tcW w:w="4856" w:type="dxa"/>
            <w:tcBorders>
              <w:top w:val="nil"/>
              <w:left w:val="nil"/>
              <w:bottom w:val="nil"/>
              <w:right w:val="nil"/>
            </w:tcBorders>
            <w:vAlign w:val="center"/>
          </w:tcPr>
          <w:p w14:paraId="0FEEF27B">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Others can verify and reuse.</w:t>
            </w:r>
          </w:p>
        </w:tc>
        <w:tc>
          <w:tcPr>
            <w:tcW w:w="2964" w:type="dxa"/>
            <w:tcBorders>
              <w:top w:val="nil"/>
              <w:left w:val="nil"/>
              <w:bottom w:val="nil"/>
              <w:right w:val="nil"/>
            </w:tcBorders>
            <w:vAlign w:val="center"/>
          </w:tcPr>
          <w:p w14:paraId="5CD90890">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 xml:space="preserve">Release </w:t>
            </w:r>
            <w:r>
              <w:rPr>
                <w:rStyle w:val="8"/>
                <w:rFonts w:ascii="Times New Roman" w:hAnsi="Times New Roman" w:eastAsia="宋体" w:cs="Times New Roman"/>
                <w:sz w:val="18"/>
                <w:szCs w:val="18"/>
                <w:lang w:eastAsia="zh-CN" w:bidi="ar"/>
              </w:rPr>
              <w:t>code, configs, seeds, model cards</w:t>
            </w:r>
            <w:r>
              <w:rPr>
                <w:rFonts w:ascii="Times New Roman" w:hAnsi="Times New Roman" w:eastAsia="宋体" w:cs="Times New Roman"/>
                <w:sz w:val="18"/>
                <w:szCs w:val="18"/>
                <w:lang w:eastAsia="zh-CN" w:bidi="ar"/>
              </w:rPr>
              <w:t xml:space="preserve"> under </w:t>
            </w:r>
            <w:r>
              <w:rPr>
                <w:rStyle w:val="8"/>
                <w:rFonts w:ascii="Times New Roman" w:hAnsi="Times New Roman" w:eastAsia="宋体" w:cs="Times New Roman"/>
                <w:sz w:val="18"/>
                <w:szCs w:val="18"/>
                <w:lang w:eastAsia="zh-CN" w:bidi="ar"/>
              </w:rPr>
              <w:t>MIT/Apache</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2.0</w:t>
            </w:r>
            <w:r>
              <w:rPr>
                <w:rFonts w:ascii="Times New Roman" w:hAnsi="Times New Roman" w:eastAsia="宋体" w:cs="Times New Roman"/>
                <w:sz w:val="18"/>
                <w:szCs w:val="18"/>
                <w:lang w:eastAsia="zh-CN" w:bidi="ar"/>
              </w:rPr>
              <w:t xml:space="preserve">; archive with </w:t>
            </w:r>
            <w:r>
              <w:rPr>
                <w:rStyle w:val="8"/>
                <w:rFonts w:ascii="Times New Roman" w:hAnsi="Times New Roman" w:eastAsia="宋体" w:cs="Times New Roman"/>
                <w:sz w:val="18"/>
                <w:szCs w:val="18"/>
                <w:lang w:eastAsia="zh-CN" w:bidi="ar"/>
              </w:rPr>
              <w:t>DOI</w:t>
            </w:r>
            <w:r>
              <w:rPr>
                <w:rFonts w:ascii="Times New Roman" w:hAnsi="Times New Roman" w:eastAsia="宋体" w:cs="Times New Roman"/>
                <w:sz w:val="18"/>
                <w:szCs w:val="18"/>
                <w:lang w:eastAsia="zh-CN" w:bidi="ar"/>
              </w:rPr>
              <w:t>; re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run key results </w:t>
            </w:r>
            <w:r>
              <w:rPr>
                <w:rStyle w:val="8"/>
                <w:rFonts w:ascii="Times New Roman" w:hAnsi="Times New Roman" w:eastAsia="宋体" w:cs="Times New Roman"/>
                <w:sz w:val="18"/>
                <w:szCs w:val="18"/>
                <w:lang w:eastAsia="zh-CN" w:bidi="ar"/>
              </w:rPr>
              <w:t>within 1 pp</w:t>
            </w:r>
            <w:r>
              <w:rPr>
                <w:rFonts w:ascii="Times New Roman" w:hAnsi="Times New Roman" w:eastAsia="宋体" w:cs="Times New Roman"/>
                <w:sz w:val="18"/>
                <w:szCs w:val="18"/>
                <w:lang w:eastAsia="zh-CN" w:bidi="ar"/>
              </w:rPr>
              <w:t>.</w:t>
            </w:r>
          </w:p>
        </w:tc>
      </w:tr>
      <w:tr w14:paraId="0B6676AC">
        <w:tblPrEx>
          <w:tblCellMar>
            <w:top w:w="43" w:type="dxa"/>
            <w:left w:w="0" w:type="dxa"/>
            <w:bottom w:w="0" w:type="dxa"/>
            <w:right w:w="0" w:type="dxa"/>
          </w:tblCellMar>
        </w:tblPrEx>
        <w:trPr>
          <w:trHeight w:val="886" w:hRule="atLeast"/>
        </w:trPr>
        <w:tc>
          <w:tcPr>
            <w:tcW w:w="9938" w:type="dxa"/>
            <w:gridSpan w:val="3"/>
            <w:tcBorders>
              <w:top w:val="nil"/>
              <w:left w:val="nil"/>
              <w:bottom w:val="nil"/>
              <w:right w:val="nil"/>
            </w:tcBorders>
            <w:vAlign w:val="center"/>
          </w:tcPr>
          <w:p w14:paraId="2C9C8351">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ECE: gap between stated confidence and actual correctness. Conformal: a method that targets a chosen coverage rate.</w:t>
            </w:r>
          </w:p>
        </w:tc>
      </w:tr>
    </w:tbl>
    <w:p w14:paraId="74E35975">
      <w:pPr>
        <w:pStyle w:val="2"/>
        <w:spacing w:before="198" w:line="344" w:lineRule="auto"/>
        <w:rPr>
          <w:sz w:val="24"/>
          <w:szCs w:val="24"/>
        </w:rPr>
      </w:pPr>
    </w:p>
    <w:p w14:paraId="50EBC774">
      <w:pPr>
        <w:pStyle w:val="2"/>
        <w:spacing w:before="198" w:line="344" w:lineRule="auto"/>
        <w:rPr>
          <w:sz w:val="24"/>
          <w:szCs w:val="24"/>
        </w:rPr>
      </w:pPr>
    </w:p>
    <w:p w14:paraId="004F80FD">
      <w:pPr>
        <w:pStyle w:val="2"/>
        <w:spacing w:before="198" w:line="344" w:lineRule="auto"/>
        <w:rPr>
          <w:sz w:val="24"/>
          <w:szCs w:val="24"/>
        </w:rPr>
      </w:pPr>
    </w:p>
    <w:p w14:paraId="05142735">
      <w:pPr>
        <w:pStyle w:val="2"/>
        <w:spacing w:before="198" w:line="344" w:lineRule="auto"/>
        <w:rPr>
          <w:sz w:val="24"/>
          <w:szCs w:val="24"/>
        </w:rPr>
      </w:pPr>
    </w:p>
    <w:p w14:paraId="7130BFB2">
      <w:pPr>
        <w:pStyle w:val="2"/>
        <w:spacing w:before="198" w:line="344" w:lineRule="auto"/>
        <w:rPr>
          <w:sz w:val="24"/>
          <w:szCs w:val="24"/>
        </w:rPr>
      </w:pPr>
    </w:p>
    <w:p w14:paraId="7636F4A6">
      <w:pPr>
        <w:pStyle w:val="2"/>
        <w:spacing w:before="198" w:line="344" w:lineRule="auto"/>
        <w:rPr>
          <w:sz w:val="24"/>
          <w:szCs w:val="24"/>
        </w:rPr>
      </w:pPr>
    </w:p>
    <w:p w14:paraId="35548E66">
      <w:pPr>
        <w:pStyle w:val="2"/>
        <w:spacing w:before="198" w:line="344" w:lineRule="auto"/>
        <w:rPr>
          <w:sz w:val="24"/>
          <w:szCs w:val="24"/>
        </w:rPr>
      </w:pPr>
    </w:p>
    <w:p w14:paraId="07E7AFE8">
      <w:pPr>
        <w:pStyle w:val="2"/>
        <w:spacing w:before="198" w:line="344" w:lineRule="auto"/>
        <w:rPr>
          <w:sz w:val="24"/>
          <w:szCs w:val="24"/>
        </w:rPr>
      </w:pPr>
    </w:p>
    <w:p w14:paraId="5E540A61">
      <w:pPr>
        <w:pStyle w:val="2"/>
        <w:spacing w:before="198" w:line="344" w:lineRule="auto"/>
        <w:jc w:val="center"/>
        <w:rPr>
          <w:sz w:val="24"/>
          <w:szCs w:val="24"/>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7</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Process stages → deliverables</w:t>
      </w:r>
    </w:p>
    <w:tbl>
      <w:tblPr>
        <w:tblStyle w:val="13"/>
        <w:tblpPr w:leftFromText="180" w:rightFromText="180" w:vertAnchor="text" w:horzAnchor="page" w:tblpX="1534" w:tblpY="23"/>
        <w:tblOverlap w:val="never"/>
        <w:tblW w:w="9398" w:type="dxa"/>
        <w:tblInd w:w="0" w:type="dxa"/>
        <w:tblLayout w:type="autofit"/>
        <w:tblCellMar>
          <w:top w:w="43" w:type="dxa"/>
          <w:left w:w="0" w:type="dxa"/>
          <w:bottom w:w="0" w:type="dxa"/>
          <w:right w:w="0" w:type="dxa"/>
        </w:tblCellMar>
      </w:tblPr>
      <w:tblGrid>
        <w:gridCol w:w="2205"/>
        <w:gridCol w:w="3117"/>
        <w:gridCol w:w="2398"/>
        <w:gridCol w:w="1678"/>
      </w:tblGrid>
      <w:tr w14:paraId="10ED1414">
        <w:tblPrEx>
          <w:tblCellMar>
            <w:top w:w="43" w:type="dxa"/>
            <w:left w:w="0" w:type="dxa"/>
            <w:bottom w:w="0" w:type="dxa"/>
            <w:right w:w="0" w:type="dxa"/>
          </w:tblCellMar>
        </w:tblPrEx>
        <w:trPr>
          <w:trHeight w:val="823" w:hRule="atLeast"/>
        </w:trPr>
        <w:tc>
          <w:tcPr>
            <w:tcW w:w="2205" w:type="dxa"/>
            <w:tcBorders>
              <w:top w:val="single" w:color="000000" w:sz="6" w:space="0"/>
              <w:left w:val="nil"/>
              <w:bottom w:val="single" w:color="000000" w:sz="4" w:space="0"/>
              <w:right w:val="nil"/>
            </w:tcBorders>
            <w:vAlign w:val="center"/>
          </w:tcPr>
          <w:p w14:paraId="591F26CB">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Stage &amp; deliverable</w:t>
            </w:r>
          </w:p>
        </w:tc>
        <w:tc>
          <w:tcPr>
            <w:tcW w:w="3117" w:type="dxa"/>
            <w:tcBorders>
              <w:top w:val="single" w:color="000000" w:sz="6" w:space="0"/>
              <w:left w:val="nil"/>
              <w:bottom w:val="single" w:color="000000" w:sz="4" w:space="0"/>
              <w:right w:val="nil"/>
            </w:tcBorders>
            <w:vAlign w:val="center"/>
          </w:tcPr>
          <w:p w14:paraId="1B2027BE">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what it is</w:t>
            </w:r>
          </w:p>
        </w:tc>
        <w:tc>
          <w:tcPr>
            <w:tcW w:w="2398" w:type="dxa"/>
            <w:tcBorders>
              <w:top w:val="single" w:color="000000" w:sz="6" w:space="0"/>
              <w:left w:val="nil"/>
              <w:bottom w:val="single" w:color="000000" w:sz="4" w:space="0"/>
              <w:right w:val="nil"/>
            </w:tcBorders>
            <w:vAlign w:val="center"/>
          </w:tcPr>
          <w:p w14:paraId="3BA17060">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How it solves the problem</w:t>
            </w:r>
          </w:p>
        </w:tc>
        <w:tc>
          <w:tcPr>
            <w:tcW w:w="1678" w:type="dxa"/>
            <w:tcBorders>
              <w:top w:val="single" w:color="000000" w:sz="6" w:space="0"/>
              <w:left w:val="nil"/>
              <w:bottom w:val="single" w:color="000000" w:sz="4" w:space="0"/>
              <w:right w:val="nil"/>
            </w:tcBorders>
            <w:vAlign w:val="center"/>
          </w:tcPr>
          <w:p w14:paraId="3B60F03C">
            <w:pPr>
              <w:jc w:val="center"/>
              <w:rPr>
                <w:rFonts w:ascii="Times New Roman" w:hAnsi="Times New Roman" w:cs="Times New Roman"/>
                <w:b/>
                <w:sz w:val="18"/>
                <w:szCs w:val="18"/>
              </w:rPr>
            </w:pPr>
            <w:r>
              <w:rPr>
                <w:rFonts w:ascii="Times New Roman" w:hAnsi="Times New Roman" w:eastAsia="宋体" w:cs="Times New Roman"/>
                <w:b/>
                <w:bCs/>
                <w:sz w:val="18"/>
                <w:szCs w:val="18"/>
                <w:lang w:eastAsia="zh-CN" w:bidi="ar"/>
              </w:rPr>
              <w:t>Success check</w:t>
            </w:r>
          </w:p>
        </w:tc>
      </w:tr>
      <w:tr w14:paraId="0EC79E59">
        <w:tblPrEx>
          <w:tblCellMar>
            <w:top w:w="43" w:type="dxa"/>
            <w:left w:w="0" w:type="dxa"/>
            <w:bottom w:w="0" w:type="dxa"/>
            <w:right w:w="0" w:type="dxa"/>
          </w:tblCellMar>
        </w:tblPrEx>
        <w:trPr>
          <w:trHeight w:val="1503" w:hRule="atLeast"/>
        </w:trPr>
        <w:tc>
          <w:tcPr>
            <w:tcW w:w="2205" w:type="dxa"/>
            <w:tcBorders>
              <w:top w:val="single" w:color="000000" w:sz="4" w:space="0"/>
              <w:left w:val="nil"/>
              <w:bottom w:val="nil"/>
              <w:right w:val="nil"/>
            </w:tcBorders>
            <w:vAlign w:val="center"/>
          </w:tcPr>
          <w:p w14:paraId="7227F46A">
            <w:pPr>
              <w:jc w:val="center"/>
              <w:rPr>
                <w:rFonts w:ascii="Times New Roman" w:hAnsi="Times New Roman" w:cs="Times New Roman"/>
                <w:sz w:val="18"/>
                <w:szCs w:val="18"/>
              </w:rPr>
            </w:pPr>
            <w:r>
              <w:rPr>
                <w:rStyle w:val="8"/>
                <w:rFonts w:ascii="Times New Roman" w:hAnsi="Times New Roman" w:eastAsia="宋体" w:cs="Times New Roman"/>
                <w:sz w:val="18"/>
                <w:szCs w:val="18"/>
                <w:lang w:eastAsia="zh-CN" w:bidi="ar"/>
              </w:rPr>
              <w:t>S1 Data curation + label map</w:t>
            </w:r>
          </w:p>
        </w:tc>
        <w:tc>
          <w:tcPr>
            <w:tcW w:w="3117" w:type="dxa"/>
            <w:tcBorders>
              <w:top w:val="single" w:color="000000" w:sz="4" w:space="0"/>
              <w:left w:val="nil"/>
              <w:bottom w:val="nil"/>
              <w:right w:val="nil"/>
            </w:tcBorders>
            <w:vAlign w:val="center"/>
          </w:tcPr>
          <w:p w14:paraId="01D88CB5">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One glossary aligning label meanings across datasets.</w:t>
            </w:r>
          </w:p>
        </w:tc>
        <w:tc>
          <w:tcPr>
            <w:tcW w:w="2398" w:type="dxa"/>
            <w:tcBorders>
              <w:top w:val="single" w:color="000000" w:sz="4" w:space="0"/>
              <w:left w:val="nil"/>
              <w:bottom w:val="nil"/>
              <w:right w:val="nil"/>
            </w:tcBorders>
            <w:vAlign w:val="center"/>
          </w:tcPr>
          <w:p w14:paraId="6B9ABB84">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Removes artificial gains/losses from inconsistent labels.</w:t>
            </w:r>
          </w:p>
        </w:tc>
        <w:tc>
          <w:tcPr>
            <w:tcW w:w="1678" w:type="dxa"/>
            <w:tcBorders>
              <w:top w:val="single" w:color="000000" w:sz="4" w:space="0"/>
              <w:left w:val="nil"/>
              <w:bottom w:val="nil"/>
              <w:right w:val="nil"/>
            </w:tcBorders>
            <w:vAlign w:val="center"/>
          </w:tcPr>
          <w:p w14:paraId="2A18A6E6">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Public label glossary &amp; clean splits.</w:t>
            </w:r>
          </w:p>
        </w:tc>
      </w:tr>
      <w:tr w14:paraId="2B4708D3">
        <w:tblPrEx>
          <w:tblCellMar>
            <w:top w:w="43" w:type="dxa"/>
            <w:left w:w="0" w:type="dxa"/>
            <w:bottom w:w="0" w:type="dxa"/>
            <w:right w:w="0" w:type="dxa"/>
          </w:tblCellMar>
        </w:tblPrEx>
        <w:trPr>
          <w:trHeight w:val="1286" w:hRule="atLeast"/>
        </w:trPr>
        <w:tc>
          <w:tcPr>
            <w:tcW w:w="2205" w:type="dxa"/>
            <w:tcBorders>
              <w:top w:val="nil"/>
              <w:left w:val="nil"/>
              <w:bottom w:val="nil"/>
              <w:right w:val="nil"/>
            </w:tcBorders>
            <w:vAlign w:val="center"/>
          </w:tcPr>
          <w:p w14:paraId="1B12792D">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S2 Evaluation toolkit</w:t>
            </w:r>
          </w:p>
        </w:tc>
        <w:tc>
          <w:tcPr>
            <w:tcW w:w="3117" w:type="dxa"/>
            <w:tcBorders>
              <w:top w:val="nil"/>
              <w:left w:val="nil"/>
              <w:bottom w:val="nil"/>
              <w:right w:val="nil"/>
            </w:tcBorders>
            <w:vAlign w:val="center"/>
          </w:tcPr>
          <w:p w14:paraId="2EBF79B5">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Scripts for person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held</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out, cross</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dataset, calibration, fairness and efficiency.</w:t>
            </w:r>
          </w:p>
        </w:tc>
        <w:tc>
          <w:tcPr>
            <w:tcW w:w="2398" w:type="dxa"/>
            <w:tcBorders>
              <w:top w:val="nil"/>
              <w:left w:val="nil"/>
              <w:bottom w:val="nil"/>
              <w:right w:val="nil"/>
            </w:tcBorders>
            <w:vAlign w:val="center"/>
          </w:tcPr>
          <w:p w14:paraId="02ACDDBD">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Gives one honest recipe others can reuse.</w:t>
            </w:r>
          </w:p>
        </w:tc>
        <w:tc>
          <w:tcPr>
            <w:tcW w:w="1678" w:type="dxa"/>
            <w:tcBorders>
              <w:top w:val="nil"/>
              <w:left w:val="nil"/>
              <w:bottom w:val="nil"/>
              <w:right w:val="nil"/>
            </w:tcBorders>
            <w:vAlign w:val="center"/>
          </w:tcPr>
          <w:p w14:paraId="3CC34BFD">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All metrics logged reproducibly.</w:t>
            </w:r>
          </w:p>
        </w:tc>
      </w:tr>
      <w:tr w14:paraId="0DDBF276">
        <w:tblPrEx>
          <w:tblCellMar>
            <w:top w:w="43" w:type="dxa"/>
            <w:left w:w="0" w:type="dxa"/>
            <w:bottom w:w="0" w:type="dxa"/>
            <w:right w:w="0" w:type="dxa"/>
          </w:tblCellMar>
        </w:tblPrEx>
        <w:trPr>
          <w:trHeight w:val="2115" w:hRule="atLeast"/>
        </w:trPr>
        <w:tc>
          <w:tcPr>
            <w:tcW w:w="2205" w:type="dxa"/>
            <w:tcBorders>
              <w:top w:val="nil"/>
              <w:left w:val="nil"/>
              <w:bottom w:val="nil"/>
              <w:right w:val="nil"/>
            </w:tcBorders>
            <w:vAlign w:val="center"/>
          </w:tcPr>
          <w:p w14:paraId="5F2A3DF3">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S3 Baselines</w:t>
            </w:r>
            <w:r>
              <w:rPr>
                <w:rFonts w:ascii="Times New Roman" w:hAnsi="Times New Roman" w:eastAsia="宋体" w:cs="Times New Roman"/>
                <w:sz w:val="18"/>
                <w:szCs w:val="18"/>
                <w:lang w:eastAsia="zh-CN" w:bidi="ar"/>
              </w:rPr>
              <w:t xml:space="preserve"> (KNN; </w:t>
            </w:r>
            <w:r>
              <w:rPr>
                <w:rStyle w:val="8"/>
                <w:rFonts w:ascii="Times New Roman" w:hAnsi="Times New Roman" w:eastAsia="宋体" w:cs="Times New Roman"/>
                <w:sz w:val="18"/>
                <w:szCs w:val="18"/>
                <w:lang w:eastAsia="zh-CN" w:bidi="ar"/>
              </w:rPr>
              <w:t>Random Forest</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InceptionTime</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MultiRocket</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Transformer</w:t>
            </w:r>
            <w:r>
              <w:rPr>
                <w:rFonts w:ascii="Times New Roman" w:hAnsi="Times New Roman" w:eastAsia="宋体" w:cs="Times New Roman"/>
                <w:sz w:val="18"/>
                <w:szCs w:val="18"/>
                <w:lang w:eastAsia="zh-CN" w:bidi="ar"/>
              </w:rPr>
              <w:t xml:space="preserve"> )</w:t>
            </w:r>
          </w:p>
        </w:tc>
        <w:tc>
          <w:tcPr>
            <w:tcW w:w="3117" w:type="dxa"/>
            <w:tcBorders>
              <w:top w:val="nil"/>
              <w:left w:val="nil"/>
              <w:bottom w:val="nil"/>
              <w:right w:val="nil"/>
            </w:tcBorders>
            <w:vAlign w:val="center"/>
          </w:tcPr>
          <w:p w14:paraId="72976F10">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Yardsticks across methods and budgets.</w:t>
            </w:r>
          </w:p>
        </w:tc>
        <w:tc>
          <w:tcPr>
            <w:tcW w:w="2398" w:type="dxa"/>
            <w:tcBorders>
              <w:top w:val="nil"/>
              <w:left w:val="nil"/>
              <w:bottom w:val="nil"/>
              <w:right w:val="nil"/>
            </w:tcBorders>
            <w:vAlign w:val="center"/>
          </w:tcPr>
          <w:p w14:paraId="368CA635">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Prevents cherry</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picking.</w:t>
            </w:r>
          </w:p>
        </w:tc>
        <w:tc>
          <w:tcPr>
            <w:tcW w:w="1678" w:type="dxa"/>
            <w:tcBorders>
              <w:top w:val="nil"/>
              <w:left w:val="nil"/>
              <w:bottom w:val="nil"/>
              <w:right w:val="nil"/>
            </w:tcBorders>
            <w:vAlign w:val="center"/>
          </w:tcPr>
          <w:p w14:paraId="4CD12096">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Leakage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free training &amp; full logs.</w:t>
            </w:r>
          </w:p>
        </w:tc>
      </w:tr>
      <w:tr w14:paraId="4E350B2F">
        <w:tblPrEx>
          <w:tblCellMar>
            <w:top w:w="43" w:type="dxa"/>
            <w:left w:w="0" w:type="dxa"/>
            <w:bottom w:w="0" w:type="dxa"/>
            <w:right w:w="0" w:type="dxa"/>
          </w:tblCellMar>
        </w:tblPrEx>
        <w:trPr>
          <w:trHeight w:val="1493" w:hRule="atLeast"/>
        </w:trPr>
        <w:tc>
          <w:tcPr>
            <w:tcW w:w="2205" w:type="dxa"/>
            <w:tcBorders>
              <w:top w:val="nil"/>
              <w:left w:val="nil"/>
              <w:bottom w:val="nil"/>
              <w:right w:val="nil"/>
            </w:tcBorders>
            <w:vAlign w:val="center"/>
          </w:tcPr>
          <w:p w14:paraId="49F155C9">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S4 Hybrid + uncertainty head</w:t>
            </w:r>
          </w:p>
        </w:tc>
        <w:tc>
          <w:tcPr>
            <w:tcW w:w="3117" w:type="dxa"/>
            <w:tcBorders>
              <w:top w:val="nil"/>
              <w:left w:val="nil"/>
              <w:bottom w:val="nil"/>
              <w:right w:val="nil"/>
            </w:tcBorders>
            <w:vAlign w:val="center"/>
          </w:tcPr>
          <w:p w14:paraId="4A74CD58">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Small conv + compact attention; an extra output estimates confidence.</w:t>
            </w:r>
          </w:p>
        </w:tc>
        <w:tc>
          <w:tcPr>
            <w:tcW w:w="2398" w:type="dxa"/>
            <w:tcBorders>
              <w:top w:val="nil"/>
              <w:left w:val="nil"/>
              <w:bottom w:val="nil"/>
              <w:right w:val="nil"/>
            </w:tcBorders>
            <w:vAlign w:val="center"/>
          </w:tcPr>
          <w:p w14:paraId="7DF69430">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Balances accuracy and efficiency; enables R1.</w:t>
            </w:r>
          </w:p>
        </w:tc>
        <w:tc>
          <w:tcPr>
            <w:tcW w:w="1678" w:type="dxa"/>
            <w:tcBorders>
              <w:top w:val="nil"/>
              <w:left w:val="nil"/>
              <w:bottom w:val="nil"/>
              <w:right w:val="nil"/>
            </w:tcBorders>
            <w:vAlign w:val="center"/>
          </w:tcPr>
          <w:p w14:paraId="779FF2DD">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 xml:space="preserve">Meets </w:t>
            </w:r>
            <w:r>
              <w:rPr>
                <w:rStyle w:val="8"/>
                <w:rFonts w:ascii="Times New Roman" w:hAnsi="Times New Roman" w:eastAsia="宋体" w:cs="Times New Roman"/>
                <w:sz w:val="18"/>
                <w:szCs w:val="18"/>
                <w:lang w:eastAsia="zh-CN" w:bidi="ar"/>
              </w:rPr>
              <w:t>R1–R3</w:t>
            </w:r>
            <w:r>
              <w:rPr>
                <w:rFonts w:ascii="Times New Roman" w:hAnsi="Times New Roman" w:eastAsia="宋体" w:cs="Times New Roman"/>
                <w:sz w:val="18"/>
                <w:szCs w:val="18"/>
                <w:lang w:eastAsia="zh-CN" w:bidi="ar"/>
              </w:rPr>
              <w:t xml:space="preserve"> thresholds.</w:t>
            </w:r>
          </w:p>
        </w:tc>
      </w:tr>
      <w:tr w14:paraId="6DA8DCBA">
        <w:tblPrEx>
          <w:tblCellMar>
            <w:top w:w="43" w:type="dxa"/>
            <w:left w:w="0" w:type="dxa"/>
            <w:bottom w:w="0" w:type="dxa"/>
            <w:right w:w="0" w:type="dxa"/>
          </w:tblCellMar>
        </w:tblPrEx>
        <w:trPr>
          <w:trHeight w:val="1078" w:hRule="atLeast"/>
        </w:trPr>
        <w:tc>
          <w:tcPr>
            <w:tcW w:w="2205" w:type="dxa"/>
            <w:tcBorders>
              <w:top w:val="nil"/>
              <w:left w:val="nil"/>
              <w:bottom w:val="nil"/>
              <w:right w:val="nil"/>
            </w:tcBorders>
            <w:vAlign w:val="center"/>
          </w:tcPr>
          <w:p w14:paraId="63FAF080">
            <w:pPr>
              <w:jc w:val="center"/>
              <w:rPr>
                <w:rFonts w:ascii="Times New Roman" w:hAnsi="Times New Roman" w:eastAsia="宋体" w:cs="Times New Roman"/>
                <w:sz w:val="18"/>
                <w:szCs w:val="18"/>
                <w:lang w:eastAsia="zh-CN" w:bidi="ar"/>
              </w:rPr>
            </w:pPr>
            <w:r>
              <w:rPr>
                <w:rStyle w:val="8"/>
                <w:rFonts w:ascii="Times New Roman" w:hAnsi="Times New Roman" w:eastAsia="宋体" w:cs="Times New Roman"/>
                <w:sz w:val="18"/>
                <w:szCs w:val="18"/>
                <w:lang w:eastAsia="zh-CN" w:bidi="ar"/>
              </w:rPr>
              <w:t>S5 Android demo + profiler</w:t>
            </w:r>
          </w:p>
        </w:tc>
        <w:tc>
          <w:tcPr>
            <w:tcW w:w="3117" w:type="dxa"/>
            <w:tcBorders>
              <w:top w:val="nil"/>
              <w:left w:val="nil"/>
              <w:bottom w:val="nil"/>
              <w:right w:val="nil"/>
            </w:tcBorders>
            <w:vAlign w:val="center"/>
          </w:tcPr>
          <w:p w14:paraId="2CE943F4">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Measures real latency/energy on phone.</w:t>
            </w:r>
          </w:p>
        </w:tc>
        <w:tc>
          <w:tcPr>
            <w:tcW w:w="2398" w:type="dxa"/>
            <w:tcBorders>
              <w:top w:val="nil"/>
              <w:left w:val="nil"/>
              <w:bottom w:val="nil"/>
              <w:right w:val="nil"/>
            </w:tcBorders>
            <w:vAlign w:val="center"/>
          </w:tcPr>
          <w:p w14:paraId="0BE0BF3C">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Ensures claims hold on device.</w:t>
            </w:r>
          </w:p>
        </w:tc>
        <w:tc>
          <w:tcPr>
            <w:tcW w:w="1678" w:type="dxa"/>
            <w:tcBorders>
              <w:top w:val="nil"/>
              <w:left w:val="nil"/>
              <w:bottom w:val="nil"/>
              <w:right w:val="nil"/>
            </w:tcBorders>
            <w:vAlign w:val="center"/>
          </w:tcPr>
          <w:p w14:paraId="4815213C">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 xml:space="preserve">Matches </w:t>
            </w:r>
            <w:r>
              <w:rPr>
                <w:rStyle w:val="8"/>
                <w:rFonts w:ascii="Times New Roman" w:hAnsi="Times New Roman" w:eastAsia="宋体" w:cs="Times New Roman"/>
                <w:sz w:val="18"/>
                <w:szCs w:val="18"/>
                <w:lang w:eastAsia="zh-CN" w:bidi="ar"/>
              </w:rPr>
              <w:t>R3</w:t>
            </w:r>
            <w:r>
              <w:rPr>
                <w:rFonts w:ascii="Times New Roman" w:hAnsi="Times New Roman" w:eastAsia="宋体" w:cs="Times New Roman"/>
                <w:sz w:val="18"/>
                <w:szCs w:val="18"/>
                <w:lang w:eastAsia="zh-CN" w:bidi="ar"/>
              </w:rPr>
              <w:t xml:space="preserve"> metrics.</w:t>
            </w:r>
          </w:p>
        </w:tc>
      </w:tr>
      <w:tr w14:paraId="5DCCB660">
        <w:tblPrEx>
          <w:tblCellMar>
            <w:top w:w="43" w:type="dxa"/>
            <w:left w:w="0" w:type="dxa"/>
            <w:bottom w:w="0" w:type="dxa"/>
            <w:right w:w="0" w:type="dxa"/>
          </w:tblCellMar>
        </w:tblPrEx>
        <w:trPr>
          <w:trHeight w:val="1078" w:hRule="atLeast"/>
        </w:trPr>
        <w:tc>
          <w:tcPr>
            <w:tcW w:w="2205" w:type="dxa"/>
            <w:tcBorders>
              <w:top w:val="nil"/>
              <w:left w:val="nil"/>
              <w:bottom w:val="nil"/>
              <w:right w:val="nil"/>
            </w:tcBorders>
            <w:vAlign w:val="center"/>
          </w:tcPr>
          <w:p w14:paraId="0228B4EC">
            <w:pPr>
              <w:jc w:val="center"/>
              <w:rPr>
                <w:rStyle w:val="8"/>
                <w:rFonts w:ascii="Times New Roman" w:hAnsi="Times New Roman" w:eastAsia="宋体" w:cs="Times New Roman"/>
                <w:sz w:val="18"/>
                <w:szCs w:val="18"/>
                <w:lang w:eastAsia="zh-CN" w:bidi="ar"/>
              </w:rPr>
            </w:pPr>
            <w:r>
              <w:rPr>
                <w:rStyle w:val="8"/>
                <w:rFonts w:ascii="Times New Roman" w:hAnsi="Times New Roman" w:eastAsia="宋体" w:cs="Times New Roman"/>
                <w:sz w:val="18"/>
                <w:szCs w:val="18"/>
                <w:lang w:eastAsia="zh-CN" w:bidi="ar"/>
              </w:rPr>
              <w:t>S6 Analysis &amp; guidance</w:t>
            </w:r>
          </w:p>
        </w:tc>
        <w:tc>
          <w:tcPr>
            <w:tcW w:w="3117" w:type="dxa"/>
            <w:tcBorders>
              <w:top w:val="nil"/>
              <w:left w:val="nil"/>
              <w:bottom w:val="nil"/>
              <w:right w:val="nil"/>
            </w:tcBorders>
            <w:vAlign w:val="center"/>
          </w:tcPr>
          <w:p w14:paraId="6EB18431">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Plain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English trade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offs; only Pareto</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best settings recommended.</w:t>
            </w:r>
          </w:p>
        </w:tc>
        <w:tc>
          <w:tcPr>
            <w:tcW w:w="2398" w:type="dxa"/>
            <w:tcBorders>
              <w:top w:val="nil"/>
              <w:left w:val="nil"/>
              <w:bottom w:val="nil"/>
              <w:right w:val="nil"/>
            </w:tcBorders>
            <w:vAlign w:val="center"/>
          </w:tcPr>
          <w:p w14:paraId="2B29506E">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Actionable choices for users/developers.</w:t>
            </w:r>
          </w:p>
        </w:tc>
        <w:tc>
          <w:tcPr>
            <w:tcW w:w="1678" w:type="dxa"/>
            <w:tcBorders>
              <w:top w:val="nil"/>
              <w:left w:val="nil"/>
              <w:bottom w:val="nil"/>
              <w:right w:val="nil"/>
            </w:tcBorders>
            <w:vAlign w:val="center"/>
          </w:tcPr>
          <w:p w14:paraId="6AFF437B">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Clear tables/figures.</w:t>
            </w:r>
          </w:p>
        </w:tc>
      </w:tr>
      <w:tr w14:paraId="2DDBC286">
        <w:tblPrEx>
          <w:tblCellMar>
            <w:top w:w="43" w:type="dxa"/>
            <w:left w:w="0" w:type="dxa"/>
            <w:bottom w:w="0" w:type="dxa"/>
            <w:right w:w="0" w:type="dxa"/>
          </w:tblCellMar>
        </w:tblPrEx>
        <w:trPr>
          <w:trHeight w:val="926" w:hRule="atLeast"/>
        </w:trPr>
        <w:tc>
          <w:tcPr>
            <w:tcW w:w="2205" w:type="dxa"/>
            <w:tcBorders>
              <w:top w:val="nil"/>
              <w:left w:val="nil"/>
              <w:bottom w:val="nil"/>
              <w:right w:val="nil"/>
            </w:tcBorders>
            <w:vAlign w:val="center"/>
          </w:tcPr>
          <w:p w14:paraId="117D61E9">
            <w:pPr>
              <w:jc w:val="center"/>
              <w:rPr>
                <w:rStyle w:val="8"/>
                <w:rFonts w:ascii="Times New Roman" w:hAnsi="Times New Roman" w:eastAsia="宋体" w:cs="Times New Roman"/>
                <w:sz w:val="18"/>
                <w:szCs w:val="18"/>
                <w:lang w:eastAsia="zh-CN" w:bidi="ar"/>
              </w:rPr>
            </w:pPr>
            <w:r>
              <w:rPr>
                <w:rStyle w:val="8"/>
                <w:rFonts w:ascii="Times New Roman" w:hAnsi="Times New Roman" w:eastAsia="宋体" w:cs="Times New Roman"/>
                <w:sz w:val="18"/>
                <w:szCs w:val="18"/>
                <w:lang w:eastAsia="zh-CN" w:bidi="ar"/>
              </w:rPr>
              <w:t>S7 Report &amp; open artefacts</w:t>
            </w:r>
          </w:p>
        </w:tc>
        <w:tc>
          <w:tcPr>
            <w:tcW w:w="3117" w:type="dxa"/>
            <w:tcBorders>
              <w:top w:val="nil"/>
              <w:left w:val="nil"/>
              <w:bottom w:val="nil"/>
              <w:right w:val="nil"/>
            </w:tcBorders>
            <w:vAlign w:val="center"/>
          </w:tcPr>
          <w:p w14:paraId="1221E3BD">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Paper</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style report; code, configs, seeds, model cards.</w:t>
            </w:r>
          </w:p>
        </w:tc>
        <w:tc>
          <w:tcPr>
            <w:tcW w:w="2398" w:type="dxa"/>
            <w:tcBorders>
              <w:top w:val="nil"/>
              <w:left w:val="nil"/>
              <w:bottom w:val="nil"/>
              <w:right w:val="nil"/>
            </w:tcBorders>
            <w:vAlign w:val="center"/>
          </w:tcPr>
          <w:p w14:paraId="392A9710">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Transparency and reuse.</w:t>
            </w:r>
          </w:p>
        </w:tc>
        <w:tc>
          <w:tcPr>
            <w:tcW w:w="1678" w:type="dxa"/>
            <w:tcBorders>
              <w:top w:val="nil"/>
              <w:left w:val="nil"/>
              <w:bottom w:val="nil"/>
              <w:right w:val="nil"/>
            </w:tcBorders>
            <w:vAlign w:val="center"/>
          </w:tcPr>
          <w:p w14:paraId="31F20CA4">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License + DOI released.</w:t>
            </w:r>
          </w:p>
        </w:tc>
      </w:tr>
    </w:tbl>
    <w:p w14:paraId="62C26B70">
      <w:pPr>
        <w:pStyle w:val="2"/>
        <w:spacing w:before="198" w:line="344" w:lineRule="auto"/>
        <w:jc w:val="both"/>
        <w:rPr>
          <w:color w:val="231F20"/>
          <w:spacing w:val="2"/>
          <w:sz w:val="18"/>
          <w:szCs w:val="18"/>
        </w:rPr>
      </w:pPr>
    </w:p>
    <w:p w14:paraId="57A0A2F2">
      <w:pPr>
        <w:pStyle w:val="2"/>
        <w:spacing w:before="198" w:line="344" w:lineRule="auto"/>
        <w:jc w:val="both"/>
        <w:rPr>
          <w:color w:val="231F20"/>
          <w:spacing w:val="2"/>
          <w:sz w:val="18"/>
          <w:szCs w:val="18"/>
        </w:rPr>
      </w:pPr>
    </w:p>
    <w:p w14:paraId="4897F009">
      <w:pPr>
        <w:pStyle w:val="2"/>
        <w:spacing w:before="198" w:line="344" w:lineRule="auto"/>
        <w:jc w:val="center"/>
        <w:rPr>
          <w:rFonts w:eastAsiaTheme="minorEastAsia"/>
          <w:color w:val="231F20"/>
          <w:spacing w:val="2"/>
          <w:sz w:val="18"/>
          <w:szCs w:val="18"/>
          <w:lang w:eastAsia="zh-CN"/>
        </w:rPr>
      </w:pPr>
    </w:p>
    <w:p w14:paraId="07E0661C">
      <w:pPr>
        <w:pStyle w:val="2"/>
        <w:spacing w:before="198" w:line="344" w:lineRule="auto"/>
        <w:jc w:val="center"/>
        <w:rPr>
          <w:rFonts w:eastAsiaTheme="minorEastAsia"/>
          <w:color w:val="231F20"/>
          <w:spacing w:val="2"/>
          <w:sz w:val="18"/>
          <w:szCs w:val="18"/>
          <w:lang w:eastAsia="zh-CN"/>
        </w:rPr>
      </w:pPr>
    </w:p>
    <w:p w14:paraId="46B9F5AC">
      <w:pPr>
        <w:pStyle w:val="2"/>
        <w:spacing w:before="198" w:line="344" w:lineRule="auto"/>
        <w:jc w:val="center"/>
        <w:rPr>
          <w:rFonts w:eastAsiaTheme="minorEastAsia"/>
          <w:color w:val="231F20"/>
          <w:spacing w:val="2"/>
          <w:sz w:val="18"/>
          <w:szCs w:val="18"/>
          <w:lang w:eastAsia="zh-CN"/>
        </w:rPr>
      </w:pPr>
    </w:p>
    <w:p w14:paraId="6712957C">
      <w:pPr>
        <w:pStyle w:val="2"/>
        <w:spacing w:before="198" w:line="344" w:lineRule="auto"/>
        <w:jc w:val="center"/>
        <w:rPr>
          <w:rFonts w:eastAsiaTheme="minorEastAsia"/>
          <w:color w:val="231F20"/>
          <w:spacing w:val="2"/>
          <w:sz w:val="18"/>
          <w:szCs w:val="18"/>
          <w:lang w:eastAsia="zh-CN"/>
        </w:rPr>
      </w:pPr>
    </w:p>
    <w:p w14:paraId="4EFD9342">
      <w:pPr>
        <w:pStyle w:val="2"/>
        <w:spacing w:before="198" w:line="344" w:lineRule="auto"/>
        <w:jc w:val="center"/>
        <w:rPr>
          <w:rFonts w:eastAsiaTheme="minorEastAsia"/>
          <w:color w:val="231F20"/>
          <w:spacing w:val="2"/>
          <w:sz w:val="18"/>
          <w:szCs w:val="18"/>
          <w:lang w:eastAsia="zh-CN"/>
        </w:rPr>
      </w:pPr>
    </w:p>
    <w:p w14:paraId="71072350">
      <w:pPr>
        <w:pStyle w:val="2"/>
        <w:spacing w:before="198" w:line="344" w:lineRule="auto"/>
        <w:jc w:val="center"/>
        <w:rPr>
          <w:color w:val="231F20"/>
          <w:spacing w:val="2"/>
          <w:sz w:val="18"/>
          <w:szCs w:val="18"/>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8</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Planned subject/split design</w:t>
      </w:r>
    </w:p>
    <w:tbl>
      <w:tblPr>
        <w:tblStyle w:val="13"/>
        <w:tblpPr w:leftFromText="180" w:rightFromText="180" w:vertAnchor="text" w:horzAnchor="page" w:tblpXSpec="center" w:tblpY="23"/>
        <w:tblOverlap w:val="never"/>
        <w:tblW w:w="9219" w:type="dxa"/>
        <w:jc w:val="center"/>
        <w:tblLayout w:type="autofit"/>
        <w:tblCellMar>
          <w:top w:w="43" w:type="dxa"/>
          <w:left w:w="0" w:type="dxa"/>
          <w:bottom w:w="0" w:type="dxa"/>
          <w:right w:w="0" w:type="dxa"/>
        </w:tblCellMar>
      </w:tblPr>
      <w:tblGrid>
        <w:gridCol w:w="2163"/>
        <w:gridCol w:w="2512"/>
        <w:gridCol w:w="2165"/>
        <w:gridCol w:w="2379"/>
      </w:tblGrid>
      <w:tr w14:paraId="35ABECC6">
        <w:trPr>
          <w:trHeight w:val="697" w:hRule="atLeast"/>
          <w:jc w:val="center"/>
        </w:trPr>
        <w:tc>
          <w:tcPr>
            <w:tcW w:w="2163" w:type="dxa"/>
            <w:tcBorders>
              <w:top w:val="single" w:color="000000" w:sz="6" w:space="0"/>
              <w:left w:val="nil"/>
              <w:bottom w:val="single" w:color="000000" w:sz="4" w:space="0"/>
              <w:right w:val="nil"/>
            </w:tcBorders>
            <w:vAlign w:val="center"/>
          </w:tcPr>
          <w:p w14:paraId="39E2BA2F">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Research question (from Sec. 1–2)</w:t>
            </w:r>
          </w:p>
        </w:tc>
        <w:tc>
          <w:tcPr>
            <w:tcW w:w="2512" w:type="dxa"/>
            <w:tcBorders>
              <w:top w:val="single" w:color="000000" w:sz="6" w:space="0"/>
              <w:left w:val="nil"/>
              <w:bottom w:val="single" w:color="000000" w:sz="4" w:space="0"/>
              <w:right w:val="nil"/>
            </w:tcBorders>
            <w:vAlign w:val="center"/>
          </w:tcPr>
          <w:p w14:paraId="4A0D7C4F">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R</w:t>
            </w:r>
            <w:r>
              <w:rPr>
                <w:rFonts w:hint="eastAsia" w:ascii="Times New Roman" w:hAnsi="Times New Roman" w:eastAsia="宋体" w:cs="Times New Roman"/>
                <w:b/>
                <w:bCs/>
                <w:sz w:val="18"/>
                <w:szCs w:val="18"/>
                <w:lang w:eastAsia="zh-CN" w:bidi="ar"/>
              </w:rPr>
              <w:t>equirement</w:t>
            </w:r>
          </w:p>
        </w:tc>
        <w:tc>
          <w:tcPr>
            <w:tcW w:w="2165" w:type="dxa"/>
            <w:tcBorders>
              <w:top w:val="single" w:color="000000" w:sz="6" w:space="0"/>
              <w:left w:val="nil"/>
              <w:bottom w:val="single" w:color="000000" w:sz="4" w:space="0"/>
              <w:right w:val="nil"/>
            </w:tcBorders>
            <w:vAlign w:val="center"/>
          </w:tcPr>
          <w:p w14:paraId="0266B75F">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S</w:t>
            </w:r>
            <w:r>
              <w:rPr>
                <w:rFonts w:hint="eastAsia" w:ascii="Times New Roman" w:hAnsi="Times New Roman" w:eastAsia="宋体" w:cs="Times New Roman"/>
                <w:b/>
                <w:bCs/>
                <w:sz w:val="18"/>
                <w:szCs w:val="18"/>
                <w:lang w:eastAsia="zh-CN" w:bidi="ar"/>
              </w:rPr>
              <w:t>ubject</w:t>
            </w:r>
          </w:p>
        </w:tc>
        <w:tc>
          <w:tcPr>
            <w:tcW w:w="2379" w:type="dxa"/>
            <w:tcBorders>
              <w:top w:val="single" w:color="000000" w:sz="6" w:space="0"/>
              <w:left w:val="nil"/>
              <w:bottom w:val="single" w:color="000000" w:sz="4" w:space="0"/>
              <w:right w:val="nil"/>
            </w:tcBorders>
            <w:vAlign w:val="center"/>
          </w:tcPr>
          <w:p w14:paraId="399574BB">
            <w:pPr>
              <w:jc w:val="center"/>
              <w:rPr>
                <w:rFonts w:ascii="Times New Roman" w:hAnsi="Times New Roman" w:cs="Times New Roman"/>
                <w:b/>
                <w:sz w:val="18"/>
                <w:szCs w:val="18"/>
              </w:rPr>
            </w:pPr>
            <w:r>
              <w:rPr>
                <w:rFonts w:ascii="Times New Roman" w:hAnsi="Times New Roman" w:eastAsia="宋体" w:cs="Times New Roman"/>
                <w:b/>
                <w:bCs/>
                <w:sz w:val="18"/>
                <w:szCs w:val="18"/>
                <w:lang w:eastAsia="zh-CN" w:bidi="ar"/>
              </w:rPr>
              <w:t>Metric (threshold)</w:t>
            </w:r>
          </w:p>
        </w:tc>
      </w:tr>
      <w:tr w14:paraId="5734E563">
        <w:tblPrEx>
          <w:tblCellMar>
            <w:top w:w="43" w:type="dxa"/>
            <w:left w:w="0" w:type="dxa"/>
            <w:bottom w:w="0" w:type="dxa"/>
            <w:right w:w="0" w:type="dxa"/>
          </w:tblCellMar>
        </w:tblPrEx>
        <w:trPr>
          <w:trHeight w:val="810" w:hRule="atLeast"/>
          <w:jc w:val="center"/>
        </w:trPr>
        <w:tc>
          <w:tcPr>
            <w:tcW w:w="2163" w:type="dxa"/>
            <w:tcBorders>
              <w:top w:val="single" w:color="000000" w:sz="4" w:space="0"/>
              <w:left w:val="nil"/>
              <w:bottom w:val="nil"/>
              <w:right w:val="nil"/>
            </w:tcBorders>
            <w:vAlign w:val="center"/>
          </w:tcPr>
          <w:p w14:paraId="1FA7334F">
            <w:pPr>
              <w:jc w:val="center"/>
              <w:rPr>
                <w:rFonts w:ascii="Times New Roman" w:hAnsi="Times New Roman" w:cs="Times New Roman"/>
                <w:sz w:val="18"/>
                <w:szCs w:val="18"/>
              </w:rPr>
            </w:pPr>
            <w:r>
              <w:rPr>
                <w:rStyle w:val="8"/>
                <w:rFonts w:ascii="Times New Roman" w:hAnsi="Times New Roman" w:eastAsia="宋体" w:cs="Times New Roman"/>
                <w:sz w:val="18"/>
                <w:szCs w:val="18"/>
                <w:lang w:eastAsia="zh-CN" w:bidi="ar"/>
              </w:rPr>
              <w:t>Q1 Fair selection across people/datasets</w:t>
            </w:r>
          </w:p>
        </w:tc>
        <w:tc>
          <w:tcPr>
            <w:tcW w:w="2512" w:type="dxa"/>
            <w:tcBorders>
              <w:top w:val="single" w:color="000000" w:sz="4" w:space="0"/>
              <w:left w:val="nil"/>
              <w:bottom w:val="nil"/>
              <w:right w:val="nil"/>
            </w:tcBorders>
            <w:vAlign w:val="center"/>
          </w:tcPr>
          <w:p w14:paraId="6C682D3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R2, R5</w:t>
            </w:r>
          </w:p>
        </w:tc>
        <w:tc>
          <w:tcPr>
            <w:tcW w:w="2165" w:type="dxa"/>
            <w:tcBorders>
              <w:top w:val="single" w:color="000000" w:sz="4" w:space="0"/>
              <w:left w:val="nil"/>
              <w:bottom w:val="nil"/>
              <w:right w:val="nil"/>
            </w:tcBorders>
            <w:vAlign w:val="center"/>
          </w:tcPr>
          <w:p w14:paraId="739ACCA6">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S1–S3, S6</w:t>
            </w:r>
          </w:p>
        </w:tc>
        <w:tc>
          <w:tcPr>
            <w:tcW w:w="2379" w:type="dxa"/>
            <w:tcBorders>
              <w:top w:val="single" w:color="000000" w:sz="4" w:space="0"/>
              <w:left w:val="nil"/>
              <w:bottom w:val="nil"/>
              <w:right w:val="nil"/>
            </w:tcBorders>
            <w:vAlign w:val="center"/>
          </w:tcPr>
          <w:p w14:paraId="14A9F551">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LOSO &amp; cross</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dataset accuracy; </w:t>
            </w:r>
            <w:r>
              <w:rPr>
                <w:rStyle w:val="8"/>
                <w:rFonts w:ascii="Times New Roman" w:hAnsi="Times New Roman" w:eastAsia="宋体" w:cs="Times New Roman"/>
                <w:sz w:val="18"/>
                <w:szCs w:val="18"/>
                <w:lang w:eastAsia="zh-CN" w:bidi="ar"/>
              </w:rPr>
              <w:t>fairness gap ≤5 pp</w:t>
            </w:r>
            <w:r>
              <w:rPr>
                <w:rFonts w:ascii="Times New Roman" w:hAnsi="Times New Roman" w:eastAsia="宋体" w:cs="Times New Roman"/>
                <w:sz w:val="18"/>
                <w:szCs w:val="18"/>
                <w:lang w:eastAsia="zh-CN" w:bidi="ar"/>
              </w:rPr>
              <w:t>.</w:t>
            </w:r>
          </w:p>
        </w:tc>
      </w:tr>
      <w:tr w14:paraId="35BE8518">
        <w:tblPrEx>
          <w:tblCellMar>
            <w:top w:w="43" w:type="dxa"/>
            <w:left w:w="0" w:type="dxa"/>
            <w:bottom w:w="0" w:type="dxa"/>
            <w:right w:w="0" w:type="dxa"/>
          </w:tblCellMar>
        </w:tblPrEx>
        <w:trPr>
          <w:trHeight w:val="805" w:hRule="atLeast"/>
          <w:jc w:val="center"/>
        </w:trPr>
        <w:tc>
          <w:tcPr>
            <w:tcW w:w="2163" w:type="dxa"/>
            <w:tcBorders>
              <w:top w:val="nil"/>
              <w:left w:val="nil"/>
              <w:bottom w:val="nil"/>
              <w:right w:val="nil"/>
            </w:tcBorders>
            <w:vAlign w:val="center"/>
          </w:tcPr>
          <w:p w14:paraId="2350F350">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Q2 Reliable, honest decisions</w:t>
            </w:r>
          </w:p>
        </w:tc>
        <w:tc>
          <w:tcPr>
            <w:tcW w:w="2512" w:type="dxa"/>
            <w:tcBorders>
              <w:top w:val="nil"/>
              <w:left w:val="nil"/>
              <w:bottom w:val="nil"/>
              <w:right w:val="nil"/>
            </w:tcBorders>
            <w:vAlign w:val="center"/>
          </w:tcPr>
          <w:p w14:paraId="73931090">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R1</w:t>
            </w:r>
          </w:p>
        </w:tc>
        <w:tc>
          <w:tcPr>
            <w:tcW w:w="2165" w:type="dxa"/>
            <w:tcBorders>
              <w:top w:val="nil"/>
              <w:left w:val="nil"/>
              <w:bottom w:val="nil"/>
              <w:right w:val="nil"/>
            </w:tcBorders>
            <w:vAlign w:val="center"/>
          </w:tcPr>
          <w:p w14:paraId="6BEF4F9C">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S2–S4, S6</w:t>
            </w:r>
          </w:p>
        </w:tc>
        <w:tc>
          <w:tcPr>
            <w:tcW w:w="2379" w:type="dxa"/>
            <w:tcBorders>
              <w:top w:val="nil"/>
              <w:left w:val="nil"/>
              <w:bottom w:val="nil"/>
              <w:right w:val="nil"/>
            </w:tcBorders>
            <w:vAlign w:val="center"/>
          </w:tcPr>
          <w:p w14:paraId="56CDF1B5">
            <w:pPr>
              <w:jc w:val="center"/>
              <w:rPr>
                <w:rFonts w:ascii="Times New Roman" w:hAnsi="Times New Roman" w:cs="Times New Roman"/>
                <w:sz w:val="18"/>
                <w:szCs w:val="18"/>
              </w:rPr>
            </w:pPr>
            <w:r>
              <w:rPr>
                <w:rStyle w:val="8"/>
                <w:rFonts w:ascii="Times New Roman" w:hAnsi="Times New Roman" w:eastAsia="宋体" w:cs="Times New Roman"/>
                <w:sz w:val="18"/>
                <w:szCs w:val="18"/>
                <w:lang w:eastAsia="zh-CN" w:bidi="ar"/>
              </w:rPr>
              <w:t>Coverage ≥90%</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avg set size ≤2</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ECE ≤0.05</w:t>
            </w:r>
            <w:r>
              <w:rPr>
                <w:rFonts w:ascii="Times New Roman" w:hAnsi="Times New Roman" w:eastAsia="宋体" w:cs="Times New Roman"/>
                <w:sz w:val="18"/>
                <w:szCs w:val="18"/>
                <w:lang w:eastAsia="zh-CN" w:bidi="ar"/>
              </w:rPr>
              <w:t>.</w:t>
            </w:r>
          </w:p>
        </w:tc>
      </w:tr>
      <w:tr w14:paraId="74E8F597">
        <w:tblPrEx>
          <w:tblCellMar>
            <w:top w:w="43" w:type="dxa"/>
            <w:left w:w="0" w:type="dxa"/>
            <w:bottom w:w="0" w:type="dxa"/>
            <w:right w:w="0" w:type="dxa"/>
          </w:tblCellMar>
        </w:tblPrEx>
        <w:trPr>
          <w:trHeight w:val="1007" w:hRule="atLeast"/>
          <w:jc w:val="center"/>
        </w:trPr>
        <w:tc>
          <w:tcPr>
            <w:tcW w:w="2163" w:type="dxa"/>
            <w:tcBorders>
              <w:top w:val="nil"/>
              <w:left w:val="nil"/>
              <w:bottom w:val="nil"/>
              <w:right w:val="nil"/>
            </w:tcBorders>
            <w:vAlign w:val="center"/>
          </w:tcPr>
          <w:p w14:paraId="6904C97A">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Q3 On</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device efficiency</w:t>
            </w:r>
          </w:p>
        </w:tc>
        <w:tc>
          <w:tcPr>
            <w:tcW w:w="2512" w:type="dxa"/>
            <w:tcBorders>
              <w:top w:val="nil"/>
              <w:left w:val="nil"/>
              <w:bottom w:val="nil"/>
              <w:right w:val="nil"/>
            </w:tcBorders>
            <w:vAlign w:val="center"/>
          </w:tcPr>
          <w:p w14:paraId="77B22C67">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R3</w:t>
            </w:r>
          </w:p>
        </w:tc>
        <w:tc>
          <w:tcPr>
            <w:tcW w:w="2165" w:type="dxa"/>
            <w:tcBorders>
              <w:top w:val="nil"/>
              <w:left w:val="nil"/>
              <w:bottom w:val="nil"/>
              <w:right w:val="nil"/>
            </w:tcBorders>
            <w:vAlign w:val="center"/>
          </w:tcPr>
          <w:p w14:paraId="095E5884">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S4–S5</w:t>
            </w:r>
          </w:p>
        </w:tc>
        <w:tc>
          <w:tcPr>
            <w:tcW w:w="2379" w:type="dxa"/>
            <w:tcBorders>
              <w:top w:val="nil"/>
              <w:left w:val="nil"/>
              <w:bottom w:val="nil"/>
              <w:right w:val="nil"/>
            </w:tcBorders>
            <w:vAlign w:val="center"/>
          </w:tcPr>
          <w:p w14:paraId="0376856A">
            <w:pPr>
              <w:jc w:val="center"/>
              <w:rPr>
                <w:rFonts w:ascii="Times New Roman" w:hAnsi="Times New Roman" w:cs="Times New Roman"/>
                <w:sz w:val="18"/>
                <w:szCs w:val="18"/>
              </w:rPr>
            </w:pPr>
            <w:r>
              <w:rPr>
                <w:rStyle w:val="8"/>
                <w:rFonts w:ascii="Times New Roman" w:hAnsi="Times New Roman" w:eastAsia="宋体" w:cs="Times New Roman"/>
                <w:sz w:val="18"/>
                <w:szCs w:val="18"/>
                <w:lang w:eastAsia="zh-CN" w:bidi="ar"/>
              </w:rPr>
              <w:t>P95 latency ≤200 ms</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energy ≥2×</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≤1 pp</w:t>
            </w:r>
            <w:r>
              <w:rPr>
                <w:rFonts w:ascii="Times New Roman" w:hAnsi="Times New Roman" w:eastAsia="宋体" w:cs="Times New Roman"/>
                <w:sz w:val="18"/>
                <w:szCs w:val="18"/>
                <w:lang w:eastAsia="zh-CN" w:bidi="ar"/>
              </w:rPr>
              <w:t xml:space="preserve"> accuracy drop (fallback: </w:t>
            </w:r>
            <w:r>
              <w:rPr>
                <w:rStyle w:val="8"/>
                <w:rFonts w:ascii="Times New Roman" w:hAnsi="Times New Roman" w:eastAsia="宋体" w:cs="Times New Roman"/>
                <w:sz w:val="18"/>
                <w:szCs w:val="18"/>
                <w:lang w:eastAsia="zh-CN" w:bidi="ar"/>
              </w:rPr>
              <w:t>≥1.5×</w:t>
            </w:r>
            <w:r>
              <w:rPr>
                <w:rFonts w:ascii="Times New Roman" w:hAnsi="Times New Roman" w:eastAsia="宋体" w:cs="Times New Roman"/>
                <w:sz w:val="18"/>
                <w:szCs w:val="18"/>
                <w:lang w:eastAsia="zh-CN" w:bidi="ar"/>
              </w:rPr>
              <w:t xml:space="preserve">, </w:t>
            </w:r>
            <w:r>
              <w:rPr>
                <w:rStyle w:val="8"/>
                <w:rFonts w:ascii="Times New Roman" w:hAnsi="Times New Roman" w:eastAsia="宋体" w:cs="Times New Roman"/>
                <w:sz w:val="18"/>
                <w:szCs w:val="18"/>
                <w:lang w:eastAsia="zh-CN" w:bidi="ar"/>
              </w:rPr>
              <w:t>≤0.5 pp</w:t>
            </w:r>
            <w:r>
              <w:rPr>
                <w:rFonts w:ascii="Times New Roman" w:hAnsi="Times New Roman" w:eastAsia="宋体" w:cs="Times New Roman"/>
                <w:sz w:val="18"/>
                <w:szCs w:val="18"/>
                <w:lang w:eastAsia="zh-CN" w:bidi="ar"/>
              </w:rPr>
              <w:t>).</w:t>
            </w:r>
          </w:p>
        </w:tc>
      </w:tr>
    </w:tbl>
    <w:p w14:paraId="2822AA01">
      <w:pPr>
        <w:pStyle w:val="2"/>
        <w:spacing w:before="198" w:line="344" w:lineRule="auto"/>
        <w:jc w:val="both"/>
        <w:rPr>
          <w:color w:val="231F20"/>
          <w:spacing w:val="2"/>
          <w:sz w:val="18"/>
          <w:szCs w:val="18"/>
        </w:rPr>
      </w:pPr>
    </w:p>
    <w:p w14:paraId="54E09D7D">
      <w:pPr>
        <w:pStyle w:val="2"/>
        <w:spacing w:before="198" w:line="344" w:lineRule="auto"/>
        <w:jc w:val="both"/>
        <w:rPr>
          <w:color w:val="231F20"/>
          <w:spacing w:val="2"/>
          <w:sz w:val="18"/>
          <w:szCs w:val="18"/>
        </w:rPr>
      </w:pPr>
    </w:p>
    <w:p w14:paraId="480695EF">
      <w:pPr>
        <w:pStyle w:val="2"/>
        <w:spacing w:before="198" w:line="344" w:lineRule="auto"/>
        <w:jc w:val="center"/>
        <w:rPr>
          <w:sz w:val="24"/>
          <w:szCs w:val="24"/>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9</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Gates, quantified exits, timeline, and compute (default → fallback)</w:t>
      </w:r>
    </w:p>
    <w:tbl>
      <w:tblPr>
        <w:tblStyle w:val="13"/>
        <w:tblpPr w:leftFromText="180" w:rightFromText="180" w:vertAnchor="text" w:horzAnchor="page" w:tblpX="1534" w:tblpY="23"/>
        <w:tblOverlap w:val="never"/>
        <w:tblW w:w="9617" w:type="dxa"/>
        <w:tblInd w:w="0" w:type="dxa"/>
        <w:tblLayout w:type="autofit"/>
        <w:tblCellMar>
          <w:top w:w="43" w:type="dxa"/>
          <w:left w:w="0" w:type="dxa"/>
          <w:bottom w:w="0" w:type="dxa"/>
          <w:right w:w="0" w:type="dxa"/>
        </w:tblCellMar>
      </w:tblPr>
      <w:tblGrid>
        <w:gridCol w:w="1693"/>
        <w:gridCol w:w="2395"/>
        <w:gridCol w:w="1843"/>
        <w:gridCol w:w="1843"/>
        <w:gridCol w:w="1843"/>
      </w:tblGrid>
      <w:tr w14:paraId="6E4D2B59">
        <w:tblPrEx>
          <w:tblCellMar>
            <w:top w:w="43" w:type="dxa"/>
            <w:left w:w="0" w:type="dxa"/>
            <w:bottom w:w="0" w:type="dxa"/>
            <w:right w:w="0" w:type="dxa"/>
          </w:tblCellMar>
        </w:tblPrEx>
        <w:trPr>
          <w:trHeight w:val="837" w:hRule="atLeast"/>
        </w:trPr>
        <w:tc>
          <w:tcPr>
            <w:tcW w:w="1693" w:type="dxa"/>
            <w:tcBorders>
              <w:top w:val="single" w:color="000000" w:sz="6" w:space="0"/>
              <w:left w:val="nil"/>
              <w:bottom w:val="single" w:color="000000" w:sz="4" w:space="0"/>
              <w:right w:val="nil"/>
            </w:tcBorders>
            <w:vAlign w:val="center"/>
          </w:tcPr>
          <w:p w14:paraId="3FB2BD47">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Phase (Gate) &amp; Weeks</w:t>
            </w:r>
          </w:p>
        </w:tc>
        <w:tc>
          <w:tcPr>
            <w:tcW w:w="2395" w:type="dxa"/>
            <w:tcBorders>
              <w:top w:val="single" w:color="000000" w:sz="6" w:space="0"/>
              <w:left w:val="nil"/>
              <w:bottom w:val="single" w:color="000000" w:sz="4" w:space="0"/>
              <w:right w:val="nil"/>
            </w:tcBorders>
            <w:vAlign w:val="center"/>
          </w:tcPr>
          <w:p w14:paraId="47142343">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Core tasks</w:t>
            </w:r>
          </w:p>
        </w:tc>
        <w:tc>
          <w:tcPr>
            <w:tcW w:w="1843" w:type="dxa"/>
            <w:tcBorders>
              <w:top w:val="single" w:color="000000" w:sz="6" w:space="0"/>
              <w:left w:val="nil"/>
              <w:bottom w:val="single" w:color="000000" w:sz="4" w:space="0"/>
              <w:right w:val="nil"/>
            </w:tcBorders>
            <w:vAlign w:val="center"/>
          </w:tcPr>
          <w:p w14:paraId="6A998C57">
            <w:pPr>
              <w:jc w:val="center"/>
              <w:rPr>
                <w:rFonts w:ascii="Times New Roman" w:hAnsi="Times New Roman" w:cs="Times New Roman"/>
                <w:sz w:val="18"/>
                <w:szCs w:val="18"/>
              </w:rPr>
            </w:pPr>
            <w:r>
              <w:rPr>
                <w:rStyle w:val="8"/>
                <w:rFonts w:ascii="Times New Roman" w:hAnsi="Times New Roman" w:eastAsia="宋体" w:cs="Times New Roman"/>
                <w:sz w:val="18"/>
                <w:szCs w:val="18"/>
                <w:lang w:eastAsia="zh-CN" w:bidi="ar"/>
              </w:rPr>
              <w:t>Exit criteria (quantified)</w:t>
            </w:r>
          </w:p>
        </w:tc>
        <w:tc>
          <w:tcPr>
            <w:tcW w:w="1843" w:type="dxa"/>
            <w:tcBorders>
              <w:top w:val="single" w:color="000000" w:sz="6" w:space="0"/>
              <w:left w:val="nil"/>
              <w:bottom w:val="single" w:color="000000" w:sz="4" w:space="0"/>
              <w:right w:val="nil"/>
            </w:tcBorders>
            <w:vAlign w:val="center"/>
          </w:tcPr>
          <w:p w14:paraId="1FA9DEFE">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Estimated compute*</w:t>
            </w:r>
          </w:p>
        </w:tc>
        <w:tc>
          <w:tcPr>
            <w:tcW w:w="1843" w:type="dxa"/>
            <w:tcBorders>
              <w:top w:val="single" w:color="000000" w:sz="6" w:space="0"/>
              <w:left w:val="nil"/>
              <w:bottom w:val="single" w:color="000000" w:sz="4" w:space="0"/>
              <w:right w:val="nil"/>
            </w:tcBorders>
            <w:vAlign w:val="center"/>
          </w:tcPr>
          <w:p w14:paraId="52DC73A4">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Resource</w:t>
            </w:r>
            <w:r>
              <w:rPr>
                <w:rFonts w:ascii="Times New Roman" w:hAnsi="Times New Roman" w:eastAsia="宋体" w:cs="Times New Roman"/>
                <w:b/>
                <w:bCs/>
                <w:sz w:val="18"/>
                <w:szCs w:val="18"/>
                <w:lang w:eastAsia="zh-CN" w:bidi="ar"/>
              </w:rPr>
              <w:noBreakHyphen/>
            </w:r>
            <w:r>
              <w:rPr>
                <w:rFonts w:ascii="Times New Roman" w:hAnsi="Times New Roman" w:eastAsia="宋体" w:cs="Times New Roman"/>
                <w:b/>
                <w:bCs/>
                <w:sz w:val="18"/>
                <w:szCs w:val="18"/>
                <w:lang w:eastAsia="zh-CN" w:bidi="ar"/>
              </w:rPr>
              <w:t>constrained fallback</w:t>
            </w:r>
          </w:p>
        </w:tc>
      </w:tr>
      <w:tr w14:paraId="055FFB40">
        <w:tblPrEx>
          <w:tblCellMar>
            <w:top w:w="43" w:type="dxa"/>
            <w:left w:w="0" w:type="dxa"/>
            <w:bottom w:w="0" w:type="dxa"/>
            <w:right w:w="0" w:type="dxa"/>
          </w:tblCellMar>
        </w:tblPrEx>
        <w:trPr>
          <w:trHeight w:val="2768" w:hRule="atLeast"/>
        </w:trPr>
        <w:tc>
          <w:tcPr>
            <w:tcW w:w="1693" w:type="dxa"/>
            <w:tcBorders>
              <w:top w:val="single" w:color="000000" w:sz="4" w:space="0"/>
              <w:left w:val="nil"/>
              <w:bottom w:val="nil"/>
              <w:right w:val="nil"/>
            </w:tcBorders>
            <w:vAlign w:val="center"/>
          </w:tcPr>
          <w:p w14:paraId="2184EE32">
            <w:pPr>
              <w:jc w:val="center"/>
              <w:rPr>
                <w:rFonts w:ascii="Times New Roman" w:hAnsi="Times New Roman" w:cs="Times New Roman"/>
                <w:bCs/>
                <w:sz w:val="18"/>
                <w:szCs w:val="18"/>
              </w:rPr>
            </w:pPr>
            <w:r>
              <w:rPr>
                <w:rStyle w:val="8"/>
                <w:rFonts w:ascii="Times New Roman" w:hAnsi="Times New Roman" w:eastAsia="宋体" w:cs="Times New Roman"/>
                <w:sz w:val="18"/>
                <w:szCs w:val="18"/>
                <w:lang w:eastAsia="zh-CN" w:bidi="ar"/>
              </w:rPr>
              <w:t>A (Gate 1), Weeks 1–2</w:t>
            </w:r>
          </w:p>
        </w:tc>
        <w:tc>
          <w:tcPr>
            <w:tcW w:w="2395" w:type="dxa"/>
            <w:tcBorders>
              <w:top w:val="single" w:color="000000" w:sz="4" w:space="0"/>
              <w:left w:val="nil"/>
              <w:bottom w:val="nil"/>
              <w:right w:val="nil"/>
            </w:tcBorders>
            <w:vAlign w:val="center"/>
          </w:tcPr>
          <w:p w14:paraId="03B2A732">
            <w:pPr>
              <w:jc w:val="center"/>
              <w:rPr>
                <w:rFonts w:ascii="Times New Roman" w:hAnsi="Times New Roman" w:eastAsia="宋体" w:cs="Times New Roman"/>
                <w:bCs/>
                <w:sz w:val="18"/>
                <w:szCs w:val="18"/>
                <w:lang w:eastAsia="zh-CN"/>
              </w:rPr>
            </w:pPr>
            <w:r>
              <w:rPr>
                <w:rFonts w:ascii="Times New Roman" w:hAnsi="Times New Roman" w:eastAsia="宋体" w:cs="Times New Roman"/>
                <w:sz w:val="18"/>
                <w:szCs w:val="18"/>
                <w:lang w:eastAsia="zh-CN" w:bidi="ar"/>
              </w:rPr>
              <w:t xml:space="preserve">6 models × 3 datasets; </w:t>
            </w:r>
            <w:r>
              <w:rPr>
                <w:rStyle w:val="8"/>
                <w:rFonts w:ascii="Times New Roman" w:hAnsi="Times New Roman" w:eastAsia="宋体" w:cs="Times New Roman"/>
                <w:sz w:val="18"/>
                <w:szCs w:val="18"/>
                <w:lang w:eastAsia="zh-CN" w:bidi="ar"/>
              </w:rPr>
              <w:t>seeds = 3–5</w:t>
            </w:r>
            <w:r>
              <w:rPr>
                <w:rFonts w:ascii="Times New Roman" w:hAnsi="Times New Roman" w:eastAsia="宋体" w:cs="Times New Roman"/>
                <w:sz w:val="18"/>
                <w:szCs w:val="18"/>
                <w:lang w:eastAsia="zh-CN" w:bidi="ar"/>
              </w:rPr>
              <w:t>; grid: 2 window lengths × 2 overlaps; LOSO; save prediction scores</w:t>
            </w:r>
          </w:p>
        </w:tc>
        <w:tc>
          <w:tcPr>
            <w:tcW w:w="1843" w:type="dxa"/>
            <w:tcBorders>
              <w:top w:val="single" w:color="000000" w:sz="4" w:space="0"/>
              <w:left w:val="nil"/>
              <w:bottom w:val="nil"/>
              <w:right w:val="nil"/>
            </w:tcBorders>
            <w:vAlign w:val="center"/>
          </w:tcPr>
          <w:p w14:paraId="77C4D106">
            <w:pPr>
              <w:jc w:val="center"/>
              <w:rPr>
                <w:rFonts w:ascii="Times New Roman" w:hAnsi="Times New Roman" w:eastAsia="宋体" w:cs="Times New Roman"/>
                <w:bCs/>
                <w:sz w:val="18"/>
                <w:szCs w:val="18"/>
                <w:lang w:eastAsia="zh-CN"/>
              </w:rPr>
            </w:pPr>
            <w:r>
              <w:rPr>
                <w:rFonts w:ascii="Times New Roman" w:hAnsi="Times New Roman" w:eastAsia="宋体" w:cs="Times New Roman"/>
                <w:sz w:val="18"/>
                <w:szCs w:val="18"/>
                <w:lang w:eastAsia="zh-CN" w:bidi="ar"/>
              </w:rPr>
              <w:t xml:space="preserve">For each model–dataset entry: </w:t>
            </w:r>
            <w:r>
              <w:rPr>
                <w:rStyle w:val="8"/>
                <w:rFonts w:ascii="Times New Roman" w:hAnsi="Times New Roman" w:eastAsia="宋体" w:cs="Times New Roman"/>
                <w:sz w:val="18"/>
                <w:szCs w:val="18"/>
                <w:lang w:eastAsia="zh-CN" w:bidi="ar"/>
              </w:rPr>
              <w:t xml:space="preserve">95% </w:t>
            </w:r>
            <w:r>
              <w:rPr>
                <w:rStyle w:val="10"/>
                <w:rFonts w:ascii="Times New Roman" w:hAnsi="Times New Roman" w:eastAsia="宋体" w:cs="Times New Roman"/>
                <w:sz w:val="18"/>
                <w:szCs w:val="18"/>
                <w:lang w:eastAsia="zh-CN" w:bidi="ar"/>
              </w:rPr>
              <w:t>t</w:t>
            </w:r>
            <w:r>
              <w:rPr>
                <w:rStyle w:val="8"/>
                <w:rFonts w:ascii="Times New Roman" w:hAnsi="Times New Roman" w:eastAsia="宋体" w:cs="Times New Roman"/>
                <w:sz w:val="18"/>
                <w:szCs w:val="18"/>
                <w:lang w:eastAsia="zh-CN" w:bidi="ar"/>
              </w:rPr>
              <w:t>-interval width of Macro</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F1 ≤ 2.0 pp</w:t>
            </w:r>
            <w:r>
              <w:rPr>
                <w:rFonts w:ascii="Times New Roman" w:hAnsi="Times New Roman" w:eastAsia="宋体" w:cs="Times New Roman"/>
                <w:sz w:val="18"/>
                <w:szCs w:val="18"/>
                <w:lang w:eastAsia="zh-CN" w:bidi="ar"/>
              </w:rPr>
              <w:t xml:space="preserve"> (n = 4–5 seeds); if </w:t>
            </w:r>
            <w:r>
              <w:rPr>
                <w:rStyle w:val="8"/>
                <w:rFonts w:ascii="Times New Roman" w:hAnsi="Times New Roman" w:eastAsia="宋体" w:cs="Times New Roman"/>
                <w:sz w:val="18"/>
                <w:szCs w:val="18"/>
                <w:lang w:eastAsia="zh-CN" w:bidi="ar"/>
              </w:rPr>
              <w:t>3 seeds</w:t>
            </w:r>
            <w:r>
              <w:rPr>
                <w:rFonts w:ascii="Times New Roman" w:hAnsi="Times New Roman" w:eastAsia="宋体" w:cs="Times New Roman"/>
                <w:sz w:val="18"/>
                <w:szCs w:val="18"/>
                <w:lang w:eastAsia="zh-CN" w:bidi="ar"/>
              </w:rPr>
              <w:t xml:space="preserve">, threshold ≤ </w:t>
            </w:r>
            <w:r>
              <w:rPr>
                <w:rStyle w:val="8"/>
                <w:rFonts w:ascii="Times New Roman" w:hAnsi="Times New Roman" w:eastAsia="宋体" w:cs="Times New Roman"/>
                <w:sz w:val="18"/>
                <w:szCs w:val="18"/>
                <w:lang w:eastAsia="zh-CN" w:bidi="ar"/>
              </w:rPr>
              <w:t>2.5 pp</w:t>
            </w:r>
            <w:r>
              <w:rPr>
                <w:rFonts w:ascii="Times New Roman" w:hAnsi="Times New Roman" w:eastAsia="宋体" w:cs="Times New Roman"/>
                <w:sz w:val="18"/>
                <w:szCs w:val="18"/>
                <w:lang w:eastAsia="zh-CN" w:bidi="ar"/>
              </w:rPr>
              <w:t xml:space="preserve">. Choose window/overlap on the </w:t>
            </w:r>
            <w:r>
              <w:rPr>
                <w:rStyle w:val="8"/>
                <w:rFonts w:ascii="Times New Roman" w:hAnsi="Times New Roman" w:eastAsia="宋体" w:cs="Times New Roman"/>
                <w:sz w:val="18"/>
                <w:szCs w:val="18"/>
                <w:lang w:eastAsia="zh-CN" w:bidi="ar"/>
              </w:rPr>
              <w:t>Macro</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F1 vs. inference</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time Pareto frontier</w:t>
            </w:r>
            <w:r>
              <w:rPr>
                <w:rFonts w:ascii="Times New Roman" w:hAnsi="Times New Roman" w:eastAsia="宋体" w:cs="Times New Roman"/>
                <w:sz w:val="18"/>
                <w:szCs w:val="18"/>
                <w:lang w:eastAsia="zh-CN" w:bidi="ar"/>
              </w:rPr>
              <w:t xml:space="preserve">. If unmet, add seeds </w:t>
            </w:r>
            <w:r>
              <w:rPr>
                <w:rStyle w:val="8"/>
                <w:rFonts w:ascii="Times New Roman" w:hAnsi="Times New Roman" w:eastAsia="宋体" w:cs="Times New Roman"/>
                <w:sz w:val="18"/>
                <w:szCs w:val="18"/>
                <w:lang w:eastAsia="zh-CN" w:bidi="ar"/>
              </w:rPr>
              <w:t>for that entry only</w:t>
            </w:r>
            <w:r>
              <w:rPr>
                <w:rFonts w:ascii="Times New Roman" w:hAnsi="Times New Roman" w:eastAsia="宋体" w:cs="Times New Roman"/>
                <w:sz w:val="18"/>
                <w:szCs w:val="18"/>
                <w:lang w:eastAsia="zh-CN" w:bidi="ar"/>
              </w:rPr>
              <w:t xml:space="preserve"> up to 5.</w:t>
            </w:r>
          </w:p>
        </w:tc>
        <w:tc>
          <w:tcPr>
            <w:tcW w:w="1843" w:type="dxa"/>
            <w:tcBorders>
              <w:top w:val="single" w:color="000000" w:sz="4" w:space="0"/>
              <w:left w:val="nil"/>
              <w:bottom w:val="nil"/>
              <w:right w:val="nil"/>
            </w:tcBorders>
            <w:vAlign w:val="center"/>
          </w:tcPr>
          <w:p w14:paraId="5493C54B">
            <w:pPr>
              <w:jc w:val="center"/>
              <w:rPr>
                <w:rFonts w:ascii="Times New Roman" w:hAnsi="Times New Roman" w:eastAsia="宋体" w:cs="Times New Roman"/>
                <w:bCs/>
                <w:sz w:val="18"/>
                <w:szCs w:val="18"/>
                <w:lang w:eastAsia="zh-CN" w:bidi="ar"/>
              </w:rPr>
            </w:pPr>
            <w:r>
              <w:rPr>
                <w:rStyle w:val="8"/>
                <w:rFonts w:ascii="Times New Roman" w:hAnsi="Times New Roman" w:eastAsia="宋体" w:cs="Times New Roman"/>
                <w:sz w:val="18"/>
                <w:szCs w:val="18"/>
                <w:lang w:eastAsia="zh-CN" w:bidi="ar"/>
              </w:rPr>
              <w:t>Deep models ≈ 72–120 GPU·h</w:t>
            </w:r>
            <w:r>
              <w:rPr>
                <w:rFonts w:ascii="Times New Roman" w:hAnsi="Times New Roman" w:eastAsia="宋体" w:cs="Times New Roman"/>
                <w:sz w:val="18"/>
                <w:szCs w:val="18"/>
                <w:lang w:eastAsia="zh-CN" w:bidi="ar"/>
              </w:rPr>
              <w:t xml:space="preserve"> (see note) + </w:t>
            </w:r>
            <w:r>
              <w:rPr>
                <w:rStyle w:val="8"/>
                <w:rFonts w:ascii="Times New Roman" w:hAnsi="Times New Roman" w:eastAsia="宋体" w:cs="Times New Roman"/>
                <w:sz w:val="18"/>
                <w:szCs w:val="18"/>
                <w:lang w:eastAsia="zh-CN" w:bidi="ar"/>
              </w:rPr>
              <w:t>Traditional ≈ 24–40 CPU·h</w:t>
            </w:r>
          </w:p>
        </w:tc>
        <w:tc>
          <w:tcPr>
            <w:tcW w:w="1843" w:type="dxa"/>
            <w:tcBorders>
              <w:top w:val="single" w:color="000000" w:sz="4" w:space="0"/>
              <w:left w:val="nil"/>
              <w:bottom w:val="nil"/>
              <w:right w:val="nil"/>
            </w:tcBorders>
            <w:vAlign w:val="center"/>
          </w:tcPr>
          <w:p w14:paraId="4404C0A9">
            <w:pPr>
              <w:jc w:val="center"/>
              <w:rPr>
                <w:rFonts w:ascii="Times New Roman" w:hAnsi="Times New Roman" w:eastAsia="宋体" w:cs="Times New Roman"/>
                <w:bCs/>
                <w:sz w:val="18"/>
                <w:szCs w:val="18"/>
                <w:lang w:eastAsia="zh-CN" w:bidi="ar"/>
              </w:rPr>
            </w:pPr>
            <w:r>
              <w:rPr>
                <w:rStyle w:val="8"/>
                <w:rFonts w:ascii="Times New Roman" w:hAnsi="Times New Roman" w:eastAsia="宋体" w:cs="Times New Roman"/>
                <w:sz w:val="18"/>
                <w:szCs w:val="18"/>
                <w:lang w:eastAsia="zh-CN" w:bidi="ar"/>
              </w:rPr>
              <w:t>Seeds = 2</w:t>
            </w:r>
            <w:r>
              <w:rPr>
                <w:rFonts w:ascii="Times New Roman" w:hAnsi="Times New Roman" w:eastAsia="宋体" w:cs="Times New Roman"/>
                <w:sz w:val="18"/>
                <w:szCs w:val="18"/>
                <w:lang w:eastAsia="zh-CN" w:bidi="ar"/>
              </w:rPr>
              <w:t xml:space="preserve">; grid </w:t>
            </w:r>
            <w:r>
              <w:rPr>
                <w:rStyle w:val="8"/>
                <w:rFonts w:ascii="Times New Roman" w:hAnsi="Times New Roman" w:eastAsia="宋体" w:cs="Times New Roman"/>
                <w:sz w:val="18"/>
                <w:szCs w:val="18"/>
                <w:lang w:eastAsia="zh-CN" w:bidi="ar"/>
              </w:rPr>
              <w:t>4→2</w:t>
            </w:r>
            <w:r>
              <w:rPr>
                <w:rFonts w:ascii="Times New Roman" w:hAnsi="Times New Roman" w:eastAsia="宋体" w:cs="Times New Roman"/>
                <w:sz w:val="18"/>
                <w:szCs w:val="18"/>
                <w:lang w:eastAsia="zh-CN" w:bidi="ar"/>
              </w:rPr>
              <w:t>; freeze light baselines after sanity check.</w:t>
            </w:r>
          </w:p>
        </w:tc>
      </w:tr>
      <w:tr w14:paraId="1B464FFE">
        <w:tblPrEx>
          <w:tblCellMar>
            <w:top w:w="43" w:type="dxa"/>
            <w:left w:w="0" w:type="dxa"/>
            <w:bottom w:w="0" w:type="dxa"/>
            <w:right w:w="0" w:type="dxa"/>
          </w:tblCellMar>
        </w:tblPrEx>
        <w:trPr>
          <w:trHeight w:val="1627" w:hRule="atLeast"/>
        </w:trPr>
        <w:tc>
          <w:tcPr>
            <w:tcW w:w="1693" w:type="dxa"/>
            <w:tcBorders>
              <w:top w:val="nil"/>
              <w:left w:val="nil"/>
              <w:bottom w:val="nil"/>
              <w:right w:val="nil"/>
            </w:tcBorders>
            <w:vAlign w:val="center"/>
          </w:tcPr>
          <w:p w14:paraId="4E367049">
            <w:pPr>
              <w:jc w:val="center"/>
              <w:rPr>
                <w:rFonts w:ascii="Times New Roman" w:hAnsi="Times New Roman" w:eastAsia="宋体" w:cs="Times New Roman"/>
                <w:bCs/>
                <w:sz w:val="18"/>
                <w:szCs w:val="18"/>
                <w:lang w:eastAsia="zh-CN"/>
              </w:rPr>
            </w:pPr>
            <w:r>
              <w:rPr>
                <w:rStyle w:val="8"/>
                <w:rFonts w:ascii="Times New Roman" w:hAnsi="Times New Roman" w:eastAsia="宋体" w:cs="Times New Roman"/>
                <w:sz w:val="18"/>
                <w:szCs w:val="18"/>
                <w:lang w:eastAsia="zh-CN" w:bidi="ar"/>
              </w:rPr>
              <w:t>B (Gate 2), Week 3</w:t>
            </w:r>
          </w:p>
        </w:tc>
        <w:tc>
          <w:tcPr>
            <w:tcW w:w="2395" w:type="dxa"/>
            <w:tcBorders>
              <w:top w:val="nil"/>
              <w:left w:val="nil"/>
              <w:bottom w:val="nil"/>
              <w:right w:val="nil"/>
            </w:tcBorders>
            <w:vAlign w:val="center"/>
          </w:tcPr>
          <w:p w14:paraId="197E768A">
            <w:pPr>
              <w:jc w:val="center"/>
              <w:rPr>
                <w:rFonts w:ascii="Times New Roman" w:hAnsi="Times New Roman" w:cs="Times New Roman"/>
                <w:bCs/>
                <w:sz w:val="18"/>
                <w:szCs w:val="18"/>
              </w:rPr>
            </w:pPr>
            <w:r>
              <w:rPr>
                <w:rFonts w:ascii="Times New Roman" w:hAnsi="Times New Roman" w:eastAsia="宋体" w:cs="Times New Roman"/>
                <w:sz w:val="18"/>
                <w:szCs w:val="18"/>
                <w:lang w:eastAsia="zh-CN" w:bidi="ar"/>
              </w:rPr>
              <w:t>Statistical comparison across 6 models</w:t>
            </w:r>
          </w:p>
        </w:tc>
        <w:tc>
          <w:tcPr>
            <w:tcW w:w="1843" w:type="dxa"/>
            <w:tcBorders>
              <w:top w:val="nil"/>
              <w:left w:val="nil"/>
              <w:bottom w:val="nil"/>
              <w:right w:val="nil"/>
            </w:tcBorders>
            <w:vAlign w:val="center"/>
          </w:tcPr>
          <w:p w14:paraId="239653B1">
            <w:pPr>
              <w:jc w:val="center"/>
              <w:rPr>
                <w:rFonts w:ascii="Times New Roman" w:hAnsi="Times New Roman" w:eastAsia="宋体" w:cs="Times New Roman"/>
                <w:bCs/>
                <w:sz w:val="18"/>
                <w:szCs w:val="18"/>
                <w:lang w:eastAsia="zh-CN"/>
              </w:rPr>
            </w:pPr>
            <w:r>
              <w:rPr>
                <w:rFonts w:ascii="Times New Roman" w:hAnsi="Times New Roman" w:eastAsia="宋体" w:cs="Times New Roman"/>
                <w:sz w:val="18"/>
                <w:szCs w:val="18"/>
                <w:lang w:eastAsia="zh-CN" w:bidi="ar"/>
              </w:rPr>
              <w:t xml:space="preserve">Friedman </w:t>
            </w:r>
            <w:r>
              <w:rPr>
                <w:rStyle w:val="8"/>
                <w:rFonts w:ascii="Times New Roman" w:hAnsi="Times New Roman" w:eastAsia="宋体" w:cs="Times New Roman"/>
                <w:sz w:val="18"/>
                <w:szCs w:val="18"/>
                <w:lang w:eastAsia="zh-CN" w:bidi="ar"/>
              </w:rPr>
              <w:t>p &lt; 0.05</w:t>
            </w:r>
            <w:r>
              <w:rPr>
                <w:rFonts w:ascii="Times New Roman" w:hAnsi="Times New Roman" w:eastAsia="宋体" w:cs="Times New Roman"/>
                <w:sz w:val="18"/>
                <w:szCs w:val="18"/>
                <w:lang w:eastAsia="zh-CN" w:bidi="ar"/>
              </w:rPr>
              <w:t>; Nemenyi/</w:t>
            </w:r>
            <w:r>
              <w:rPr>
                <w:rStyle w:val="8"/>
                <w:rFonts w:ascii="Times New Roman" w:hAnsi="Times New Roman" w:eastAsia="宋体" w:cs="Times New Roman"/>
                <w:sz w:val="18"/>
                <w:szCs w:val="18"/>
                <w:lang w:eastAsia="zh-CN" w:bidi="ar"/>
              </w:rPr>
              <w:t>CD</w:t>
            </w:r>
            <w:r>
              <w:rPr>
                <w:rFonts w:ascii="Times New Roman" w:hAnsi="Times New Roman" w:eastAsia="宋体" w:cs="Times New Roman"/>
                <w:sz w:val="18"/>
                <w:szCs w:val="18"/>
                <w:lang w:eastAsia="zh-CN" w:bidi="ar"/>
              </w:rPr>
              <w:t xml:space="preserve"> diagram identifies champion group; report </w:t>
            </w:r>
            <w:r>
              <w:rPr>
                <w:rStyle w:val="8"/>
                <w:rFonts w:ascii="Times New Roman" w:hAnsi="Times New Roman" w:eastAsia="宋体" w:cs="Times New Roman"/>
                <w:sz w:val="18"/>
                <w:szCs w:val="18"/>
                <w:lang w:eastAsia="zh-CN" w:bidi="ar"/>
              </w:rPr>
              <w:t>effect sizes (A12 / Cliff’s δ)</w:t>
            </w:r>
            <w:r>
              <w:rPr>
                <w:rFonts w:ascii="Times New Roman" w:hAnsi="Times New Roman" w:eastAsia="宋体" w:cs="Times New Roman"/>
                <w:sz w:val="18"/>
                <w:szCs w:val="18"/>
                <w:lang w:eastAsia="zh-CN" w:bidi="ar"/>
              </w:rPr>
              <w:t>; Bayesian check consistent.</w:t>
            </w:r>
          </w:p>
        </w:tc>
        <w:tc>
          <w:tcPr>
            <w:tcW w:w="1843" w:type="dxa"/>
            <w:tcBorders>
              <w:top w:val="nil"/>
              <w:left w:val="nil"/>
              <w:bottom w:val="nil"/>
              <w:right w:val="nil"/>
            </w:tcBorders>
            <w:vAlign w:val="center"/>
          </w:tcPr>
          <w:p w14:paraId="591572AF">
            <w:pPr>
              <w:jc w:val="center"/>
              <w:rPr>
                <w:rFonts w:ascii="Times New Roman" w:hAnsi="Times New Roman" w:eastAsia="宋体" w:cs="Times New Roman"/>
                <w:bCs/>
                <w:sz w:val="18"/>
                <w:szCs w:val="18"/>
                <w:lang w:eastAsia="zh-CN" w:bidi="ar"/>
              </w:rPr>
            </w:pPr>
            <w:r>
              <w:rPr>
                <w:rStyle w:val="8"/>
                <w:rFonts w:ascii="Times New Roman" w:hAnsi="Times New Roman" w:eastAsia="宋体" w:cs="Times New Roman"/>
                <w:sz w:val="18"/>
                <w:szCs w:val="18"/>
                <w:lang w:eastAsia="zh-CN" w:bidi="ar"/>
              </w:rPr>
              <w:t>≈ 4 GPU·h</w:t>
            </w:r>
            <w:r>
              <w:rPr>
                <w:rFonts w:ascii="Times New Roman" w:hAnsi="Times New Roman" w:eastAsia="宋体" w:cs="Times New Roman"/>
                <w:sz w:val="18"/>
                <w:szCs w:val="18"/>
                <w:lang w:eastAsia="zh-CN" w:bidi="ar"/>
              </w:rPr>
              <w:t xml:space="preserve"> + small CPU</w:t>
            </w:r>
          </w:p>
        </w:tc>
        <w:tc>
          <w:tcPr>
            <w:tcW w:w="1843" w:type="dxa"/>
            <w:tcBorders>
              <w:top w:val="nil"/>
              <w:left w:val="nil"/>
              <w:bottom w:val="nil"/>
              <w:right w:val="nil"/>
            </w:tcBorders>
            <w:vAlign w:val="center"/>
          </w:tcPr>
          <w:p w14:paraId="26DD850F">
            <w:pPr>
              <w:jc w:val="center"/>
              <w:rPr>
                <w:rFonts w:ascii="Times New Roman" w:hAnsi="Times New Roman" w:eastAsia="宋体" w:cs="Times New Roman"/>
                <w:bCs/>
                <w:sz w:val="18"/>
                <w:szCs w:val="18"/>
                <w:lang w:eastAsia="zh-CN" w:bidi="ar"/>
              </w:rPr>
            </w:pPr>
            <w:r>
              <w:rPr>
                <w:rFonts w:ascii="Times New Roman" w:hAnsi="Times New Roman" w:eastAsia="宋体" w:cs="Times New Roman"/>
                <w:sz w:val="18"/>
                <w:szCs w:val="18"/>
                <w:lang w:eastAsia="zh-CN" w:bidi="ar"/>
              </w:rPr>
              <w:t xml:space="preserve">If not significant, add </w:t>
            </w:r>
            <w:r>
              <w:rPr>
                <w:rStyle w:val="8"/>
                <w:rFonts w:ascii="Times New Roman" w:hAnsi="Times New Roman" w:eastAsia="宋体" w:cs="Times New Roman"/>
                <w:sz w:val="18"/>
                <w:szCs w:val="18"/>
                <w:lang w:eastAsia="zh-CN" w:bidi="ar"/>
              </w:rPr>
              <w:t>+1 seed</w:t>
            </w:r>
            <w:r>
              <w:rPr>
                <w:rFonts w:ascii="Times New Roman" w:hAnsi="Times New Roman" w:eastAsia="宋体" w:cs="Times New Roman"/>
                <w:sz w:val="18"/>
                <w:szCs w:val="18"/>
                <w:lang w:eastAsia="zh-CN" w:bidi="ar"/>
              </w:rPr>
              <w:t xml:space="preserve"> (up to 5) </w:t>
            </w:r>
            <w:r>
              <w:rPr>
                <w:rStyle w:val="8"/>
                <w:rFonts w:ascii="Times New Roman" w:hAnsi="Times New Roman" w:eastAsia="宋体" w:cs="Times New Roman"/>
                <w:sz w:val="18"/>
                <w:szCs w:val="18"/>
                <w:lang w:eastAsia="zh-CN" w:bidi="ar"/>
              </w:rPr>
              <w:t>only for tied models</w:t>
            </w:r>
            <w:r>
              <w:rPr>
                <w:rFonts w:ascii="Times New Roman" w:hAnsi="Times New Roman" w:eastAsia="宋体" w:cs="Times New Roman"/>
                <w:sz w:val="18"/>
                <w:szCs w:val="18"/>
                <w:lang w:eastAsia="zh-CN" w:bidi="ar"/>
              </w:rPr>
              <w:t>.</w:t>
            </w:r>
          </w:p>
        </w:tc>
      </w:tr>
      <w:tr w14:paraId="01AC7369">
        <w:tblPrEx>
          <w:tblCellMar>
            <w:top w:w="43" w:type="dxa"/>
            <w:left w:w="0" w:type="dxa"/>
            <w:bottom w:w="0" w:type="dxa"/>
            <w:right w:w="0" w:type="dxa"/>
          </w:tblCellMar>
        </w:tblPrEx>
        <w:trPr>
          <w:trHeight w:val="949" w:hRule="atLeast"/>
        </w:trPr>
        <w:tc>
          <w:tcPr>
            <w:tcW w:w="1693" w:type="dxa"/>
            <w:tcBorders>
              <w:top w:val="nil"/>
              <w:left w:val="nil"/>
              <w:bottom w:val="nil"/>
              <w:right w:val="nil"/>
            </w:tcBorders>
            <w:vAlign w:val="center"/>
          </w:tcPr>
          <w:p w14:paraId="737777F2">
            <w:pPr>
              <w:jc w:val="center"/>
              <w:rPr>
                <w:rFonts w:ascii="Times New Roman" w:hAnsi="Times New Roman" w:eastAsia="宋体" w:cs="Times New Roman"/>
                <w:bCs/>
                <w:sz w:val="18"/>
                <w:szCs w:val="18"/>
                <w:lang w:eastAsia="zh-CN" w:bidi="ar"/>
              </w:rPr>
            </w:pPr>
            <w:r>
              <w:rPr>
                <w:rStyle w:val="8"/>
                <w:rFonts w:ascii="Times New Roman" w:hAnsi="Times New Roman" w:eastAsia="宋体" w:cs="Times New Roman"/>
                <w:sz w:val="18"/>
                <w:szCs w:val="18"/>
                <w:lang w:eastAsia="zh-CN" w:bidi="ar"/>
              </w:rPr>
              <w:t>C (Gate 3), Week 4</w:t>
            </w:r>
          </w:p>
        </w:tc>
        <w:tc>
          <w:tcPr>
            <w:tcW w:w="2395" w:type="dxa"/>
            <w:tcBorders>
              <w:top w:val="nil"/>
              <w:left w:val="nil"/>
              <w:bottom w:val="nil"/>
              <w:right w:val="nil"/>
            </w:tcBorders>
            <w:vAlign w:val="center"/>
          </w:tcPr>
          <w:p w14:paraId="4941735A">
            <w:pPr>
              <w:jc w:val="center"/>
              <w:rPr>
                <w:rFonts w:ascii="Times New Roman" w:hAnsi="Times New Roman" w:eastAsia="宋体" w:cs="Times New Roman"/>
                <w:bCs/>
                <w:sz w:val="18"/>
                <w:szCs w:val="18"/>
                <w:lang w:eastAsia="zh-CN" w:bidi="ar"/>
              </w:rPr>
            </w:pPr>
            <w:r>
              <w:rPr>
                <w:rFonts w:ascii="Times New Roman" w:hAnsi="Times New Roman" w:eastAsia="宋体" w:cs="Times New Roman"/>
                <w:sz w:val="18"/>
                <w:szCs w:val="18"/>
                <w:lang w:eastAsia="zh-CN" w:bidi="ar"/>
              </w:rPr>
              <w:t>Label/unit mapping; zero</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shot + 1%/5% few</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shot scripts; draw F1–label</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rate curves</w:t>
            </w:r>
          </w:p>
        </w:tc>
        <w:tc>
          <w:tcPr>
            <w:tcW w:w="1843" w:type="dxa"/>
            <w:tcBorders>
              <w:top w:val="nil"/>
              <w:left w:val="nil"/>
              <w:bottom w:val="nil"/>
              <w:right w:val="nil"/>
            </w:tcBorders>
            <w:vAlign w:val="center"/>
          </w:tcPr>
          <w:p w14:paraId="6EF32806">
            <w:pPr>
              <w:jc w:val="center"/>
              <w:rPr>
                <w:rFonts w:ascii="Times New Roman" w:hAnsi="Times New Roman" w:eastAsia="宋体" w:cs="Times New Roman"/>
                <w:bCs/>
                <w:sz w:val="18"/>
                <w:szCs w:val="18"/>
                <w:lang w:eastAsia="zh-CN" w:bidi="ar"/>
              </w:rPr>
            </w:pPr>
            <w:r>
              <w:rPr>
                <w:rFonts w:ascii="Times New Roman" w:hAnsi="Times New Roman" w:eastAsia="宋体" w:cs="Times New Roman"/>
                <w:sz w:val="18"/>
                <w:szCs w:val="18"/>
                <w:lang w:eastAsia="zh-CN" w:bidi="ar"/>
              </w:rPr>
              <w:t>Complete mapping; scripts pass self</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checks; publish </w:t>
            </w:r>
            <w:r>
              <w:rPr>
                <w:rStyle w:val="8"/>
                <w:rFonts w:ascii="Times New Roman" w:hAnsi="Times New Roman" w:eastAsia="宋体" w:cs="Times New Roman"/>
                <w:sz w:val="18"/>
                <w:szCs w:val="18"/>
                <w:lang w:eastAsia="zh-CN" w:bidi="ar"/>
              </w:rPr>
              <w:t>three</w:t>
            </w:r>
            <w:r>
              <w:rPr>
                <w:rStyle w:val="8"/>
                <w:rFonts w:ascii="Times New Roman" w:hAnsi="Times New Roman" w:eastAsia="宋体" w:cs="Times New Roman"/>
                <w:sz w:val="18"/>
                <w:szCs w:val="18"/>
                <w:lang w:eastAsia="zh-CN" w:bidi="ar"/>
              </w:rPr>
              <w:noBreakHyphen/>
            </w:r>
            <w:r>
              <w:rPr>
                <w:rStyle w:val="8"/>
                <w:rFonts w:ascii="Times New Roman" w:hAnsi="Times New Roman" w:eastAsia="宋体" w:cs="Times New Roman"/>
                <w:sz w:val="18"/>
                <w:szCs w:val="18"/>
                <w:lang w:eastAsia="zh-CN" w:bidi="ar"/>
              </w:rPr>
              <w:t>point curves with 95% CIs</w:t>
            </w:r>
            <w:r>
              <w:rPr>
                <w:rFonts w:ascii="Times New Roman" w:hAnsi="Times New Roman" w:eastAsia="宋体" w:cs="Times New Roman"/>
                <w:sz w:val="18"/>
                <w:szCs w:val="18"/>
                <w:lang w:eastAsia="zh-CN" w:bidi="ar"/>
              </w:rPr>
              <w:t>.</w:t>
            </w:r>
          </w:p>
        </w:tc>
        <w:tc>
          <w:tcPr>
            <w:tcW w:w="1843" w:type="dxa"/>
            <w:tcBorders>
              <w:top w:val="nil"/>
              <w:left w:val="nil"/>
              <w:bottom w:val="nil"/>
              <w:right w:val="nil"/>
            </w:tcBorders>
            <w:vAlign w:val="center"/>
          </w:tcPr>
          <w:p w14:paraId="01535057">
            <w:pPr>
              <w:jc w:val="center"/>
              <w:rPr>
                <w:rFonts w:ascii="Times New Roman" w:hAnsi="Times New Roman" w:eastAsia="宋体" w:cs="Times New Roman"/>
                <w:bCs/>
                <w:sz w:val="18"/>
                <w:szCs w:val="18"/>
                <w:lang w:eastAsia="zh-CN" w:bidi="ar"/>
              </w:rPr>
            </w:pPr>
            <w:r>
              <w:rPr>
                <w:rStyle w:val="8"/>
                <w:rFonts w:ascii="Times New Roman" w:hAnsi="Times New Roman" w:eastAsia="宋体" w:cs="Times New Roman"/>
                <w:sz w:val="18"/>
                <w:szCs w:val="18"/>
                <w:lang w:eastAsia="zh-CN" w:bidi="ar"/>
              </w:rPr>
              <w:t>≈ 4 GPU·h</w:t>
            </w:r>
          </w:p>
        </w:tc>
        <w:tc>
          <w:tcPr>
            <w:tcW w:w="1843" w:type="dxa"/>
            <w:tcBorders>
              <w:top w:val="nil"/>
              <w:left w:val="nil"/>
              <w:bottom w:val="nil"/>
              <w:right w:val="nil"/>
            </w:tcBorders>
            <w:vAlign w:val="center"/>
          </w:tcPr>
          <w:p w14:paraId="743DCB48">
            <w:pPr>
              <w:jc w:val="center"/>
              <w:rPr>
                <w:rFonts w:ascii="Times New Roman" w:hAnsi="Times New Roman" w:eastAsia="宋体" w:cs="Times New Roman"/>
                <w:bCs/>
                <w:sz w:val="18"/>
                <w:szCs w:val="18"/>
                <w:lang w:eastAsia="zh-CN" w:bidi="ar"/>
              </w:rPr>
            </w:pPr>
            <w:r>
              <w:rPr>
                <w:rFonts w:ascii="Times New Roman" w:hAnsi="Times New Roman" w:eastAsia="宋体" w:cs="Times New Roman"/>
                <w:sz w:val="18"/>
                <w:szCs w:val="18"/>
                <w:lang w:eastAsia="zh-CN" w:bidi="ar"/>
              </w:rPr>
              <w:t>Few</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shot becomes </w:t>
            </w:r>
            <w:r>
              <w:rPr>
                <w:rStyle w:val="8"/>
                <w:rFonts w:ascii="Times New Roman" w:hAnsi="Times New Roman" w:eastAsia="宋体" w:cs="Times New Roman"/>
                <w:sz w:val="18"/>
                <w:szCs w:val="18"/>
                <w:lang w:eastAsia="zh-CN" w:bidi="ar"/>
              </w:rPr>
              <w:t>1% only</w:t>
            </w:r>
            <w:r>
              <w:rPr>
                <w:rFonts w:ascii="Times New Roman" w:hAnsi="Times New Roman" w:eastAsia="宋体" w:cs="Times New Roman"/>
                <w:sz w:val="18"/>
                <w:szCs w:val="18"/>
                <w:lang w:eastAsia="zh-CN" w:bidi="ar"/>
              </w:rPr>
              <w:t xml:space="preserve">; use </w:t>
            </w:r>
            <w:r>
              <w:rPr>
                <w:rStyle w:val="8"/>
                <w:rFonts w:ascii="Times New Roman" w:hAnsi="Times New Roman" w:eastAsia="宋体" w:cs="Times New Roman"/>
                <w:sz w:val="18"/>
                <w:szCs w:val="18"/>
                <w:lang w:eastAsia="zh-CN" w:bidi="ar"/>
              </w:rPr>
              <w:t>stratified subsampling</w:t>
            </w:r>
            <w:r>
              <w:rPr>
                <w:rFonts w:ascii="Times New Roman" w:hAnsi="Times New Roman" w:eastAsia="宋体" w:cs="Times New Roman"/>
                <w:sz w:val="18"/>
                <w:szCs w:val="18"/>
                <w:lang w:eastAsia="zh-CN" w:bidi="ar"/>
              </w:rPr>
              <w:t xml:space="preserve"> to simulate labels if needed.</w:t>
            </w:r>
          </w:p>
        </w:tc>
      </w:tr>
      <w:tr w14:paraId="555BB2D0">
        <w:tblPrEx>
          <w:tblCellMar>
            <w:top w:w="43" w:type="dxa"/>
            <w:left w:w="0" w:type="dxa"/>
            <w:bottom w:w="0" w:type="dxa"/>
            <w:right w:w="0" w:type="dxa"/>
          </w:tblCellMar>
        </w:tblPrEx>
        <w:trPr>
          <w:trHeight w:val="949" w:hRule="atLeast"/>
        </w:trPr>
        <w:tc>
          <w:tcPr>
            <w:tcW w:w="1693" w:type="dxa"/>
            <w:tcBorders>
              <w:top w:val="nil"/>
              <w:left w:val="nil"/>
              <w:bottom w:val="nil"/>
              <w:right w:val="nil"/>
            </w:tcBorders>
            <w:vAlign w:val="center"/>
          </w:tcPr>
          <w:p w14:paraId="4FD43186">
            <w:pPr>
              <w:jc w:val="center"/>
              <w:rPr>
                <w:rFonts w:ascii="Times New Roman" w:hAnsi="Times New Roman" w:eastAsia="宋体" w:cs="Times New Roman"/>
                <w:bCs/>
                <w:sz w:val="18"/>
                <w:szCs w:val="18"/>
                <w:lang w:eastAsia="zh-CN" w:bidi="ar"/>
              </w:rPr>
            </w:pPr>
            <w:r>
              <w:rPr>
                <w:rStyle w:val="8"/>
                <w:rFonts w:ascii="Times New Roman" w:hAnsi="Times New Roman" w:eastAsia="宋体" w:cs="Times New Roman"/>
                <w:sz w:val="18"/>
                <w:szCs w:val="18"/>
                <w:lang w:eastAsia="zh-CN" w:bidi="ar"/>
              </w:rPr>
              <w:t>Weeks 5–10 (champions only)</w:t>
            </w:r>
          </w:p>
        </w:tc>
        <w:tc>
          <w:tcPr>
            <w:tcW w:w="2395" w:type="dxa"/>
            <w:tcBorders>
              <w:top w:val="nil"/>
              <w:left w:val="nil"/>
              <w:bottom w:val="nil"/>
              <w:right w:val="nil"/>
            </w:tcBorders>
            <w:vAlign w:val="center"/>
          </w:tcPr>
          <w:p w14:paraId="1A7CCC3C">
            <w:pPr>
              <w:jc w:val="center"/>
              <w:rPr>
                <w:rFonts w:ascii="Times New Roman" w:hAnsi="Times New Roman" w:eastAsia="宋体" w:cs="Times New Roman"/>
                <w:bCs/>
                <w:sz w:val="18"/>
                <w:szCs w:val="18"/>
                <w:lang w:eastAsia="zh-CN" w:bidi="ar"/>
              </w:rPr>
            </w:pPr>
            <w:r>
              <w:rPr>
                <w:rFonts w:ascii="Times New Roman" w:hAnsi="Times New Roman" w:eastAsia="宋体" w:cs="Times New Roman"/>
                <w:sz w:val="18"/>
                <w:szCs w:val="18"/>
                <w:lang w:eastAsia="zh-CN" w:bidi="ar"/>
              </w:rPr>
              <w:t xml:space="preserve">Run Steps 0–15 on </w:t>
            </w:r>
            <w:r>
              <w:rPr>
                <w:rStyle w:val="8"/>
                <w:rFonts w:ascii="Times New Roman" w:hAnsi="Times New Roman" w:eastAsia="宋体" w:cs="Times New Roman"/>
                <w:sz w:val="18"/>
                <w:szCs w:val="18"/>
                <w:lang w:eastAsia="zh-CN" w:bidi="ar"/>
              </w:rPr>
              <w:t>2–3 champions</w:t>
            </w:r>
            <w:r>
              <w:rPr>
                <w:rFonts w:ascii="Times New Roman" w:hAnsi="Times New Roman" w:eastAsia="宋体" w:cs="Times New Roman"/>
                <w:sz w:val="18"/>
                <w:szCs w:val="18"/>
                <w:lang w:eastAsia="zh-CN" w:bidi="ar"/>
              </w:rPr>
              <w:t>; keep others as references</w:t>
            </w:r>
          </w:p>
        </w:tc>
        <w:tc>
          <w:tcPr>
            <w:tcW w:w="1843" w:type="dxa"/>
            <w:tcBorders>
              <w:top w:val="nil"/>
              <w:left w:val="nil"/>
              <w:bottom w:val="nil"/>
              <w:right w:val="nil"/>
            </w:tcBorders>
            <w:vAlign w:val="center"/>
          </w:tcPr>
          <w:p w14:paraId="40B3C927">
            <w:pPr>
              <w:jc w:val="center"/>
              <w:rPr>
                <w:rFonts w:ascii="Times New Roman" w:hAnsi="Times New Roman" w:eastAsia="宋体" w:cs="Times New Roman"/>
                <w:bCs/>
                <w:sz w:val="18"/>
                <w:szCs w:val="18"/>
                <w:lang w:eastAsia="zh-CN" w:bidi="ar"/>
              </w:rPr>
            </w:pPr>
            <w:r>
              <w:rPr>
                <w:rFonts w:ascii="Times New Roman" w:hAnsi="Times New Roman" w:eastAsia="宋体" w:cs="Times New Roman"/>
                <w:sz w:val="18"/>
                <w:szCs w:val="18"/>
                <w:lang w:eastAsia="zh-CN" w:bidi="ar"/>
              </w:rPr>
              <w:t>All step outputs complete; final significance and effect sizes reported.</w:t>
            </w:r>
          </w:p>
        </w:tc>
        <w:tc>
          <w:tcPr>
            <w:tcW w:w="1843" w:type="dxa"/>
            <w:tcBorders>
              <w:top w:val="nil"/>
              <w:left w:val="nil"/>
              <w:bottom w:val="nil"/>
              <w:right w:val="nil"/>
            </w:tcBorders>
            <w:vAlign w:val="center"/>
          </w:tcPr>
          <w:p w14:paraId="4C38AF37">
            <w:pPr>
              <w:jc w:val="center"/>
              <w:rPr>
                <w:rFonts w:ascii="Times New Roman" w:hAnsi="Times New Roman" w:eastAsia="宋体" w:cs="Times New Roman"/>
                <w:bCs/>
                <w:sz w:val="18"/>
                <w:szCs w:val="18"/>
                <w:lang w:eastAsia="zh-CN" w:bidi="ar"/>
              </w:rPr>
            </w:pPr>
            <w:r>
              <w:rPr>
                <w:rStyle w:val="8"/>
                <w:rFonts w:ascii="Times New Roman" w:hAnsi="Times New Roman" w:eastAsia="宋体" w:cs="Times New Roman"/>
                <w:sz w:val="18"/>
                <w:szCs w:val="18"/>
                <w:lang w:eastAsia="zh-CN" w:bidi="ar"/>
              </w:rPr>
              <w:t>≈ 60–90 GPU·h</w:t>
            </w:r>
          </w:p>
        </w:tc>
        <w:tc>
          <w:tcPr>
            <w:tcW w:w="1843" w:type="dxa"/>
            <w:tcBorders>
              <w:top w:val="nil"/>
              <w:left w:val="nil"/>
              <w:bottom w:val="nil"/>
              <w:right w:val="nil"/>
            </w:tcBorders>
            <w:vAlign w:val="center"/>
          </w:tcPr>
          <w:p w14:paraId="35A6A6D9">
            <w:pPr>
              <w:jc w:val="center"/>
              <w:rPr>
                <w:rFonts w:ascii="Times New Roman" w:hAnsi="Times New Roman" w:eastAsia="宋体" w:cs="Times New Roman"/>
                <w:bCs/>
                <w:sz w:val="18"/>
                <w:szCs w:val="18"/>
                <w:lang w:eastAsia="zh-CN" w:bidi="ar"/>
              </w:rPr>
            </w:pPr>
            <w:r>
              <w:rPr>
                <w:rStyle w:val="8"/>
                <w:rFonts w:ascii="Times New Roman" w:hAnsi="Times New Roman" w:eastAsia="宋体" w:cs="Times New Roman"/>
                <w:sz w:val="18"/>
                <w:szCs w:val="18"/>
                <w:lang w:eastAsia="zh-CN" w:bidi="ar"/>
              </w:rPr>
              <w:t>≈ 40–60 GPU·h</w:t>
            </w:r>
            <w:r>
              <w:rPr>
                <w:rFonts w:ascii="Times New Roman" w:hAnsi="Times New Roman" w:eastAsia="宋体" w:cs="Times New Roman"/>
                <w:sz w:val="18"/>
                <w:szCs w:val="18"/>
                <w:lang w:eastAsia="zh-CN" w:bidi="ar"/>
              </w:rPr>
              <w:t xml:space="preserve"> (trim low</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 xml:space="preserve">yield ablations; </w:t>
            </w:r>
            <w:r>
              <w:rPr>
                <w:rStyle w:val="8"/>
                <w:rFonts w:ascii="Times New Roman" w:hAnsi="Times New Roman" w:eastAsia="宋体" w:cs="Times New Roman"/>
                <w:sz w:val="18"/>
                <w:szCs w:val="18"/>
                <w:lang w:eastAsia="zh-CN" w:bidi="ar"/>
              </w:rPr>
              <w:t>seeds = 2</w:t>
            </w:r>
            <w:r>
              <w:rPr>
                <w:rFonts w:ascii="Times New Roman" w:hAnsi="Times New Roman" w:eastAsia="宋体" w:cs="Times New Roman"/>
                <w:sz w:val="18"/>
                <w:szCs w:val="18"/>
                <w:lang w:eastAsia="zh-CN" w:bidi="ar"/>
              </w:rPr>
              <w:t>).</w:t>
            </w:r>
          </w:p>
        </w:tc>
      </w:tr>
    </w:tbl>
    <w:p w14:paraId="39E7C98D">
      <w:pPr>
        <w:pStyle w:val="2"/>
        <w:spacing w:before="198" w:line="344" w:lineRule="auto"/>
        <w:rPr>
          <w:sz w:val="24"/>
          <w:szCs w:val="24"/>
        </w:rPr>
      </w:pPr>
    </w:p>
    <w:p w14:paraId="0C2C06F5">
      <w:pPr>
        <w:pStyle w:val="2"/>
        <w:spacing w:before="198" w:line="344" w:lineRule="auto"/>
        <w:rPr>
          <w:sz w:val="24"/>
          <w:szCs w:val="24"/>
        </w:rPr>
      </w:pPr>
    </w:p>
    <w:p w14:paraId="1013AB97">
      <w:pPr>
        <w:pStyle w:val="2"/>
        <w:spacing w:before="198" w:line="344" w:lineRule="auto"/>
        <w:rPr>
          <w:sz w:val="24"/>
          <w:szCs w:val="24"/>
        </w:rPr>
      </w:pPr>
    </w:p>
    <w:p w14:paraId="5DAA7760">
      <w:pPr>
        <w:pStyle w:val="2"/>
        <w:spacing w:before="198" w:line="344" w:lineRule="auto"/>
        <w:jc w:val="center"/>
        <w:rPr>
          <w:sz w:val="24"/>
          <w:szCs w:val="24"/>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10</w:t>
      </w:r>
      <w:r>
        <w:rPr>
          <w:color w:val="231F20"/>
          <w:spacing w:val="2"/>
          <w:sz w:val="18"/>
          <w:szCs w:val="18"/>
        </w:rPr>
        <w:t>.</w:t>
      </w:r>
      <w:r>
        <w:rPr>
          <w:color w:val="231F20"/>
          <w:spacing w:val="10"/>
          <w:w w:val="102"/>
          <w:sz w:val="18"/>
          <w:szCs w:val="18"/>
        </w:rPr>
        <w:t xml:space="preserve"> </w:t>
      </w:r>
      <w:r>
        <w:rPr>
          <w:rFonts w:hint="eastAsia" w:eastAsia="宋体"/>
          <w:color w:val="231F20"/>
          <w:spacing w:val="10"/>
          <w:w w:val="102"/>
          <w:sz w:val="18"/>
          <w:szCs w:val="18"/>
          <w:lang w:eastAsia="zh-CN"/>
        </w:rPr>
        <w:t>R</w:t>
      </w:r>
      <w:r>
        <w:rPr>
          <w:rFonts w:hint="eastAsia"/>
          <w:color w:val="231F20"/>
          <w:spacing w:val="2"/>
          <w:sz w:val="18"/>
          <w:szCs w:val="18"/>
        </w:rPr>
        <w:t>isk controls</w:t>
      </w:r>
    </w:p>
    <w:tbl>
      <w:tblPr>
        <w:tblStyle w:val="13"/>
        <w:tblpPr w:leftFromText="180" w:rightFromText="180" w:vertAnchor="text" w:horzAnchor="page" w:tblpXSpec="center" w:tblpY="23"/>
        <w:tblOverlap w:val="never"/>
        <w:tblW w:w="9219" w:type="dxa"/>
        <w:jc w:val="center"/>
        <w:tblLayout w:type="autofit"/>
        <w:tblCellMar>
          <w:top w:w="43" w:type="dxa"/>
          <w:left w:w="0" w:type="dxa"/>
          <w:bottom w:w="0" w:type="dxa"/>
          <w:right w:w="0" w:type="dxa"/>
        </w:tblCellMar>
      </w:tblPr>
      <w:tblGrid>
        <w:gridCol w:w="3049"/>
        <w:gridCol w:w="6170"/>
      </w:tblGrid>
      <w:tr w14:paraId="11C3CF4A">
        <w:tblPrEx>
          <w:tblCellMar>
            <w:top w:w="43" w:type="dxa"/>
            <w:left w:w="0" w:type="dxa"/>
            <w:bottom w:w="0" w:type="dxa"/>
            <w:right w:w="0" w:type="dxa"/>
          </w:tblCellMar>
        </w:tblPrEx>
        <w:trPr>
          <w:trHeight w:val="697" w:hRule="atLeast"/>
          <w:jc w:val="center"/>
        </w:trPr>
        <w:tc>
          <w:tcPr>
            <w:tcW w:w="3049" w:type="dxa"/>
            <w:tcBorders>
              <w:top w:val="single" w:color="000000" w:sz="6" w:space="0"/>
              <w:left w:val="nil"/>
              <w:bottom w:val="single" w:color="000000" w:sz="4" w:space="0"/>
              <w:right w:val="nil"/>
            </w:tcBorders>
            <w:vAlign w:val="center"/>
          </w:tcPr>
          <w:p w14:paraId="6FB28E91">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Anticipated Challenges</w:t>
            </w:r>
          </w:p>
        </w:tc>
        <w:tc>
          <w:tcPr>
            <w:tcW w:w="6170" w:type="dxa"/>
            <w:tcBorders>
              <w:top w:val="single" w:color="000000" w:sz="6" w:space="0"/>
              <w:left w:val="nil"/>
              <w:bottom w:val="single" w:color="000000" w:sz="4" w:space="0"/>
              <w:right w:val="nil"/>
            </w:tcBorders>
            <w:vAlign w:val="center"/>
          </w:tcPr>
          <w:p w14:paraId="301431B6">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Resolution Strategy</w:t>
            </w:r>
          </w:p>
        </w:tc>
      </w:tr>
      <w:tr w14:paraId="45F22F98">
        <w:tblPrEx>
          <w:tblCellMar>
            <w:top w:w="43" w:type="dxa"/>
            <w:left w:w="0" w:type="dxa"/>
            <w:bottom w:w="0" w:type="dxa"/>
            <w:right w:w="0" w:type="dxa"/>
          </w:tblCellMar>
        </w:tblPrEx>
        <w:trPr>
          <w:trHeight w:val="1183" w:hRule="atLeast"/>
          <w:jc w:val="center"/>
        </w:trPr>
        <w:tc>
          <w:tcPr>
            <w:tcW w:w="3049" w:type="dxa"/>
            <w:tcBorders>
              <w:top w:val="single" w:color="000000" w:sz="4" w:space="0"/>
              <w:left w:val="nil"/>
              <w:bottom w:val="nil"/>
              <w:right w:val="nil"/>
            </w:tcBorders>
            <w:vAlign w:val="center"/>
          </w:tcPr>
          <w:p w14:paraId="1FF3F7E4">
            <w:pPr>
              <w:jc w:val="center"/>
              <w:rPr>
                <w:rFonts w:ascii="Times New Roman" w:hAnsi="Times New Roman" w:cs="Times New Roman"/>
                <w:sz w:val="18"/>
                <w:szCs w:val="18"/>
              </w:rPr>
            </w:pPr>
            <w:r>
              <w:rPr>
                <w:rStyle w:val="8"/>
                <w:rFonts w:ascii="Times New Roman" w:hAnsi="Times New Roman" w:eastAsia="宋体" w:cs="Times New Roman"/>
                <w:sz w:val="18"/>
                <w:szCs w:val="18"/>
                <w:lang w:eastAsia="zh-CN" w:bidi="ar"/>
              </w:rPr>
              <w:t>Excessive complexity and time cost in dataset preprocessing</w:t>
            </w:r>
          </w:p>
        </w:tc>
        <w:tc>
          <w:tcPr>
            <w:tcW w:w="6170" w:type="dxa"/>
            <w:tcBorders>
              <w:top w:val="single" w:color="000000" w:sz="4" w:space="0"/>
              <w:left w:val="nil"/>
              <w:bottom w:val="nil"/>
              <w:right w:val="nil"/>
            </w:tcBorders>
            <w:vAlign w:val="center"/>
          </w:tcPr>
          <w:p w14:paraId="6D79AD88">
            <w:pPr>
              <w:numPr>
                <w:ilvl w:val="0"/>
                <w:numId w:val="3"/>
              </w:num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rPr>
              <w:t>Six Models Trained on Three Datasets</w:t>
            </w:r>
            <w:r>
              <w:rPr>
                <w:rFonts w:hint="eastAsia" w:ascii="Times New Roman" w:hAnsi="Times New Roman" w:eastAsia="宋体" w:cs="Times New Roman"/>
                <w:sz w:val="18"/>
                <w:szCs w:val="18"/>
                <w:lang w:eastAsia="zh-CN"/>
              </w:rPr>
              <w:t>→</w:t>
            </w:r>
            <w:r>
              <w:rPr>
                <w:rFonts w:ascii="Times New Roman" w:hAnsi="Times New Roman" w:eastAsia="宋体" w:cs="Times New Roman"/>
                <w:sz w:val="18"/>
                <w:szCs w:val="18"/>
                <w:lang w:eastAsia="zh-CN"/>
              </w:rPr>
              <w:t>Train five baseline models on RealWorld; then select one or two champions and, together with Model A, train them on the remaining two datasets</w:t>
            </w:r>
          </w:p>
          <w:p w14:paraId="70033416">
            <w:pPr>
              <w:numPr>
                <w:ilvl w:val="0"/>
                <w:numId w:val="3"/>
              </w:num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rPr>
              <w:t>Six Models Trained on Three Datasets</w:t>
            </w:r>
            <w:r>
              <w:rPr>
                <w:rFonts w:hint="eastAsia" w:ascii="Times New Roman" w:hAnsi="Times New Roman" w:eastAsia="宋体" w:cs="Times New Roman"/>
                <w:sz w:val="18"/>
                <w:szCs w:val="18"/>
                <w:lang w:eastAsia="zh-CN"/>
              </w:rPr>
              <w:t>→Six Models Trained on Two Datasets</w:t>
            </w:r>
          </w:p>
        </w:tc>
      </w:tr>
      <w:tr w14:paraId="49FD1A83">
        <w:tblPrEx>
          <w:tblCellMar>
            <w:top w:w="43" w:type="dxa"/>
            <w:left w:w="0" w:type="dxa"/>
            <w:bottom w:w="0" w:type="dxa"/>
            <w:right w:w="0" w:type="dxa"/>
          </w:tblCellMar>
        </w:tblPrEx>
        <w:trPr>
          <w:trHeight w:val="1213" w:hRule="atLeast"/>
          <w:jc w:val="center"/>
        </w:trPr>
        <w:tc>
          <w:tcPr>
            <w:tcW w:w="3049" w:type="dxa"/>
            <w:tcBorders>
              <w:top w:val="nil"/>
              <w:left w:val="nil"/>
              <w:bottom w:val="nil"/>
              <w:right w:val="nil"/>
            </w:tcBorders>
            <w:vAlign w:val="center"/>
          </w:tcPr>
          <w:p w14:paraId="7718C0F1">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Excessive training time for deep models</w:t>
            </w:r>
          </w:p>
        </w:tc>
        <w:tc>
          <w:tcPr>
            <w:tcW w:w="6170" w:type="dxa"/>
            <w:tcBorders>
              <w:top w:val="nil"/>
              <w:left w:val="nil"/>
              <w:bottom w:val="nil"/>
              <w:right w:val="nil"/>
            </w:tcBorders>
            <w:vAlign w:val="center"/>
          </w:tcPr>
          <w:p w14:paraId="0BAEDEE1">
            <w:pPr>
              <w:numPr>
                <w:ilvl w:val="0"/>
                <w:numId w:val="4"/>
              </w:num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rPr>
              <w:t>Reducing Selected Model Parameters and Hyperparameter Search Space While Preserving Near Top-Tier Paper Quality</w:t>
            </w:r>
          </w:p>
          <w:p w14:paraId="4EA924FF">
            <w:pPr>
              <w:numPr>
                <w:ilvl w:val="0"/>
                <w:numId w:val="4"/>
              </w:num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rPr>
              <w:t>Accelerating Training via Code-Quality Improvements (Vectorisation &amp; Mini-batching, AMP, cuDNN + Optimiser Tuning, Larger Batches, Early Downsampling, Sparser Validation, etc.)</w:t>
            </w:r>
          </w:p>
        </w:tc>
      </w:tr>
      <w:tr w14:paraId="1E869704">
        <w:tblPrEx>
          <w:tblCellMar>
            <w:top w:w="43" w:type="dxa"/>
            <w:left w:w="0" w:type="dxa"/>
            <w:bottom w:w="0" w:type="dxa"/>
            <w:right w:w="0" w:type="dxa"/>
          </w:tblCellMar>
        </w:tblPrEx>
        <w:trPr>
          <w:trHeight w:val="833" w:hRule="atLeast"/>
          <w:jc w:val="center"/>
        </w:trPr>
        <w:tc>
          <w:tcPr>
            <w:tcW w:w="3049" w:type="dxa"/>
            <w:tcBorders>
              <w:top w:val="nil"/>
              <w:left w:val="nil"/>
              <w:bottom w:val="nil"/>
              <w:right w:val="nil"/>
            </w:tcBorders>
            <w:vAlign w:val="center"/>
          </w:tcPr>
          <w:p w14:paraId="0DEEDF32">
            <w:pPr>
              <w:jc w:val="center"/>
              <w:rPr>
                <w:rFonts w:ascii="Times New Roman" w:hAnsi="Times New Roman" w:eastAsia="宋体" w:cs="Times New Roman"/>
                <w:sz w:val="18"/>
                <w:szCs w:val="18"/>
                <w:lang w:eastAsia="zh-CN"/>
              </w:rPr>
            </w:pPr>
            <w:r>
              <w:rPr>
                <w:rStyle w:val="8"/>
                <w:rFonts w:ascii="Times New Roman" w:hAnsi="Times New Roman" w:eastAsia="宋体" w:cs="Times New Roman"/>
                <w:sz w:val="18"/>
                <w:szCs w:val="18"/>
                <w:lang w:eastAsia="zh-CN" w:bidi="ar"/>
              </w:rPr>
              <w:t>The local machine’s hardware configuration is insufficient</w:t>
            </w:r>
          </w:p>
        </w:tc>
        <w:tc>
          <w:tcPr>
            <w:tcW w:w="6170" w:type="dxa"/>
            <w:tcBorders>
              <w:top w:val="nil"/>
              <w:left w:val="nil"/>
              <w:bottom w:val="nil"/>
              <w:right w:val="nil"/>
            </w:tcBorders>
            <w:vAlign w:val="center"/>
          </w:tcPr>
          <w:p w14:paraId="1FF53F35">
            <w:pPr>
              <w:jc w:val="center"/>
              <w:rPr>
                <w:rFonts w:ascii="Times New Roman" w:hAnsi="Times New Roman" w:cs="Times New Roman"/>
                <w:sz w:val="18"/>
                <w:szCs w:val="18"/>
              </w:rPr>
            </w:pPr>
            <w:r>
              <w:rPr>
                <w:rFonts w:ascii="Times New Roman" w:hAnsi="Times New Roman" w:cs="Times New Roman"/>
                <w:sz w:val="18"/>
                <w:szCs w:val="18"/>
              </w:rPr>
              <w:t>Leveraging Cloud Compute (e.g., NVIDIA A100 GPUs)</w:t>
            </w:r>
          </w:p>
        </w:tc>
      </w:tr>
      <w:tr w14:paraId="6B4B8F64">
        <w:tblPrEx>
          <w:tblCellMar>
            <w:top w:w="43" w:type="dxa"/>
            <w:left w:w="0" w:type="dxa"/>
            <w:bottom w:w="0" w:type="dxa"/>
            <w:right w:w="0" w:type="dxa"/>
          </w:tblCellMar>
        </w:tblPrEx>
        <w:trPr>
          <w:trHeight w:val="1007" w:hRule="atLeast"/>
          <w:jc w:val="center"/>
        </w:trPr>
        <w:tc>
          <w:tcPr>
            <w:tcW w:w="9219" w:type="dxa"/>
            <w:gridSpan w:val="2"/>
            <w:tcBorders>
              <w:top w:val="nil"/>
              <w:left w:val="nil"/>
              <w:bottom w:val="nil"/>
              <w:right w:val="nil"/>
            </w:tcBorders>
            <w:vAlign w:val="center"/>
          </w:tcPr>
          <w:p w14:paraId="2C5C4839">
            <w:pPr>
              <w:jc w:val="center"/>
              <w:rPr>
                <w:rFonts w:ascii="Times New Roman" w:hAnsi="Times New Roman" w:cs="Times New Roman"/>
                <w:sz w:val="18"/>
                <w:szCs w:val="18"/>
              </w:rPr>
            </w:pPr>
            <w:r>
              <w:rPr>
                <w:rFonts w:hint="eastAsia" w:ascii="Times New Roman" w:hAnsi="Times New Roman" w:eastAsia="宋体" w:cs="Times New Roman"/>
                <w:sz w:val="18"/>
                <w:szCs w:val="18"/>
                <w:lang w:eastAsia="zh-CN"/>
              </w:rPr>
              <w:t xml:space="preserve">Note: </w:t>
            </w:r>
            <w:r>
              <w:rPr>
                <w:rFonts w:ascii="Times New Roman" w:hAnsi="Times New Roman" w:cs="Times New Roman"/>
                <w:sz w:val="18"/>
                <w:szCs w:val="18"/>
              </w:rPr>
              <w:t>Overall, IMU-based HAR typically prioritises small, accurate, and fast models, in sharp contrast to the “bigger-is-better” trajectory of LLMs; accordingly, the experimental risk is comparatively manageable. Preprocessing of the RealWorld dataset has been successfully finalized, and partial model training has been conducted.</w:t>
            </w:r>
          </w:p>
        </w:tc>
      </w:tr>
    </w:tbl>
    <w:p w14:paraId="4CC8E39E">
      <w:pPr>
        <w:pStyle w:val="2"/>
        <w:spacing w:before="198" w:line="344" w:lineRule="auto"/>
        <w:rPr>
          <w:sz w:val="24"/>
          <w:szCs w:val="24"/>
        </w:rPr>
      </w:pPr>
    </w:p>
    <w:p w14:paraId="51D0FAA4">
      <w:pPr>
        <w:pStyle w:val="2"/>
        <w:spacing w:before="198" w:line="344" w:lineRule="auto"/>
        <w:jc w:val="center"/>
        <w:rPr>
          <w:sz w:val="24"/>
          <w:szCs w:val="24"/>
        </w:rPr>
      </w:pPr>
      <w:r>
        <w:rPr>
          <w:color w:val="231F20"/>
          <w:spacing w:val="2"/>
          <w:sz w:val="18"/>
          <w:szCs w:val="18"/>
        </w:rPr>
        <w:t>TABLE</w:t>
      </w:r>
      <w:r>
        <w:rPr>
          <w:color w:val="231F20"/>
          <w:spacing w:val="20"/>
          <w:w w:val="102"/>
          <w:sz w:val="18"/>
          <w:szCs w:val="18"/>
        </w:rPr>
        <w:t xml:space="preserve"> </w:t>
      </w:r>
      <w:r>
        <w:rPr>
          <w:rFonts w:hint="eastAsia" w:eastAsia="宋体"/>
          <w:color w:val="231F20"/>
          <w:spacing w:val="20"/>
          <w:w w:val="102"/>
          <w:sz w:val="18"/>
          <w:szCs w:val="18"/>
          <w:lang w:eastAsia="zh-CN"/>
        </w:rPr>
        <w:t>11</w:t>
      </w:r>
      <w:r>
        <w:rPr>
          <w:color w:val="231F20"/>
          <w:spacing w:val="2"/>
          <w:sz w:val="18"/>
          <w:szCs w:val="18"/>
        </w:rPr>
        <w:t>.</w:t>
      </w:r>
      <w:r>
        <w:rPr>
          <w:color w:val="231F20"/>
          <w:spacing w:val="10"/>
          <w:w w:val="102"/>
          <w:sz w:val="18"/>
          <w:szCs w:val="18"/>
        </w:rPr>
        <w:t xml:space="preserve"> </w:t>
      </w:r>
      <w:r>
        <w:rPr>
          <w:rFonts w:hint="eastAsia" w:eastAsia="宋体"/>
          <w:color w:val="231F20"/>
          <w:spacing w:val="10"/>
          <w:w w:val="102"/>
          <w:sz w:val="18"/>
          <w:szCs w:val="18"/>
          <w:lang w:eastAsia="zh-CN"/>
        </w:rPr>
        <w:t>Evidence–Gap–Map</w:t>
      </w:r>
    </w:p>
    <w:tbl>
      <w:tblPr>
        <w:tblStyle w:val="13"/>
        <w:tblpPr w:leftFromText="180" w:rightFromText="180" w:vertAnchor="text" w:horzAnchor="page" w:tblpXSpec="center" w:tblpY="23"/>
        <w:tblOverlap w:val="never"/>
        <w:tblW w:w="8512" w:type="dxa"/>
        <w:jc w:val="center"/>
        <w:tblLayout w:type="fixed"/>
        <w:tblCellMar>
          <w:top w:w="43" w:type="dxa"/>
          <w:left w:w="0" w:type="dxa"/>
          <w:bottom w:w="0" w:type="dxa"/>
          <w:right w:w="0" w:type="dxa"/>
        </w:tblCellMar>
      </w:tblPr>
      <w:tblGrid>
        <w:gridCol w:w="2461"/>
        <w:gridCol w:w="2752"/>
        <w:gridCol w:w="3299"/>
      </w:tblGrid>
      <w:tr w14:paraId="623607C9">
        <w:tblPrEx>
          <w:tblCellMar>
            <w:top w:w="43" w:type="dxa"/>
            <w:left w:w="0" w:type="dxa"/>
            <w:bottom w:w="0" w:type="dxa"/>
            <w:right w:w="0" w:type="dxa"/>
          </w:tblCellMar>
        </w:tblPrEx>
        <w:trPr>
          <w:trHeight w:val="761" w:hRule="atLeast"/>
          <w:jc w:val="center"/>
        </w:trPr>
        <w:tc>
          <w:tcPr>
            <w:tcW w:w="2461" w:type="dxa"/>
            <w:tcBorders>
              <w:top w:val="single" w:color="000000" w:sz="6" w:space="0"/>
              <w:left w:val="nil"/>
              <w:bottom w:val="single" w:color="000000" w:sz="4" w:space="0"/>
              <w:right w:val="nil"/>
            </w:tcBorders>
            <w:vAlign w:val="center"/>
          </w:tcPr>
          <w:p w14:paraId="592C420A">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Theme &amp; key sources</w:t>
            </w:r>
          </w:p>
        </w:tc>
        <w:tc>
          <w:tcPr>
            <w:tcW w:w="2752" w:type="dxa"/>
            <w:tcBorders>
              <w:top w:val="single" w:color="000000" w:sz="6" w:space="0"/>
              <w:left w:val="nil"/>
              <w:bottom w:val="single" w:color="000000" w:sz="4" w:space="0"/>
              <w:right w:val="nil"/>
            </w:tcBorders>
            <w:vAlign w:val="center"/>
          </w:tcPr>
          <w:p w14:paraId="11EE5905">
            <w:pPr>
              <w:jc w:val="center"/>
              <w:rPr>
                <w:rFonts w:ascii="Times New Roman" w:hAnsi="Times New Roman" w:eastAsia="宋体" w:cs="Times New Roman"/>
                <w:sz w:val="18"/>
                <w:szCs w:val="18"/>
                <w:lang w:eastAsia="zh-CN"/>
              </w:rPr>
            </w:pPr>
            <w:r>
              <w:rPr>
                <w:rFonts w:ascii="Times New Roman" w:hAnsi="Times New Roman" w:eastAsia="宋体" w:cs="Times New Roman"/>
                <w:b/>
                <w:bCs/>
                <w:sz w:val="18"/>
                <w:szCs w:val="18"/>
                <w:lang w:eastAsia="zh-CN" w:bidi="ar"/>
              </w:rPr>
              <w:t>What is known</w:t>
            </w:r>
          </w:p>
        </w:tc>
        <w:tc>
          <w:tcPr>
            <w:tcW w:w="3299" w:type="dxa"/>
            <w:tcBorders>
              <w:top w:val="single" w:color="000000" w:sz="6" w:space="0"/>
              <w:left w:val="nil"/>
              <w:bottom w:val="single" w:color="000000" w:sz="4" w:space="0"/>
              <w:right w:val="nil"/>
            </w:tcBorders>
            <w:vAlign w:val="center"/>
          </w:tcPr>
          <w:p w14:paraId="7FD9D10E">
            <w:pPr>
              <w:jc w:val="center"/>
              <w:rPr>
                <w:rFonts w:ascii="Times New Roman" w:hAnsi="Times New Roman" w:cs="Times New Roman"/>
                <w:sz w:val="18"/>
                <w:szCs w:val="18"/>
              </w:rPr>
            </w:pPr>
            <w:r>
              <w:rPr>
                <w:rFonts w:ascii="Times New Roman" w:hAnsi="Times New Roman" w:eastAsia="宋体" w:cs="Times New Roman"/>
                <w:b/>
                <w:bCs/>
                <w:sz w:val="18"/>
                <w:szCs w:val="18"/>
                <w:lang w:eastAsia="zh-CN" w:bidi="ar"/>
              </w:rPr>
              <w:t>Remaining gap</w:t>
            </w:r>
          </w:p>
        </w:tc>
      </w:tr>
      <w:tr w14:paraId="71145AB1">
        <w:tblPrEx>
          <w:tblCellMar>
            <w:top w:w="43" w:type="dxa"/>
            <w:left w:w="0" w:type="dxa"/>
            <w:bottom w:w="0" w:type="dxa"/>
            <w:right w:w="0" w:type="dxa"/>
          </w:tblCellMar>
        </w:tblPrEx>
        <w:trPr>
          <w:trHeight w:val="870" w:hRule="atLeast"/>
          <w:jc w:val="center"/>
        </w:trPr>
        <w:tc>
          <w:tcPr>
            <w:tcW w:w="2461" w:type="dxa"/>
            <w:tcBorders>
              <w:top w:val="single" w:color="000000" w:sz="4" w:space="0"/>
              <w:left w:val="nil"/>
              <w:bottom w:val="nil"/>
              <w:right w:val="nil"/>
            </w:tcBorders>
            <w:vAlign w:val="center"/>
          </w:tcPr>
          <w:p w14:paraId="4DD5940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Evaluation (Napoli et al., 2024; Yuan et al., 2024)</w:t>
            </w:r>
          </w:p>
        </w:tc>
        <w:tc>
          <w:tcPr>
            <w:tcW w:w="2752" w:type="dxa"/>
            <w:tcBorders>
              <w:top w:val="single" w:color="000000" w:sz="4" w:space="0"/>
              <w:left w:val="nil"/>
              <w:bottom w:val="nil"/>
              <w:right w:val="nil"/>
            </w:tcBorders>
            <w:vAlign w:val="center"/>
          </w:tcPr>
          <w:p w14:paraId="159D44AA">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Subject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exclusive splits reflect user</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level generalisation</w:t>
            </w:r>
          </w:p>
        </w:tc>
        <w:tc>
          <w:tcPr>
            <w:tcW w:w="3299" w:type="dxa"/>
            <w:tcBorders>
              <w:top w:val="single" w:color="000000" w:sz="4" w:space="0"/>
              <w:left w:val="nil"/>
              <w:bottom w:val="nil"/>
              <w:right w:val="nil"/>
            </w:tcBorders>
            <w:vAlign w:val="center"/>
          </w:tcPr>
          <w:p w14:paraId="4D5FD8FE">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Leakage</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free, comparable protocols across datasets</w:t>
            </w:r>
          </w:p>
        </w:tc>
      </w:tr>
      <w:tr w14:paraId="0DA533BD">
        <w:tblPrEx>
          <w:tblCellMar>
            <w:top w:w="43" w:type="dxa"/>
            <w:left w:w="0" w:type="dxa"/>
            <w:bottom w:w="0" w:type="dxa"/>
            <w:right w:w="0" w:type="dxa"/>
          </w:tblCellMar>
        </w:tblPrEx>
        <w:trPr>
          <w:trHeight w:val="855" w:hRule="atLeast"/>
          <w:jc w:val="center"/>
        </w:trPr>
        <w:tc>
          <w:tcPr>
            <w:tcW w:w="2461" w:type="dxa"/>
            <w:tcBorders>
              <w:top w:val="nil"/>
              <w:left w:val="nil"/>
              <w:bottom w:val="nil"/>
              <w:right w:val="nil"/>
            </w:tcBorders>
            <w:vAlign w:val="center"/>
          </w:tcPr>
          <w:p w14:paraId="34E83103">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Baselines (Tan et al., 2022)</w:t>
            </w:r>
          </w:p>
        </w:tc>
        <w:tc>
          <w:tcPr>
            <w:tcW w:w="2752" w:type="dxa"/>
            <w:tcBorders>
              <w:top w:val="nil"/>
              <w:left w:val="nil"/>
              <w:bottom w:val="nil"/>
              <w:right w:val="nil"/>
            </w:tcBorders>
            <w:vAlign w:val="center"/>
          </w:tcPr>
          <w:p w14:paraId="4AAD0B8B">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Fast, strong non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deep yardstick</w:t>
            </w:r>
          </w:p>
        </w:tc>
        <w:tc>
          <w:tcPr>
            <w:tcW w:w="3299" w:type="dxa"/>
            <w:tcBorders>
              <w:top w:val="nil"/>
              <w:left w:val="nil"/>
              <w:bottom w:val="nil"/>
              <w:right w:val="nil"/>
            </w:tcBorders>
            <w:vAlign w:val="center"/>
          </w:tcPr>
          <w:p w14:paraId="6BA0A9F6">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Marginal value of heavier models</w:t>
            </w:r>
          </w:p>
        </w:tc>
      </w:tr>
      <w:tr w14:paraId="702E2308">
        <w:tblPrEx>
          <w:tblCellMar>
            <w:top w:w="43" w:type="dxa"/>
            <w:left w:w="0" w:type="dxa"/>
            <w:bottom w:w="0" w:type="dxa"/>
            <w:right w:w="0" w:type="dxa"/>
          </w:tblCellMar>
        </w:tblPrEx>
        <w:trPr>
          <w:trHeight w:val="1058" w:hRule="atLeast"/>
          <w:jc w:val="center"/>
        </w:trPr>
        <w:tc>
          <w:tcPr>
            <w:tcW w:w="2461" w:type="dxa"/>
            <w:tcBorders>
              <w:top w:val="nil"/>
              <w:left w:val="nil"/>
              <w:bottom w:val="nil"/>
              <w:right w:val="nil"/>
            </w:tcBorders>
            <w:vAlign w:val="center"/>
          </w:tcPr>
          <w:p w14:paraId="15BE8665">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Reliability (Silva Filho et al., 2023; Angelopoulos &amp; Bates, 2023)</w:t>
            </w:r>
          </w:p>
        </w:tc>
        <w:tc>
          <w:tcPr>
            <w:tcW w:w="2752" w:type="dxa"/>
            <w:tcBorders>
              <w:top w:val="nil"/>
              <w:left w:val="nil"/>
              <w:bottom w:val="nil"/>
              <w:right w:val="nil"/>
            </w:tcBorders>
            <w:vAlign w:val="center"/>
          </w:tcPr>
          <w:p w14:paraId="49369507">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ECE limits; APS gives coverage</w:t>
            </w:r>
          </w:p>
        </w:tc>
        <w:tc>
          <w:tcPr>
            <w:tcW w:w="3299" w:type="dxa"/>
            <w:tcBorders>
              <w:top w:val="nil"/>
              <w:left w:val="nil"/>
              <w:bottom w:val="nil"/>
              <w:right w:val="nil"/>
            </w:tcBorders>
            <w:vAlign w:val="center"/>
          </w:tcPr>
          <w:p w14:paraId="4DFFFA32">
            <w:pPr>
              <w:jc w:val="center"/>
              <w:rPr>
                <w:rFonts w:ascii="Times New Roman" w:hAnsi="Times New Roman" w:eastAsia="宋体" w:cs="Times New Roman"/>
                <w:sz w:val="18"/>
                <w:szCs w:val="18"/>
                <w:lang w:eastAsia="zh-CN"/>
              </w:rPr>
            </w:pPr>
            <w:r>
              <w:rPr>
                <w:rFonts w:ascii="Times New Roman" w:hAnsi="Times New Roman" w:eastAsia="宋体" w:cs="Times New Roman"/>
                <w:sz w:val="18"/>
                <w:szCs w:val="18"/>
                <w:lang w:eastAsia="zh-CN" w:bidi="ar"/>
              </w:rPr>
              <w:t>Decision</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useful uncertainty under shift</w:t>
            </w:r>
          </w:p>
        </w:tc>
      </w:tr>
      <w:tr w14:paraId="27632D17">
        <w:tblPrEx>
          <w:tblCellMar>
            <w:top w:w="43" w:type="dxa"/>
            <w:left w:w="0" w:type="dxa"/>
            <w:bottom w:w="0" w:type="dxa"/>
            <w:right w:w="0" w:type="dxa"/>
          </w:tblCellMar>
        </w:tblPrEx>
        <w:trPr>
          <w:trHeight w:val="1058" w:hRule="atLeast"/>
          <w:jc w:val="center"/>
        </w:trPr>
        <w:tc>
          <w:tcPr>
            <w:tcW w:w="2461" w:type="dxa"/>
            <w:tcBorders>
              <w:top w:val="nil"/>
              <w:left w:val="nil"/>
              <w:bottom w:val="nil"/>
              <w:right w:val="nil"/>
            </w:tcBorders>
            <w:vAlign w:val="center"/>
          </w:tcPr>
          <w:p w14:paraId="3502E610">
            <w:pPr>
              <w:jc w:val="center"/>
              <w:rPr>
                <w:rStyle w:val="8"/>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Representation &amp; posture (Yuan et al., 2024; Xiao et al., 2024)</w:t>
            </w:r>
          </w:p>
        </w:tc>
        <w:tc>
          <w:tcPr>
            <w:tcW w:w="2752" w:type="dxa"/>
            <w:tcBorders>
              <w:top w:val="nil"/>
              <w:left w:val="nil"/>
              <w:bottom w:val="nil"/>
              <w:right w:val="nil"/>
            </w:tcBorders>
            <w:vAlign w:val="center"/>
          </w:tcPr>
          <w:p w14:paraId="4B40CCE7">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SSL and IMU</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only 3D posture improve transfer</w:t>
            </w:r>
          </w:p>
        </w:tc>
        <w:tc>
          <w:tcPr>
            <w:tcW w:w="3299" w:type="dxa"/>
            <w:tcBorders>
              <w:top w:val="nil"/>
              <w:left w:val="nil"/>
              <w:bottom w:val="nil"/>
              <w:right w:val="nil"/>
            </w:tcBorders>
            <w:vAlign w:val="center"/>
          </w:tcPr>
          <w:p w14:paraId="100192A3">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Placement</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robust, low</w:t>
            </w:r>
            <w:r>
              <w:rPr>
                <w:rFonts w:ascii="Times New Roman" w:hAnsi="Times New Roman" w:eastAsia="宋体" w:cs="Times New Roman"/>
                <w:sz w:val="18"/>
                <w:szCs w:val="18"/>
                <w:lang w:eastAsia="zh-CN" w:bidi="ar"/>
              </w:rPr>
              <w:noBreakHyphen/>
            </w:r>
            <w:r>
              <w:rPr>
                <w:rFonts w:ascii="Times New Roman" w:hAnsi="Times New Roman" w:eastAsia="宋体" w:cs="Times New Roman"/>
                <w:sz w:val="18"/>
                <w:szCs w:val="18"/>
                <w:lang w:eastAsia="zh-CN" w:bidi="ar"/>
              </w:rPr>
              <w:t>latency transitions</w:t>
            </w:r>
          </w:p>
        </w:tc>
      </w:tr>
    </w:tbl>
    <w:p w14:paraId="22C595D6">
      <w:pPr>
        <w:pStyle w:val="2"/>
        <w:spacing w:before="198" w:line="344" w:lineRule="auto"/>
        <w:rPr>
          <w:sz w:val="24"/>
          <w:szCs w:val="24"/>
        </w:rPr>
      </w:pPr>
    </w:p>
    <w:p w14:paraId="1111FB5A">
      <w:pPr>
        <w:pStyle w:val="2"/>
        <w:spacing w:before="198" w:line="344" w:lineRule="auto"/>
        <w:rPr>
          <w:sz w:val="24"/>
          <w:szCs w:val="24"/>
        </w:rPr>
      </w:pPr>
    </w:p>
    <w:p w14:paraId="79E45F8B">
      <w:pPr>
        <w:pStyle w:val="2"/>
        <w:spacing w:before="198" w:line="344" w:lineRule="auto"/>
        <w:rPr>
          <w:sz w:val="24"/>
          <w:szCs w:val="24"/>
        </w:rPr>
      </w:pPr>
    </w:p>
    <w:p w14:paraId="49324C02">
      <w:pPr>
        <w:pStyle w:val="2"/>
        <w:spacing w:before="198" w:line="344" w:lineRule="auto"/>
        <w:rPr>
          <w:sz w:val="24"/>
          <w:szCs w:val="24"/>
        </w:rPr>
      </w:pPr>
    </w:p>
    <w:p w14:paraId="299AD3F3">
      <w:pPr>
        <w:pStyle w:val="2"/>
        <w:spacing w:before="198" w:line="344" w:lineRule="auto"/>
        <w:rPr>
          <w:sz w:val="24"/>
          <w:szCs w:val="24"/>
        </w:rPr>
      </w:pPr>
    </w:p>
    <w:p w14:paraId="33C1E858">
      <w:pPr>
        <w:pStyle w:val="2"/>
        <w:spacing w:before="198" w:line="344" w:lineRule="auto"/>
        <w:jc w:val="center"/>
        <w:rPr>
          <w:sz w:val="18"/>
          <w:szCs w:val="18"/>
        </w:rPr>
      </w:pPr>
      <w:r>
        <w:rPr>
          <w:rFonts w:hint="eastAsia"/>
          <w:sz w:val="18"/>
          <w:szCs w:val="18"/>
        </w:rPr>
        <w:t>TABLE A. Step Details and term explanation 1</w:t>
      </w:r>
    </w:p>
    <w:tbl>
      <w:tblPr>
        <w:tblStyle w:val="13"/>
        <w:tblpPr w:leftFromText="180" w:rightFromText="180" w:vertAnchor="page" w:horzAnchor="page" w:tblpX="1553" w:tblpY="1970"/>
        <w:tblOverlap w:val="never"/>
        <w:tblW w:w="9278" w:type="dxa"/>
        <w:tblInd w:w="0" w:type="dxa"/>
        <w:tblLayout w:type="autofit"/>
        <w:tblCellMar>
          <w:top w:w="43" w:type="dxa"/>
          <w:left w:w="0" w:type="dxa"/>
          <w:bottom w:w="0" w:type="dxa"/>
          <w:right w:w="0" w:type="dxa"/>
        </w:tblCellMar>
      </w:tblPr>
      <w:tblGrid>
        <w:gridCol w:w="384"/>
        <w:gridCol w:w="2137"/>
        <w:gridCol w:w="3694"/>
        <w:gridCol w:w="3063"/>
      </w:tblGrid>
      <w:tr w14:paraId="2628FC3E">
        <w:tblPrEx>
          <w:tblCellMar>
            <w:top w:w="43" w:type="dxa"/>
            <w:left w:w="0" w:type="dxa"/>
            <w:bottom w:w="0" w:type="dxa"/>
            <w:right w:w="0" w:type="dxa"/>
          </w:tblCellMar>
        </w:tblPrEx>
        <w:trPr>
          <w:trHeight w:val="573" w:hRule="atLeast"/>
        </w:trPr>
        <w:tc>
          <w:tcPr>
            <w:tcW w:w="384" w:type="dxa"/>
            <w:tcBorders>
              <w:top w:val="single" w:color="auto" w:sz="4" w:space="0"/>
              <w:left w:val="single" w:color="auto" w:sz="4" w:space="0"/>
              <w:bottom w:val="single" w:color="auto" w:sz="4" w:space="0"/>
              <w:right w:val="single" w:color="auto" w:sz="4" w:space="0"/>
            </w:tcBorders>
            <w:vAlign w:val="center"/>
          </w:tcPr>
          <w:p w14:paraId="30FB545B">
            <w:pPr>
              <w:jc w:val="center"/>
              <w:rPr>
                <w:rFonts w:ascii="Times New Roman" w:hAnsi="Times New Roman" w:eastAsia="宋体" w:cs="Times New Roman"/>
                <w:sz w:val="18"/>
                <w:szCs w:val="18"/>
                <w:lang w:eastAsia="zh-CN"/>
              </w:rPr>
            </w:pPr>
            <w:r>
              <w:rPr>
                <w:rStyle w:val="8"/>
                <w:rFonts w:hint="eastAsia" w:ascii="Times New Roman" w:hAnsi="Times New Roman" w:eastAsia="宋体" w:cs="Times New Roman"/>
                <w:sz w:val="18"/>
                <w:szCs w:val="18"/>
                <w:lang w:eastAsia="zh-CN" w:bidi="ar"/>
              </w:rPr>
              <w:t>step</w:t>
            </w:r>
          </w:p>
        </w:tc>
        <w:tc>
          <w:tcPr>
            <w:tcW w:w="2137" w:type="dxa"/>
            <w:tcBorders>
              <w:top w:val="single" w:color="auto" w:sz="4" w:space="0"/>
              <w:left w:val="single" w:color="auto" w:sz="4" w:space="0"/>
              <w:bottom w:val="single" w:color="auto" w:sz="4" w:space="0"/>
              <w:right w:val="single" w:color="auto" w:sz="4" w:space="0"/>
            </w:tcBorders>
            <w:vAlign w:val="center"/>
          </w:tcPr>
          <w:p w14:paraId="34DFFF7A">
            <w:pPr>
              <w:jc w:val="center"/>
              <w:rPr>
                <w:rFonts w:ascii="Times New Roman" w:hAnsi="Times New Roman" w:cs="Times New Roman"/>
                <w:sz w:val="18"/>
                <w:szCs w:val="18"/>
              </w:rPr>
            </w:pPr>
            <w:r>
              <w:rPr>
                <w:rFonts w:hint="eastAsia" w:ascii="Times New Roman" w:hAnsi="Times New Roman" w:eastAsia="宋体" w:cs="Times New Roman"/>
                <w:b/>
                <w:bCs/>
                <w:sz w:val="18"/>
                <w:szCs w:val="18"/>
                <w:lang w:eastAsia="zh-CN" w:bidi="ar"/>
              </w:rPr>
              <w:t>T</w:t>
            </w:r>
            <w:r>
              <w:rPr>
                <w:rFonts w:ascii="Times New Roman" w:hAnsi="Times New Roman" w:eastAsia="宋体" w:cs="Times New Roman"/>
                <w:b/>
                <w:bCs/>
                <w:sz w:val="18"/>
                <w:szCs w:val="18"/>
                <w:lang w:eastAsia="zh-CN" w:bidi="ar"/>
              </w:rPr>
              <w:t>erm</w:t>
            </w:r>
          </w:p>
        </w:tc>
        <w:tc>
          <w:tcPr>
            <w:tcW w:w="3694" w:type="dxa"/>
            <w:tcBorders>
              <w:top w:val="single" w:color="auto" w:sz="4" w:space="0"/>
              <w:left w:val="single" w:color="auto" w:sz="4" w:space="0"/>
              <w:bottom w:val="single" w:color="auto" w:sz="4" w:space="0"/>
              <w:right w:val="single" w:color="auto" w:sz="4" w:space="0"/>
            </w:tcBorders>
            <w:vAlign w:val="center"/>
          </w:tcPr>
          <w:p w14:paraId="1058ABB0">
            <w:pPr>
              <w:jc w:val="center"/>
              <w:rPr>
                <w:rFonts w:ascii="Times New Roman" w:hAnsi="Times New Roman" w:eastAsia="宋体" w:cs="Times New Roman"/>
                <w:b/>
                <w:bCs/>
                <w:sz w:val="18"/>
                <w:szCs w:val="18"/>
                <w:lang w:eastAsia="zh-CN" w:bidi="ar"/>
              </w:rPr>
            </w:pPr>
            <w:r>
              <w:rPr>
                <w:rFonts w:hint="eastAsia" w:ascii="Times New Roman" w:hAnsi="Times New Roman" w:eastAsia="宋体" w:cs="Times New Roman"/>
                <w:b/>
                <w:bCs/>
                <w:sz w:val="18"/>
                <w:szCs w:val="18"/>
                <w:lang w:eastAsia="zh-CN" w:bidi="ar"/>
              </w:rPr>
              <w:t>Explanation</w:t>
            </w:r>
          </w:p>
        </w:tc>
        <w:tc>
          <w:tcPr>
            <w:tcW w:w="3063" w:type="dxa"/>
            <w:tcBorders>
              <w:top w:val="single" w:color="auto" w:sz="4" w:space="0"/>
              <w:left w:val="single" w:color="auto" w:sz="4" w:space="0"/>
              <w:bottom w:val="single" w:color="auto" w:sz="4" w:space="0"/>
              <w:right w:val="single" w:color="auto" w:sz="4" w:space="0"/>
            </w:tcBorders>
            <w:vAlign w:val="center"/>
          </w:tcPr>
          <w:p w14:paraId="34BF338A">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metaphor</w:t>
            </w:r>
          </w:p>
        </w:tc>
      </w:tr>
      <w:tr w14:paraId="0AC416BC">
        <w:tblPrEx>
          <w:tblCellMar>
            <w:top w:w="43" w:type="dxa"/>
            <w:left w:w="0" w:type="dxa"/>
            <w:bottom w:w="0" w:type="dxa"/>
            <w:right w:w="0" w:type="dxa"/>
          </w:tblCellMar>
        </w:tblPrEx>
        <w:trPr>
          <w:trHeight w:val="282"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0D619877">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0</w:t>
            </w:r>
          </w:p>
        </w:tc>
        <w:tc>
          <w:tcPr>
            <w:tcW w:w="2137" w:type="dxa"/>
            <w:tcBorders>
              <w:top w:val="single" w:color="auto" w:sz="4" w:space="0"/>
              <w:left w:val="single" w:color="auto" w:sz="4" w:space="0"/>
              <w:bottom w:val="single" w:color="auto" w:sz="4" w:space="0"/>
              <w:right w:val="single" w:color="auto" w:sz="4" w:space="0"/>
            </w:tcBorders>
            <w:vAlign w:val="center"/>
          </w:tcPr>
          <w:p w14:paraId="7422BAB6">
            <w:pPr>
              <w:jc w:val="center"/>
              <w:rPr>
                <w:rFonts w:ascii="Times New Roman" w:hAnsi="Times New Roman" w:cs="Times New Roman"/>
                <w:sz w:val="18"/>
                <w:szCs w:val="18"/>
              </w:rPr>
            </w:pPr>
            <w:r>
              <w:rPr>
                <w:rFonts w:ascii="Times New Roman" w:hAnsi="Times New Roman" w:cs="Times New Roman"/>
                <w:sz w:val="18"/>
                <w:szCs w:val="18"/>
              </w:rPr>
              <w:t>Random seed</w:t>
            </w:r>
          </w:p>
        </w:tc>
        <w:tc>
          <w:tcPr>
            <w:tcW w:w="3694" w:type="dxa"/>
            <w:tcBorders>
              <w:top w:val="single" w:color="auto" w:sz="4" w:space="0"/>
              <w:left w:val="single" w:color="auto" w:sz="4" w:space="0"/>
              <w:bottom w:val="single" w:color="auto" w:sz="4" w:space="0"/>
              <w:right w:val="single" w:color="auto" w:sz="4" w:space="0"/>
            </w:tcBorders>
            <w:vAlign w:val="center"/>
          </w:tcPr>
          <w:p w14:paraId="7361BBC5">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Fix randomness to make runs repeatable</w:t>
            </w:r>
          </w:p>
        </w:tc>
        <w:tc>
          <w:tcPr>
            <w:tcW w:w="3063" w:type="dxa"/>
            <w:vMerge w:val="restart"/>
            <w:tcBorders>
              <w:top w:val="single" w:color="auto" w:sz="4" w:space="0"/>
              <w:left w:val="single" w:color="auto" w:sz="4" w:space="0"/>
              <w:bottom w:val="single" w:color="auto" w:sz="4" w:space="0"/>
              <w:right w:val="single" w:color="auto" w:sz="4" w:space="0"/>
            </w:tcBorders>
            <w:vAlign w:val="center"/>
          </w:tcPr>
          <w:p w14:paraId="076D64E3">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Control environment and recipe; replicate the same dish and quantify variability</w:t>
            </w:r>
          </w:p>
        </w:tc>
      </w:tr>
      <w:tr w14:paraId="55F3A1A5">
        <w:tblPrEx>
          <w:tblCellMar>
            <w:top w:w="43" w:type="dxa"/>
            <w:left w:w="0" w:type="dxa"/>
            <w:bottom w:w="0" w:type="dxa"/>
            <w:right w:w="0" w:type="dxa"/>
          </w:tblCellMar>
        </w:tblPrEx>
        <w:trPr>
          <w:trHeight w:val="28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1FA8DB9A">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2BFD6A5B">
            <w:pPr>
              <w:jc w:val="center"/>
              <w:rPr>
                <w:rFonts w:ascii="Times New Roman" w:hAnsi="Times New Roman" w:cs="Times New Roman"/>
                <w:sz w:val="18"/>
                <w:szCs w:val="18"/>
              </w:rPr>
            </w:pPr>
            <w:r>
              <w:rPr>
                <w:rFonts w:ascii="Times New Roman" w:hAnsi="Times New Roman" w:cs="Times New Roman"/>
                <w:sz w:val="18"/>
                <w:szCs w:val="18"/>
              </w:rPr>
              <w:t>Mean±SD</w:t>
            </w:r>
          </w:p>
        </w:tc>
        <w:tc>
          <w:tcPr>
            <w:tcW w:w="3694" w:type="dxa"/>
            <w:tcBorders>
              <w:top w:val="single" w:color="auto" w:sz="4" w:space="0"/>
              <w:left w:val="single" w:color="auto" w:sz="4" w:space="0"/>
              <w:bottom w:val="single" w:color="auto" w:sz="4" w:space="0"/>
              <w:right w:val="single" w:color="auto" w:sz="4" w:space="0"/>
            </w:tcBorders>
            <w:vAlign w:val="center"/>
          </w:tcPr>
          <w:p w14:paraId="33E5DC82">
            <w:pPr>
              <w:jc w:val="center"/>
              <w:rPr>
                <w:rFonts w:ascii="Times New Roman" w:hAnsi="Times New Roman" w:cs="Times New Roman"/>
                <w:sz w:val="18"/>
                <w:szCs w:val="18"/>
              </w:rPr>
            </w:pPr>
            <w:r>
              <w:rPr>
                <w:rFonts w:ascii="Times New Roman" w:hAnsi="Times New Roman" w:cs="Times New Roman"/>
                <w:sz w:val="18"/>
                <w:szCs w:val="18"/>
              </w:rPr>
              <w:t>Average result and its spread</w:t>
            </w:r>
          </w:p>
        </w:tc>
        <w:tc>
          <w:tcPr>
            <w:tcW w:w="3063" w:type="dxa"/>
            <w:vMerge w:val="continue"/>
            <w:tcBorders>
              <w:top w:val="single" w:color="auto" w:sz="4" w:space="0"/>
              <w:left w:val="single" w:color="auto" w:sz="4" w:space="0"/>
              <w:bottom w:val="single" w:color="auto" w:sz="4" w:space="0"/>
              <w:right w:val="single" w:color="auto" w:sz="4" w:space="0"/>
            </w:tcBorders>
            <w:vAlign w:val="center"/>
          </w:tcPr>
          <w:p w14:paraId="14492A97">
            <w:pPr>
              <w:jc w:val="center"/>
              <w:rPr>
                <w:rFonts w:ascii="Times New Roman" w:hAnsi="Times New Roman" w:cs="Times New Roman"/>
                <w:sz w:val="18"/>
                <w:szCs w:val="18"/>
              </w:rPr>
            </w:pPr>
          </w:p>
        </w:tc>
      </w:tr>
      <w:tr w14:paraId="495C0491">
        <w:tblPrEx>
          <w:tblCellMar>
            <w:top w:w="43" w:type="dxa"/>
            <w:left w:w="0" w:type="dxa"/>
            <w:bottom w:w="0" w:type="dxa"/>
            <w:right w:w="0" w:type="dxa"/>
          </w:tblCellMar>
        </w:tblPrEx>
        <w:trPr>
          <w:trHeight w:val="28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7E8D1905">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0605CC1B">
            <w:pPr>
              <w:jc w:val="center"/>
              <w:rPr>
                <w:rFonts w:ascii="Times New Roman" w:hAnsi="Times New Roman" w:cs="Times New Roman"/>
                <w:sz w:val="18"/>
                <w:szCs w:val="18"/>
              </w:rPr>
            </w:pPr>
            <w:r>
              <w:rPr>
                <w:rFonts w:ascii="Times New Roman" w:hAnsi="Times New Roman" w:cs="Times New Roman"/>
                <w:sz w:val="18"/>
                <w:szCs w:val="18"/>
              </w:rPr>
              <w:t>Standardised logging and configuration</w:t>
            </w:r>
          </w:p>
        </w:tc>
        <w:tc>
          <w:tcPr>
            <w:tcW w:w="3694" w:type="dxa"/>
            <w:tcBorders>
              <w:top w:val="single" w:color="auto" w:sz="4" w:space="0"/>
              <w:left w:val="single" w:color="auto" w:sz="4" w:space="0"/>
              <w:bottom w:val="single" w:color="auto" w:sz="4" w:space="0"/>
              <w:right w:val="single" w:color="auto" w:sz="4" w:space="0"/>
            </w:tcBorders>
            <w:vAlign w:val="center"/>
          </w:tcPr>
          <w:p w14:paraId="2773E1E1">
            <w:pPr>
              <w:jc w:val="center"/>
              <w:rPr>
                <w:rFonts w:ascii="Times New Roman" w:hAnsi="Times New Roman" w:cs="Times New Roman"/>
                <w:sz w:val="18"/>
                <w:szCs w:val="18"/>
              </w:rPr>
            </w:pPr>
            <w:r>
              <w:rPr>
                <w:rFonts w:ascii="Times New Roman" w:hAnsi="Times New Roman" w:cs="Times New Roman"/>
                <w:sz w:val="18"/>
                <w:szCs w:val="18"/>
              </w:rPr>
              <w:t>Same logging and config files</w:t>
            </w:r>
          </w:p>
        </w:tc>
        <w:tc>
          <w:tcPr>
            <w:tcW w:w="3063" w:type="dxa"/>
            <w:vMerge w:val="continue"/>
            <w:tcBorders>
              <w:top w:val="single" w:color="auto" w:sz="4" w:space="0"/>
              <w:left w:val="single" w:color="auto" w:sz="4" w:space="0"/>
              <w:bottom w:val="single" w:color="auto" w:sz="4" w:space="0"/>
              <w:right w:val="single" w:color="auto" w:sz="4" w:space="0"/>
            </w:tcBorders>
            <w:vAlign w:val="center"/>
          </w:tcPr>
          <w:p w14:paraId="23AD45D0">
            <w:pPr>
              <w:jc w:val="center"/>
              <w:rPr>
                <w:rFonts w:ascii="Times New Roman" w:hAnsi="Times New Roman" w:cs="Times New Roman"/>
                <w:sz w:val="18"/>
                <w:szCs w:val="18"/>
              </w:rPr>
            </w:pPr>
          </w:p>
        </w:tc>
      </w:tr>
      <w:tr w14:paraId="7A0022B3">
        <w:tblPrEx>
          <w:tblCellMar>
            <w:top w:w="43" w:type="dxa"/>
            <w:left w:w="0" w:type="dxa"/>
            <w:bottom w:w="0" w:type="dxa"/>
            <w:right w:w="0" w:type="dxa"/>
          </w:tblCellMar>
        </w:tblPrEx>
        <w:trPr>
          <w:trHeight w:val="28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6A281DDE">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200EBCC5">
            <w:pPr>
              <w:jc w:val="center"/>
              <w:rPr>
                <w:rFonts w:ascii="Times New Roman" w:hAnsi="Times New Roman" w:cs="Times New Roman"/>
                <w:sz w:val="18"/>
                <w:szCs w:val="18"/>
              </w:rPr>
            </w:pPr>
            <w:r>
              <w:rPr>
                <w:rFonts w:ascii="Times New Roman" w:hAnsi="Times New Roman" w:cs="Times New Roman"/>
                <w:sz w:val="18"/>
                <w:szCs w:val="18"/>
              </w:rPr>
              <w:t>Version pinning</w:t>
            </w:r>
          </w:p>
        </w:tc>
        <w:tc>
          <w:tcPr>
            <w:tcW w:w="3694" w:type="dxa"/>
            <w:tcBorders>
              <w:top w:val="single" w:color="auto" w:sz="4" w:space="0"/>
              <w:left w:val="single" w:color="auto" w:sz="4" w:space="0"/>
              <w:bottom w:val="single" w:color="auto" w:sz="4" w:space="0"/>
              <w:right w:val="single" w:color="auto" w:sz="4" w:space="0"/>
            </w:tcBorders>
            <w:vAlign w:val="center"/>
          </w:tcPr>
          <w:p w14:paraId="706C935A">
            <w:pPr>
              <w:jc w:val="center"/>
              <w:rPr>
                <w:rFonts w:ascii="Times New Roman" w:hAnsi="Times New Roman" w:cs="Times New Roman"/>
                <w:sz w:val="18"/>
                <w:szCs w:val="18"/>
              </w:rPr>
            </w:pPr>
            <w:r>
              <w:rPr>
                <w:rFonts w:ascii="Times New Roman" w:hAnsi="Times New Roman" w:cs="Times New Roman"/>
                <w:sz w:val="18"/>
                <w:szCs w:val="18"/>
              </w:rPr>
              <w:t>Freeze library/environment versions</w:t>
            </w:r>
          </w:p>
        </w:tc>
        <w:tc>
          <w:tcPr>
            <w:tcW w:w="3063" w:type="dxa"/>
            <w:vMerge w:val="continue"/>
            <w:tcBorders>
              <w:top w:val="single" w:color="auto" w:sz="4" w:space="0"/>
              <w:left w:val="single" w:color="auto" w:sz="4" w:space="0"/>
              <w:bottom w:val="single" w:color="auto" w:sz="4" w:space="0"/>
              <w:right w:val="single" w:color="auto" w:sz="4" w:space="0"/>
            </w:tcBorders>
            <w:vAlign w:val="center"/>
          </w:tcPr>
          <w:p w14:paraId="105DCFF8">
            <w:pPr>
              <w:jc w:val="center"/>
              <w:rPr>
                <w:rFonts w:ascii="Times New Roman" w:hAnsi="Times New Roman" w:cs="Times New Roman"/>
                <w:sz w:val="18"/>
                <w:szCs w:val="18"/>
              </w:rPr>
            </w:pPr>
          </w:p>
        </w:tc>
      </w:tr>
      <w:tr w14:paraId="0FC42D6C">
        <w:tblPrEx>
          <w:tblCellMar>
            <w:top w:w="43" w:type="dxa"/>
            <w:left w:w="0" w:type="dxa"/>
            <w:bottom w:w="0" w:type="dxa"/>
            <w:right w:w="0" w:type="dxa"/>
          </w:tblCellMar>
        </w:tblPrEx>
        <w:trPr>
          <w:trHeight w:val="366"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72402369">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1</w:t>
            </w:r>
          </w:p>
        </w:tc>
        <w:tc>
          <w:tcPr>
            <w:tcW w:w="2137" w:type="dxa"/>
            <w:tcBorders>
              <w:top w:val="single" w:color="auto" w:sz="4" w:space="0"/>
              <w:left w:val="single" w:color="auto" w:sz="4" w:space="0"/>
              <w:bottom w:val="single" w:color="auto" w:sz="4" w:space="0"/>
              <w:right w:val="single" w:color="auto" w:sz="4" w:space="0"/>
            </w:tcBorders>
            <w:vAlign w:val="center"/>
          </w:tcPr>
          <w:p w14:paraId="219B730D">
            <w:pPr>
              <w:jc w:val="center"/>
              <w:rPr>
                <w:rFonts w:ascii="Times New Roman" w:hAnsi="Times New Roman" w:cs="Times New Roman"/>
                <w:sz w:val="18"/>
                <w:szCs w:val="18"/>
              </w:rPr>
            </w:pPr>
            <w:r>
              <w:rPr>
                <w:rFonts w:ascii="Times New Roman" w:hAnsi="Times New Roman" w:cs="Times New Roman"/>
                <w:sz w:val="18"/>
                <w:szCs w:val="18"/>
              </w:rPr>
              <w:t>Cross-dataset evaluation protocol</w:t>
            </w:r>
          </w:p>
        </w:tc>
        <w:tc>
          <w:tcPr>
            <w:tcW w:w="3694" w:type="dxa"/>
            <w:tcBorders>
              <w:top w:val="single" w:color="auto" w:sz="4" w:space="0"/>
              <w:left w:val="single" w:color="auto" w:sz="4" w:space="0"/>
              <w:bottom w:val="single" w:color="auto" w:sz="4" w:space="0"/>
              <w:right w:val="single" w:color="auto" w:sz="4" w:space="0"/>
            </w:tcBorders>
            <w:vAlign w:val="center"/>
          </w:tcPr>
          <w:p w14:paraId="63996F98">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Common rules for train/test across datasets</w:t>
            </w:r>
          </w:p>
        </w:tc>
        <w:tc>
          <w:tcPr>
            <w:tcW w:w="3063" w:type="dxa"/>
            <w:tcBorders>
              <w:top w:val="single" w:color="auto" w:sz="4" w:space="0"/>
              <w:left w:val="single" w:color="auto" w:sz="4" w:space="0"/>
              <w:bottom w:val="single" w:color="auto" w:sz="4" w:space="0"/>
              <w:right w:val="single" w:color="auto" w:sz="4" w:space="0"/>
            </w:tcBorders>
            <w:vAlign w:val="center"/>
          </w:tcPr>
          <w:p w14:paraId="105B0B10">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Train in kitchen A; test by serving guests in kitchen B</w:t>
            </w:r>
          </w:p>
        </w:tc>
      </w:tr>
      <w:tr w14:paraId="72F4E72B">
        <w:tblPrEx>
          <w:tblCellMar>
            <w:top w:w="43" w:type="dxa"/>
            <w:left w:w="0" w:type="dxa"/>
            <w:bottom w:w="0" w:type="dxa"/>
            <w:right w:w="0" w:type="dxa"/>
          </w:tblCellMar>
        </w:tblPrEx>
        <w:trPr>
          <w:trHeight w:val="366"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740F3C15">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0780E625">
            <w:pPr>
              <w:jc w:val="center"/>
              <w:rPr>
                <w:rFonts w:ascii="Times New Roman" w:hAnsi="Times New Roman" w:cs="Times New Roman"/>
                <w:sz w:val="18"/>
                <w:szCs w:val="18"/>
              </w:rPr>
            </w:pPr>
            <w:r>
              <w:rPr>
                <w:rFonts w:ascii="Times New Roman" w:hAnsi="Times New Roman" w:cs="Times New Roman"/>
                <w:sz w:val="18"/>
                <w:szCs w:val="18"/>
              </w:rPr>
              <w:t>label harmonization</w:t>
            </w:r>
          </w:p>
        </w:tc>
        <w:tc>
          <w:tcPr>
            <w:tcW w:w="3694" w:type="dxa"/>
            <w:tcBorders>
              <w:top w:val="single" w:color="auto" w:sz="4" w:space="0"/>
              <w:left w:val="single" w:color="auto" w:sz="4" w:space="0"/>
              <w:bottom w:val="single" w:color="auto" w:sz="4" w:space="0"/>
              <w:right w:val="single" w:color="auto" w:sz="4" w:space="0"/>
            </w:tcBorders>
            <w:vAlign w:val="center"/>
          </w:tcPr>
          <w:p w14:paraId="7709DE4C">
            <w:pPr>
              <w:jc w:val="center"/>
              <w:rPr>
                <w:rFonts w:ascii="Times New Roman" w:hAnsi="Times New Roman" w:cs="Times New Roman"/>
                <w:sz w:val="18"/>
                <w:szCs w:val="18"/>
              </w:rPr>
            </w:pPr>
            <w:r>
              <w:rPr>
                <w:rFonts w:ascii="Times New Roman" w:hAnsi="Times New Roman" w:cs="Times New Roman"/>
                <w:sz w:val="18"/>
                <w:szCs w:val="18"/>
              </w:rPr>
              <w:t>Align class names across datasets</w:t>
            </w:r>
          </w:p>
        </w:tc>
        <w:tc>
          <w:tcPr>
            <w:tcW w:w="3063" w:type="dxa"/>
            <w:tcBorders>
              <w:top w:val="single" w:color="auto" w:sz="4" w:space="0"/>
              <w:left w:val="single" w:color="auto" w:sz="4" w:space="0"/>
              <w:bottom w:val="single" w:color="auto" w:sz="4" w:space="0"/>
              <w:right w:val="single" w:color="auto" w:sz="4" w:space="0"/>
            </w:tcBorders>
            <w:vAlign w:val="center"/>
          </w:tcPr>
          <w:p w14:paraId="50A2070A">
            <w:pPr>
              <w:jc w:val="center"/>
              <w:rPr>
                <w:rFonts w:ascii="Times New Roman" w:hAnsi="Times New Roman" w:cs="Times New Roman"/>
                <w:sz w:val="18"/>
                <w:szCs w:val="18"/>
              </w:rPr>
            </w:pPr>
            <w:r>
              <w:rPr>
                <w:rFonts w:ascii="Times New Roman" w:hAnsi="Times New Roman" w:cs="Times New Roman"/>
                <w:sz w:val="18"/>
                <w:szCs w:val="18"/>
              </w:rPr>
              <w:t>Harmonize the same dish to a single canonical name across cookbooks</w:t>
            </w:r>
          </w:p>
        </w:tc>
      </w:tr>
      <w:tr w14:paraId="5A145E0F">
        <w:tblPrEx>
          <w:tblCellMar>
            <w:top w:w="43" w:type="dxa"/>
            <w:left w:w="0" w:type="dxa"/>
            <w:bottom w:w="0" w:type="dxa"/>
            <w:right w:w="0" w:type="dxa"/>
          </w:tblCellMar>
        </w:tblPrEx>
        <w:trPr>
          <w:trHeight w:val="366"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385542F9">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39F72918">
            <w:pPr>
              <w:jc w:val="center"/>
              <w:rPr>
                <w:rFonts w:ascii="Times New Roman" w:hAnsi="Times New Roman" w:cs="Times New Roman"/>
                <w:sz w:val="18"/>
                <w:szCs w:val="18"/>
              </w:rPr>
            </w:pPr>
            <w:r>
              <w:rPr>
                <w:rFonts w:ascii="Times New Roman" w:hAnsi="Times New Roman" w:cs="Times New Roman"/>
                <w:sz w:val="18"/>
                <w:szCs w:val="18"/>
              </w:rPr>
              <w:t>unit and channel standardization</w:t>
            </w:r>
          </w:p>
        </w:tc>
        <w:tc>
          <w:tcPr>
            <w:tcW w:w="3694" w:type="dxa"/>
            <w:tcBorders>
              <w:top w:val="single" w:color="auto" w:sz="4" w:space="0"/>
              <w:left w:val="single" w:color="auto" w:sz="4" w:space="0"/>
              <w:bottom w:val="single" w:color="auto" w:sz="4" w:space="0"/>
              <w:right w:val="single" w:color="auto" w:sz="4" w:space="0"/>
            </w:tcBorders>
            <w:vAlign w:val="center"/>
          </w:tcPr>
          <w:p w14:paraId="59F04101">
            <w:pPr>
              <w:jc w:val="center"/>
              <w:rPr>
                <w:rFonts w:ascii="Times New Roman" w:hAnsi="Times New Roman" w:cs="Times New Roman"/>
                <w:sz w:val="18"/>
                <w:szCs w:val="18"/>
              </w:rPr>
            </w:pPr>
            <w:r>
              <w:rPr>
                <w:rFonts w:ascii="Times New Roman" w:hAnsi="Times New Roman" w:cs="Times New Roman"/>
                <w:sz w:val="18"/>
                <w:szCs w:val="18"/>
              </w:rPr>
              <w:t>Align units, axes and sensor channels</w:t>
            </w:r>
          </w:p>
        </w:tc>
        <w:tc>
          <w:tcPr>
            <w:tcW w:w="3063" w:type="dxa"/>
            <w:tcBorders>
              <w:top w:val="single" w:color="auto" w:sz="4" w:space="0"/>
              <w:left w:val="single" w:color="auto" w:sz="4" w:space="0"/>
              <w:bottom w:val="single" w:color="auto" w:sz="4" w:space="0"/>
              <w:right w:val="single" w:color="auto" w:sz="4" w:space="0"/>
            </w:tcBorders>
            <w:vAlign w:val="center"/>
          </w:tcPr>
          <w:p w14:paraId="70FAA18C">
            <w:pPr>
              <w:jc w:val="center"/>
              <w:rPr>
                <w:rFonts w:ascii="Times New Roman" w:hAnsi="Times New Roman" w:cs="Times New Roman"/>
                <w:sz w:val="18"/>
                <w:szCs w:val="18"/>
              </w:rPr>
            </w:pPr>
            <w:r>
              <w:rPr>
                <w:rFonts w:ascii="Times New Roman" w:hAnsi="Times New Roman" w:cs="Times New Roman"/>
                <w:sz w:val="18"/>
                <w:szCs w:val="18"/>
              </w:rPr>
              <w:t>Canonicalize dish names across recipes; standardize units (e.g., grams, °C)</w:t>
            </w:r>
          </w:p>
        </w:tc>
      </w:tr>
      <w:tr w14:paraId="52BE2B48">
        <w:tblPrEx>
          <w:tblCellMar>
            <w:top w:w="43" w:type="dxa"/>
            <w:left w:w="0" w:type="dxa"/>
            <w:bottom w:w="0" w:type="dxa"/>
            <w:right w:w="0" w:type="dxa"/>
          </w:tblCellMar>
        </w:tblPrEx>
        <w:trPr>
          <w:trHeight w:val="366"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5A695C5C">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17091961">
            <w:pPr>
              <w:jc w:val="center"/>
              <w:rPr>
                <w:rFonts w:ascii="Times New Roman" w:hAnsi="Times New Roman" w:cs="Times New Roman"/>
                <w:sz w:val="18"/>
                <w:szCs w:val="18"/>
              </w:rPr>
            </w:pPr>
            <w:r>
              <w:rPr>
                <w:rFonts w:ascii="Times New Roman" w:hAnsi="Times New Roman" w:cs="Times New Roman"/>
                <w:sz w:val="18"/>
                <w:szCs w:val="18"/>
              </w:rPr>
              <w:t>Zero</w:t>
            </w:r>
            <w:r>
              <w:rPr>
                <w:rFonts w:hint="eastAsia" w:ascii="Times New Roman" w:hAnsi="Times New Roman" w:eastAsia="宋体" w:cs="Times New Roman"/>
                <w:sz w:val="18"/>
                <w:szCs w:val="18"/>
                <w:lang w:eastAsia="zh-CN"/>
              </w:rPr>
              <w:t>/Few</w:t>
            </w:r>
            <w:r>
              <w:rPr>
                <w:rFonts w:ascii="Times New Roman" w:hAnsi="Times New Roman" w:cs="Times New Roman"/>
                <w:sz w:val="18"/>
                <w:szCs w:val="18"/>
              </w:rPr>
              <w:t>‑shot</w:t>
            </w:r>
          </w:p>
        </w:tc>
        <w:tc>
          <w:tcPr>
            <w:tcW w:w="3694" w:type="dxa"/>
            <w:tcBorders>
              <w:top w:val="single" w:color="auto" w:sz="4" w:space="0"/>
              <w:left w:val="single" w:color="auto" w:sz="4" w:space="0"/>
              <w:bottom w:val="single" w:color="auto" w:sz="4" w:space="0"/>
              <w:right w:val="single" w:color="auto" w:sz="4" w:space="0"/>
            </w:tcBorders>
            <w:vAlign w:val="center"/>
          </w:tcPr>
          <w:p w14:paraId="531F5D8D">
            <w:pPr>
              <w:jc w:val="center"/>
              <w:rPr>
                <w:rFonts w:ascii="Times New Roman" w:hAnsi="Times New Roman" w:cs="Times New Roman"/>
                <w:sz w:val="18"/>
                <w:szCs w:val="18"/>
              </w:rPr>
            </w:pPr>
            <w:r>
              <w:rPr>
                <w:rFonts w:ascii="Times New Roman" w:hAnsi="Times New Roman" w:cs="Times New Roman"/>
                <w:sz w:val="18"/>
                <w:szCs w:val="18"/>
              </w:rPr>
              <w:t xml:space="preserve">Fine‑tune with </w:t>
            </w:r>
            <w:r>
              <w:rPr>
                <w:rFonts w:hint="eastAsia" w:ascii="Times New Roman" w:hAnsi="Times New Roman" w:eastAsia="宋体" w:cs="Times New Roman"/>
                <w:sz w:val="18"/>
                <w:szCs w:val="18"/>
                <w:lang w:eastAsia="zh-CN"/>
              </w:rPr>
              <w:t>no/</w:t>
            </w:r>
            <w:r>
              <w:rPr>
                <w:rFonts w:ascii="Times New Roman" w:hAnsi="Times New Roman" w:cs="Times New Roman"/>
                <w:sz w:val="18"/>
                <w:szCs w:val="18"/>
              </w:rPr>
              <w:t>tiny labels</w:t>
            </w:r>
          </w:p>
        </w:tc>
        <w:tc>
          <w:tcPr>
            <w:tcW w:w="3063" w:type="dxa"/>
            <w:tcBorders>
              <w:top w:val="single" w:color="auto" w:sz="4" w:space="0"/>
              <w:left w:val="single" w:color="auto" w:sz="4" w:space="0"/>
              <w:bottom w:val="single" w:color="auto" w:sz="4" w:space="0"/>
              <w:right w:val="single" w:color="auto" w:sz="4" w:space="0"/>
            </w:tcBorders>
            <w:vAlign w:val="center"/>
          </w:tcPr>
          <w:p w14:paraId="7554D6B7">
            <w:pPr>
              <w:jc w:val="center"/>
              <w:rPr>
                <w:rFonts w:ascii="Times New Roman" w:hAnsi="Times New Roman" w:cs="Times New Roman"/>
                <w:sz w:val="18"/>
                <w:szCs w:val="18"/>
              </w:rPr>
            </w:pPr>
            <w:r>
              <w:rPr>
                <w:rFonts w:ascii="Times New Roman" w:hAnsi="Times New Roman" w:cs="Times New Roman"/>
                <w:sz w:val="18"/>
                <w:szCs w:val="18"/>
              </w:rPr>
              <w:t>Trained under the head chef; zero-shot = reproduce the dish in a new city without retraining</w:t>
            </w:r>
          </w:p>
        </w:tc>
      </w:tr>
      <w:tr w14:paraId="5A86EBA3">
        <w:tblPrEx>
          <w:tblCellMar>
            <w:top w:w="43" w:type="dxa"/>
            <w:left w:w="0" w:type="dxa"/>
            <w:bottom w:w="0" w:type="dxa"/>
            <w:right w:w="0" w:type="dxa"/>
          </w:tblCellMar>
        </w:tblPrEx>
        <w:trPr>
          <w:trHeight w:val="448"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648F4C49">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2</w:t>
            </w:r>
          </w:p>
        </w:tc>
        <w:tc>
          <w:tcPr>
            <w:tcW w:w="2137" w:type="dxa"/>
            <w:tcBorders>
              <w:top w:val="single" w:color="auto" w:sz="4" w:space="0"/>
              <w:left w:val="single" w:color="auto" w:sz="4" w:space="0"/>
              <w:bottom w:val="single" w:color="auto" w:sz="4" w:space="0"/>
              <w:right w:val="single" w:color="auto" w:sz="4" w:space="0"/>
            </w:tcBorders>
            <w:vAlign w:val="center"/>
          </w:tcPr>
          <w:p w14:paraId="686E7245">
            <w:pPr>
              <w:jc w:val="center"/>
              <w:rPr>
                <w:rFonts w:ascii="Times New Roman" w:hAnsi="Times New Roman" w:cs="Times New Roman"/>
                <w:sz w:val="18"/>
                <w:szCs w:val="18"/>
              </w:rPr>
            </w:pPr>
            <w:r>
              <w:rPr>
                <w:rFonts w:ascii="Times New Roman" w:hAnsi="Times New Roman" w:cs="Times New Roman"/>
                <w:sz w:val="18"/>
                <w:szCs w:val="18"/>
              </w:rPr>
              <w:t>Sliding Window</w:t>
            </w:r>
          </w:p>
        </w:tc>
        <w:tc>
          <w:tcPr>
            <w:tcW w:w="3694" w:type="dxa"/>
            <w:tcBorders>
              <w:top w:val="single" w:color="auto" w:sz="4" w:space="0"/>
              <w:left w:val="single" w:color="auto" w:sz="4" w:space="0"/>
              <w:bottom w:val="single" w:color="auto" w:sz="4" w:space="0"/>
              <w:right w:val="single" w:color="auto" w:sz="4" w:space="0"/>
            </w:tcBorders>
            <w:vAlign w:val="center"/>
          </w:tcPr>
          <w:p w14:paraId="7022B487">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Fixed‑length time segment</w:t>
            </w:r>
          </w:p>
        </w:tc>
        <w:tc>
          <w:tcPr>
            <w:tcW w:w="3063" w:type="dxa"/>
            <w:tcBorders>
              <w:top w:val="single" w:color="auto" w:sz="4" w:space="0"/>
              <w:left w:val="single" w:color="auto" w:sz="4" w:space="0"/>
              <w:bottom w:val="single" w:color="auto" w:sz="4" w:space="0"/>
              <w:right w:val="single" w:color="auto" w:sz="4" w:space="0"/>
            </w:tcBorders>
            <w:vAlign w:val="center"/>
          </w:tcPr>
          <w:p w14:paraId="7E749BB8">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Take a spoonful every 3 minutes as the interval’s representative flavor</w:t>
            </w:r>
          </w:p>
        </w:tc>
      </w:tr>
      <w:tr w14:paraId="24265582">
        <w:tblPrEx>
          <w:tblCellMar>
            <w:top w:w="43" w:type="dxa"/>
            <w:left w:w="0" w:type="dxa"/>
            <w:bottom w:w="0" w:type="dxa"/>
            <w:right w:w="0" w:type="dxa"/>
          </w:tblCellMar>
        </w:tblPrEx>
        <w:trPr>
          <w:trHeight w:val="4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050AA78E">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04CAB62D">
            <w:pPr>
              <w:jc w:val="center"/>
              <w:rPr>
                <w:rFonts w:ascii="Times New Roman" w:hAnsi="Times New Roman" w:cs="Times New Roman"/>
                <w:sz w:val="18"/>
                <w:szCs w:val="18"/>
              </w:rPr>
            </w:pPr>
            <w:r>
              <w:rPr>
                <w:rFonts w:ascii="Times New Roman" w:hAnsi="Times New Roman" w:cs="Times New Roman"/>
                <w:sz w:val="18"/>
                <w:szCs w:val="18"/>
              </w:rPr>
              <w:t>Overlap / Stride</w:t>
            </w:r>
          </w:p>
        </w:tc>
        <w:tc>
          <w:tcPr>
            <w:tcW w:w="3694" w:type="dxa"/>
            <w:tcBorders>
              <w:top w:val="single" w:color="auto" w:sz="4" w:space="0"/>
              <w:left w:val="single" w:color="auto" w:sz="4" w:space="0"/>
              <w:bottom w:val="single" w:color="auto" w:sz="4" w:space="0"/>
              <w:right w:val="single" w:color="auto" w:sz="4" w:space="0"/>
            </w:tcBorders>
            <w:vAlign w:val="center"/>
          </w:tcPr>
          <w:p w14:paraId="6FBB89AD">
            <w:pPr>
              <w:jc w:val="center"/>
              <w:rPr>
                <w:rFonts w:ascii="Times New Roman" w:hAnsi="Times New Roman" w:cs="Times New Roman"/>
                <w:sz w:val="18"/>
                <w:szCs w:val="18"/>
              </w:rPr>
            </w:pPr>
            <w:r>
              <w:rPr>
                <w:rFonts w:ascii="Times New Roman" w:hAnsi="Times New Roman" w:cs="Times New Roman"/>
                <w:sz w:val="18"/>
                <w:szCs w:val="18"/>
              </w:rPr>
              <w:t>How much windows overlap or skip</w:t>
            </w:r>
          </w:p>
        </w:tc>
        <w:tc>
          <w:tcPr>
            <w:tcW w:w="3063" w:type="dxa"/>
            <w:tcBorders>
              <w:top w:val="single" w:color="auto" w:sz="4" w:space="0"/>
              <w:left w:val="single" w:color="auto" w:sz="4" w:space="0"/>
              <w:bottom w:val="single" w:color="auto" w:sz="4" w:space="0"/>
              <w:right w:val="single" w:color="auto" w:sz="4" w:space="0"/>
            </w:tcBorders>
            <w:vAlign w:val="center"/>
          </w:tcPr>
          <w:p w14:paraId="089DADEF">
            <w:pPr>
              <w:jc w:val="center"/>
              <w:rPr>
                <w:rFonts w:ascii="Times New Roman" w:hAnsi="Times New Roman" w:cs="Times New Roman"/>
                <w:sz w:val="18"/>
                <w:szCs w:val="18"/>
              </w:rPr>
            </w:pPr>
            <w:r>
              <w:rPr>
                <w:rFonts w:ascii="Times New Roman" w:hAnsi="Times New Roman" w:cs="Times New Roman"/>
                <w:sz w:val="18"/>
                <w:szCs w:val="18"/>
              </w:rPr>
              <w:t>How far apart is the next spoonful from the previous one</w:t>
            </w:r>
          </w:p>
        </w:tc>
      </w:tr>
      <w:tr w14:paraId="7D761CE8">
        <w:tblPrEx>
          <w:tblCellMar>
            <w:top w:w="43" w:type="dxa"/>
            <w:left w:w="0" w:type="dxa"/>
            <w:bottom w:w="0" w:type="dxa"/>
            <w:right w:w="0" w:type="dxa"/>
          </w:tblCellMar>
        </w:tblPrEx>
        <w:trPr>
          <w:trHeight w:val="4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6DAB3218">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5BADA2B3">
            <w:pPr>
              <w:jc w:val="center"/>
              <w:rPr>
                <w:rFonts w:ascii="Times New Roman" w:hAnsi="Times New Roman" w:cs="Times New Roman"/>
                <w:sz w:val="18"/>
                <w:szCs w:val="18"/>
              </w:rPr>
            </w:pPr>
            <w:r>
              <w:rPr>
                <w:rFonts w:ascii="Times New Roman" w:hAnsi="Times New Roman" w:cs="Times New Roman"/>
                <w:sz w:val="18"/>
                <w:szCs w:val="18"/>
              </w:rPr>
              <w:t>Sensitivity Analysis</w:t>
            </w:r>
          </w:p>
        </w:tc>
        <w:tc>
          <w:tcPr>
            <w:tcW w:w="3694" w:type="dxa"/>
            <w:tcBorders>
              <w:top w:val="single" w:color="auto" w:sz="4" w:space="0"/>
              <w:left w:val="single" w:color="auto" w:sz="4" w:space="0"/>
              <w:bottom w:val="single" w:color="auto" w:sz="4" w:space="0"/>
              <w:right w:val="single" w:color="auto" w:sz="4" w:space="0"/>
            </w:tcBorders>
            <w:vAlign w:val="center"/>
          </w:tcPr>
          <w:p w14:paraId="2F47A118">
            <w:pPr>
              <w:jc w:val="center"/>
              <w:rPr>
                <w:rFonts w:ascii="Times New Roman" w:hAnsi="Times New Roman" w:cs="Times New Roman"/>
                <w:sz w:val="18"/>
                <w:szCs w:val="18"/>
              </w:rPr>
            </w:pPr>
            <w:r>
              <w:rPr>
                <w:rFonts w:ascii="Times New Roman" w:hAnsi="Times New Roman" w:cs="Times New Roman"/>
                <w:sz w:val="18"/>
                <w:szCs w:val="18"/>
              </w:rPr>
              <w:t>Test impact of different window settings</w:t>
            </w:r>
          </w:p>
        </w:tc>
        <w:tc>
          <w:tcPr>
            <w:tcW w:w="3063" w:type="dxa"/>
            <w:tcBorders>
              <w:top w:val="single" w:color="auto" w:sz="4" w:space="0"/>
              <w:left w:val="single" w:color="auto" w:sz="4" w:space="0"/>
              <w:bottom w:val="single" w:color="auto" w:sz="4" w:space="0"/>
              <w:right w:val="single" w:color="auto" w:sz="4" w:space="0"/>
            </w:tcBorders>
            <w:vAlign w:val="center"/>
          </w:tcPr>
          <w:p w14:paraId="69FBD70E">
            <w:pPr>
              <w:jc w:val="center"/>
              <w:rPr>
                <w:rFonts w:ascii="Times New Roman" w:hAnsi="Times New Roman" w:cs="Times New Roman"/>
                <w:sz w:val="18"/>
                <w:szCs w:val="18"/>
              </w:rPr>
            </w:pPr>
            <w:r>
              <w:rPr>
                <w:rFonts w:ascii="Times New Roman" w:hAnsi="Times New Roman" w:cs="Times New Roman"/>
                <w:sz w:val="18"/>
                <w:szCs w:val="18"/>
              </w:rPr>
              <w:t>Test recipe parameters (e.g., salt level, heat)</w:t>
            </w:r>
          </w:p>
        </w:tc>
      </w:tr>
      <w:tr w14:paraId="7073CB1B">
        <w:tblPrEx>
          <w:tblCellMar>
            <w:top w:w="43" w:type="dxa"/>
            <w:left w:w="0" w:type="dxa"/>
            <w:bottom w:w="0" w:type="dxa"/>
            <w:right w:w="0" w:type="dxa"/>
          </w:tblCellMar>
        </w:tblPrEx>
        <w:trPr>
          <w:trHeight w:val="4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373FF4E8">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2BA32F3D">
            <w:pPr>
              <w:jc w:val="center"/>
              <w:rPr>
                <w:rFonts w:ascii="Times New Roman" w:hAnsi="Times New Roman" w:cs="Times New Roman"/>
                <w:sz w:val="18"/>
                <w:szCs w:val="18"/>
              </w:rPr>
            </w:pPr>
            <w:r>
              <w:rPr>
                <w:rFonts w:ascii="Times New Roman" w:hAnsi="Times New Roman" w:cs="Times New Roman"/>
                <w:sz w:val="18"/>
                <w:szCs w:val="18"/>
              </w:rPr>
              <w:t>Sampling-Rate Alignment</w:t>
            </w:r>
          </w:p>
        </w:tc>
        <w:tc>
          <w:tcPr>
            <w:tcW w:w="3694" w:type="dxa"/>
            <w:tcBorders>
              <w:top w:val="single" w:color="auto" w:sz="4" w:space="0"/>
              <w:left w:val="single" w:color="auto" w:sz="4" w:space="0"/>
              <w:bottom w:val="single" w:color="auto" w:sz="4" w:space="0"/>
              <w:right w:val="single" w:color="auto" w:sz="4" w:space="0"/>
            </w:tcBorders>
            <w:vAlign w:val="center"/>
          </w:tcPr>
          <w:p w14:paraId="2E581186">
            <w:pPr>
              <w:jc w:val="center"/>
              <w:rPr>
                <w:rFonts w:ascii="Times New Roman" w:hAnsi="Times New Roman" w:cs="Times New Roman"/>
                <w:sz w:val="18"/>
                <w:szCs w:val="18"/>
              </w:rPr>
            </w:pPr>
            <w:r>
              <w:rPr>
                <w:rFonts w:ascii="Times New Roman" w:hAnsi="Times New Roman" w:cs="Times New Roman"/>
                <w:sz w:val="18"/>
                <w:szCs w:val="18"/>
              </w:rPr>
              <w:t>Use a common sampling rate (e.g., 50 Hz)</w:t>
            </w:r>
          </w:p>
        </w:tc>
        <w:tc>
          <w:tcPr>
            <w:tcW w:w="3063" w:type="dxa"/>
            <w:tcBorders>
              <w:top w:val="single" w:color="auto" w:sz="4" w:space="0"/>
              <w:left w:val="single" w:color="auto" w:sz="4" w:space="0"/>
              <w:bottom w:val="single" w:color="auto" w:sz="4" w:space="0"/>
              <w:right w:val="single" w:color="auto" w:sz="4" w:space="0"/>
            </w:tcBorders>
            <w:vAlign w:val="center"/>
          </w:tcPr>
          <w:p w14:paraId="03A51DC5">
            <w:pPr>
              <w:jc w:val="center"/>
              <w:rPr>
                <w:rFonts w:ascii="Times New Roman" w:hAnsi="Times New Roman" w:cs="Times New Roman"/>
                <w:sz w:val="18"/>
                <w:szCs w:val="18"/>
              </w:rPr>
            </w:pPr>
            <w:r>
              <w:rPr>
                <w:rFonts w:ascii="Times New Roman" w:hAnsi="Times New Roman" w:cs="Times New Roman"/>
                <w:sz w:val="18"/>
                <w:szCs w:val="18"/>
              </w:rPr>
              <w:t>A tastes every 1 s; B every 2 s. Resample both to a common sampling rate (shared cadence)</w:t>
            </w:r>
          </w:p>
        </w:tc>
      </w:tr>
      <w:tr w14:paraId="65229D25">
        <w:tblPrEx>
          <w:tblCellMar>
            <w:top w:w="43" w:type="dxa"/>
            <w:left w:w="0" w:type="dxa"/>
            <w:bottom w:w="0" w:type="dxa"/>
            <w:right w:w="0" w:type="dxa"/>
          </w:tblCellMar>
        </w:tblPrEx>
        <w:trPr>
          <w:trHeight w:val="422"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2543C205">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3</w:t>
            </w:r>
          </w:p>
        </w:tc>
        <w:tc>
          <w:tcPr>
            <w:tcW w:w="2137" w:type="dxa"/>
            <w:tcBorders>
              <w:top w:val="single" w:color="auto" w:sz="4" w:space="0"/>
              <w:left w:val="single" w:color="auto" w:sz="4" w:space="0"/>
              <w:bottom w:val="single" w:color="auto" w:sz="4" w:space="0"/>
              <w:right w:val="single" w:color="auto" w:sz="4" w:space="0"/>
            </w:tcBorders>
            <w:vAlign w:val="center"/>
          </w:tcPr>
          <w:p w14:paraId="3377135B">
            <w:pPr>
              <w:jc w:val="center"/>
              <w:rPr>
                <w:rFonts w:ascii="Times New Roman" w:hAnsi="Times New Roman" w:cs="Times New Roman"/>
                <w:sz w:val="18"/>
                <w:szCs w:val="18"/>
              </w:rPr>
            </w:pPr>
            <w:r>
              <w:rPr>
                <w:rFonts w:ascii="Times New Roman" w:hAnsi="Times New Roman" w:cs="Times New Roman"/>
                <w:sz w:val="18"/>
                <w:szCs w:val="18"/>
              </w:rPr>
              <w:t>Data augmentation</w:t>
            </w:r>
          </w:p>
        </w:tc>
        <w:tc>
          <w:tcPr>
            <w:tcW w:w="3694" w:type="dxa"/>
            <w:tcBorders>
              <w:top w:val="single" w:color="auto" w:sz="4" w:space="0"/>
              <w:left w:val="single" w:color="auto" w:sz="4" w:space="0"/>
              <w:bottom w:val="single" w:color="auto" w:sz="4" w:space="0"/>
              <w:right w:val="single" w:color="auto" w:sz="4" w:space="0"/>
            </w:tcBorders>
            <w:vAlign w:val="center"/>
          </w:tcPr>
          <w:p w14:paraId="7A2E6638">
            <w:pPr>
              <w:jc w:val="center"/>
              <w:rPr>
                <w:rFonts w:ascii="Times New Roman" w:hAnsi="Times New Roman" w:cs="Times New Roman"/>
                <w:sz w:val="18"/>
                <w:szCs w:val="18"/>
              </w:rPr>
            </w:pPr>
            <w:r>
              <w:rPr>
                <w:rFonts w:ascii="Times New Roman" w:hAnsi="Times New Roman" w:cs="Times New Roman"/>
                <w:sz w:val="18"/>
                <w:szCs w:val="18"/>
              </w:rPr>
              <w:t>Warp/shift/scale/crop to add variety</w:t>
            </w:r>
          </w:p>
        </w:tc>
        <w:tc>
          <w:tcPr>
            <w:tcW w:w="3063" w:type="dxa"/>
            <w:tcBorders>
              <w:top w:val="single" w:color="auto" w:sz="4" w:space="0"/>
              <w:left w:val="single" w:color="auto" w:sz="4" w:space="0"/>
              <w:bottom w:val="single" w:color="auto" w:sz="4" w:space="0"/>
              <w:right w:val="single" w:color="auto" w:sz="4" w:space="0"/>
            </w:tcBorders>
            <w:vAlign w:val="center"/>
          </w:tcPr>
          <w:p w14:paraId="61145C37">
            <w:pPr>
              <w:jc w:val="center"/>
              <w:rPr>
                <w:rFonts w:ascii="Times New Roman" w:hAnsi="Times New Roman" w:cs="Times New Roman"/>
                <w:sz w:val="18"/>
                <w:szCs w:val="18"/>
              </w:rPr>
            </w:pPr>
            <w:r>
              <w:rPr>
                <w:rFonts w:ascii="Times New Roman" w:hAnsi="Times New Roman" w:cs="Times New Roman"/>
                <w:sz w:val="18"/>
                <w:szCs w:val="18"/>
              </w:rPr>
              <w:t>Generate multiple variants of the same dish by altering heat, plating, and cutting style</w:t>
            </w:r>
          </w:p>
        </w:tc>
      </w:tr>
      <w:tr w14:paraId="4724F6B0">
        <w:tblPrEx>
          <w:tblCellMar>
            <w:top w:w="43" w:type="dxa"/>
            <w:left w:w="0" w:type="dxa"/>
            <w:bottom w:w="0" w:type="dxa"/>
            <w:right w:w="0" w:type="dxa"/>
          </w:tblCellMar>
        </w:tblPrEx>
        <w:trPr>
          <w:trHeight w:val="42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7BF3753F">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45E5E5CD">
            <w:pPr>
              <w:jc w:val="center"/>
              <w:rPr>
                <w:rFonts w:ascii="Times New Roman" w:hAnsi="Times New Roman" w:cs="Times New Roman"/>
                <w:sz w:val="18"/>
                <w:szCs w:val="18"/>
              </w:rPr>
            </w:pPr>
            <w:r>
              <w:rPr>
                <w:rFonts w:ascii="Times New Roman" w:hAnsi="Times New Roman" w:cs="Times New Roman"/>
                <w:sz w:val="18"/>
                <w:szCs w:val="18"/>
              </w:rPr>
              <w:t>Gaussian noise</w:t>
            </w:r>
          </w:p>
        </w:tc>
        <w:tc>
          <w:tcPr>
            <w:tcW w:w="3694" w:type="dxa"/>
            <w:tcBorders>
              <w:top w:val="single" w:color="auto" w:sz="4" w:space="0"/>
              <w:left w:val="single" w:color="auto" w:sz="4" w:space="0"/>
              <w:bottom w:val="single" w:color="auto" w:sz="4" w:space="0"/>
              <w:right w:val="single" w:color="auto" w:sz="4" w:space="0"/>
            </w:tcBorders>
            <w:vAlign w:val="center"/>
          </w:tcPr>
          <w:p w14:paraId="1FADC350">
            <w:pPr>
              <w:jc w:val="center"/>
              <w:rPr>
                <w:rFonts w:ascii="Times New Roman" w:hAnsi="Times New Roman" w:cs="Times New Roman"/>
                <w:sz w:val="18"/>
                <w:szCs w:val="18"/>
              </w:rPr>
            </w:pPr>
            <w:r>
              <w:rPr>
                <w:rFonts w:ascii="Times New Roman" w:hAnsi="Times New Roman" w:cs="Times New Roman"/>
                <w:sz w:val="18"/>
                <w:szCs w:val="18"/>
              </w:rPr>
              <w:t>Random jitter with set mean/variance</w:t>
            </w:r>
          </w:p>
        </w:tc>
        <w:tc>
          <w:tcPr>
            <w:tcW w:w="3063" w:type="dxa"/>
            <w:tcBorders>
              <w:top w:val="single" w:color="auto" w:sz="4" w:space="0"/>
              <w:left w:val="single" w:color="auto" w:sz="4" w:space="0"/>
              <w:bottom w:val="single" w:color="auto" w:sz="4" w:space="0"/>
              <w:right w:val="single" w:color="auto" w:sz="4" w:space="0"/>
            </w:tcBorders>
            <w:vAlign w:val="center"/>
          </w:tcPr>
          <w:p w14:paraId="682AA5BB">
            <w:pPr>
              <w:jc w:val="center"/>
              <w:rPr>
                <w:rFonts w:ascii="Times New Roman" w:hAnsi="Times New Roman" w:cs="Times New Roman"/>
                <w:sz w:val="18"/>
                <w:szCs w:val="18"/>
              </w:rPr>
            </w:pPr>
            <w:r>
              <w:rPr>
                <w:rFonts w:ascii="Times New Roman" w:hAnsi="Times New Roman" w:cs="Times New Roman"/>
                <w:sz w:val="18"/>
                <w:szCs w:val="18"/>
              </w:rPr>
              <w:t>Introduce a trace amount of impurities into the soup</w:t>
            </w:r>
          </w:p>
        </w:tc>
      </w:tr>
      <w:tr w14:paraId="78C02CBA">
        <w:tblPrEx>
          <w:tblCellMar>
            <w:top w:w="43" w:type="dxa"/>
            <w:left w:w="0" w:type="dxa"/>
            <w:bottom w:w="0" w:type="dxa"/>
            <w:right w:w="0" w:type="dxa"/>
          </w:tblCellMar>
        </w:tblPrEx>
        <w:trPr>
          <w:trHeight w:val="42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70188C29">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78C5F302">
            <w:pPr>
              <w:jc w:val="center"/>
              <w:rPr>
                <w:rFonts w:ascii="Times New Roman" w:hAnsi="Times New Roman" w:cs="Times New Roman"/>
                <w:sz w:val="18"/>
                <w:szCs w:val="18"/>
              </w:rPr>
            </w:pPr>
            <w:r>
              <w:rPr>
                <w:rFonts w:ascii="Times New Roman" w:hAnsi="Times New Roman" w:cs="Times New Roman"/>
                <w:sz w:val="18"/>
                <w:szCs w:val="18"/>
              </w:rPr>
              <w:t>Gaussian-noise injection</w:t>
            </w:r>
          </w:p>
        </w:tc>
        <w:tc>
          <w:tcPr>
            <w:tcW w:w="3694" w:type="dxa"/>
            <w:tcBorders>
              <w:top w:val="single" w:color="auto" w:sz="4" w:space="0"/>
              <w:left w:val="single" w:color="auto" w:sz="4" w:space="0"/>
              <w:bottom w:val="single" w:color="auto" w:sz="4" w:space="0"/>
              <w:right w:val="single" w:color="auto" w:sz="4" w:space="0"/>
            </w:tcBorders>
            <w:vAlign w:val="center"/>
          </w:tcPr>
          <w:p w14:paraId="5D088624">
            <w:pPr>
              <w:jc w:val="center"/>
              <w:rPr>
                <w:rFonts w:ascii="Times New Roman" w:hAnsi="Times New Roman" w:cs="Times New Roman"/>
                <w:sz w:val="18"/>
                <w:szCs w:val="18"/>
              </w:rPr>
            </w:pPr>
            <w:r>
              <w:rPr>
                <w:rFonts w:ascii="Times New Roman" w:hAnsi="Times New Roman" w:cs="Times New Roman"/>
                <w:sz w:val="18"/>
                <w:szCs w:val="18"/>
              </w:rPr>
              <w:t>Slow, low‑frequency drift</w:t>
            </w:r>
          </w:p>
        </w:tc>
        <w:tc>
          <w:tcPr>
            <w:tcW w:w="3063" w:type="dxa"/>
            <w:tcBorders>
              <w:top w:val="single" w:color="auto" w:sz="4" w:space="0"/>
              <w:left w:val="single" w:color="auto" w:sz="4" w:space="0"/>
              <w:bottom w:val="single" w:color="auto" w:sz="4" w:space="0"/>
              <w:right w:val="single" w:color="auto" w:sz="4" w:space="0"/>
            </w:tcBorders>
            <w:vAlign w:val="center"/>
          </w:tcPr>
          <w:p w14:paraId="2B0EFB01">
            <w:pPr>
              <w:jc w:val="center"/>
              <w:rPr>
                <w:rFonts w:ascii="Times New Roman" w:hAnsi="Times New Roman" w:cs="Times New Roman"/>
                <w:sz w:val="18"/>
                <w:szCs w:val="18"/>
              </w:rPr>
            </w:pPr>
            <w:r>
              <w:rPr>
                <w:rFonts w:ascii="Times New Roman" w:hAnsi="Times New Roman" w:cs="Times New Roman"/>
                <w:sz w:val="18"/>
                <w:szCs w:val="18"/>
              </w:rPr>
              <w:t>Teach the chef to tolerate small variations, yielding more consistent dishes</w:t>
            </w:r>
          </w:p>
        </w:tc>
      </w:tr>
      <w:tr w14:paraId="2FADF254">
        <w:tblPrEx>
          <w:tblCellMar>
            <w:top w:w="43" w:type="dxa"/>
            <w:left w:w="0" w:type="dxa"/>
            <w:bottom w:w="0" w:type="dxa"/>
            <w:right w:w="0" w:type="dxa"/>
          </w:tblCellMar>
        </w:tblPrEx>
        <w:trPr>
          <w:trHeight w:val="42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7F80D3D4">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0C4B5A63">
            <w:pPr>
              <w:jc w:val="center"/>
              <w:rPr>
                <w:rFonts w:ascii="Times New Roman" w:hAnsi="Times New Roman" w:cs="Times New Roman"/>
                <w:sz w:val="18"/>
                <w:szCs w:val="18"/>
              </w:rPr>
            </w:pPr>
            <w:r>
              <w:rPr>
                <w:rFonts w:ascii="Times New Roman" w:hAnsi="Times New Roman" w:cs="Times New Roman"/>
                <w:sz w:val="18"/>
                <w:szCs w:val="18"/>
              </w:rPr>
              <w:t>Denoising module</w:t>
            </w:r>
          </w:p>
        </w:tc>
        <w:tc>
          <w:tcPr>
            <w:tcW w:w="3694" w:type="dxa"/>
            <w:tcBorders>
              <w:top w:val="single" w:color="auto" w:sz="4" w:space="0"/>
              <w:left w:val="single" w:color="auto" w:sz="4" w:space="0"/>
              <w:bottom w:val="single" w:color="auto" w:sz="4" w:space="0"/>
              <w:right w:val="single" w:color="auto" w:sz="4" w:space="0"/>
            </w:tcBorders>
            <w:vAlign w:val="center"/>
          </w:tcPr>
          <w:p w14:paraId="41D750DF">
            <w:pPr>
              <w:jc w:val="center"/>
              <w:rPr>
                <w:rFonts w:ascii="Times New Roman" w:hAnsi="Times New Roman" w:cs="Times New Roman"/>
                <w:sz w:val="18"/>
                <w:szCs w:val="18"/>
              </w:rPr>
            </w:pPr>
            <w:r>
              <w:rPr>
                <w:rFonts w:ascii="Times New Roman" w:hAnsi="Times New Roman" w:cs="Times New Roman"/>
                <w:sz w:val="18"/>
                <w:szCs w:val="18"/>
              </w:rPr>
              <w:t>Component that removes noise</w:t>
            </w:r>
          </w:p>
        </w:tc>
        <w:tc>
          <w:tcPr>
            <w:tcW w:w="3063" w:type="dxa"/>
            <w:tcBorders>
              <w:top w:val="single" w:color="auto" w:sz="4" w:space="0"/>
              <w:left w:val="single" w:color="auto" w:sz="4" w:space="0"/>
              <w:bottom w:val="single" w:color="auto" w:sz="4" w:space="0"/>
              <w:right w:val="single" w:color="auto" w:sz="4" w:space="0"/>
            </w:tcBorders>
            <w:vAlign w:val="center"/>
          </w:tcPr>
          <w:p w14:paraId="7C464ABB">
            <w:pPr>
              <w:jc w:val="center"/>
              <w:rPr>
                <w:rFonts w:ascii="Times New Roman" w:hAnsi="Times New Roman" w:cs="Times New Roman"/>
                <w:sz w:val="18"/>
                <w:szCs w:val="18"/>
              </w:rPr>
            </w:pPr>
            <w:r>
              <w:rPr>
                <w:rFonts w:ascii="Times New Roman" w:hAnsi="Times New Roman" w:cs="Times New Roman"/>
                <w:sz w:val="18"/>
                <w:szCs w:val="18"/>
              </w:rPr>
              <w:t>Use a fine strainer to remove foam and particulates before serving</w:t>
            </w:r>
          </w:p>
        </w:tc>
      </w:tr>
      <w:tr w14:paraId="5F93F40D">
        <w:tblPrEx>
          <w:tblCellMar>
            <w:top w:w="43" w:type="dxa"/>
            <w:left w:w="0" w:type="dxa"/>
            <w:bottom w:w="0" w:type="dxa"/>
            <w:right w:w="0" w:type="dxa"/>
          </w:tblCellMar>
        </w:tblPrEx>
        <w:trPr>
          <w:trHeight w:val="462"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3F3646E0">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4</w:t>
            </w:r>
          </w:p>
        </w:tc>
        <w:tc>
          <w:tcPr>
            <w:tcW w:w="2137" w:type="dxa"/>
            <w:tcBorders>
              <w:top w:val="single" w:color="auto" w:sz="4" w:space="0"/>
              <w:left w:val="single" w:color="auto" w:sz="4" w:space="0"/>
              <w:bottom w:val="single" w:color="auto" w:sz="4" w:space="0"/>
              <w:right w:val="single" w:color="auto" w:sz="4" w:space="0"/>
            </w:tcBorders>
            <w:vAlign w:val="center"/>
          </w:tcPr>
          <w:p w14:paraId="2049C85B">
            <w:pPr>
              <w:jc w:val="center"/>
              <w:rPr>
                <w:rFonts w:ascii="Times New Roman" w:hAnsi="Times New Roman" w:cs="Times New Roman"/>
                <w:sz w:val="18"/>
                <w:szCs w:val="18"/>
              </w:rPr>
            </w:pPr>
            <w:r>
              <w:rPr>
                <w:rFonts w:ascii="Times New Roman" w:hAnsi="Times New Roman" w:cs="Times New Roman"/>
                <w:sz w:val="18"/>
                <w:szCs w:val="18"/>
              </w:rPr>
              <w:t>Baseline model</w:t>
            </w:r>
          </w:p>
        </w:tc>
        <w:tc>
          <w:tcPr>
            <w:tcW w:w="3694" w:type="dxa"/>
            <w:tcBorders>
              <w:top w:val="single" w:color="auto" w:sz="4" w:space="0"/>
              <w:left w:val="single" w:color="auto" w:sz="4" w:space="0"/>
              <w:bottom w:val="single" w:color="auto" w:sz="4" w:space="0"/>
              <w:right w:val="single" w:color="auto" w:sz="4" w:space="0"/>
            </w:tcBorders>
            <w:vAlign w:val="center"/>
          </w:tcPr>
          <w:p w14:paraId="499821C0">
            <w:pPr>
              <w:jc w:val="center"/>
              <w:rPr>
                <w:rFonts w:ascii="Times New Roman" w:hAnsi="Times New Roman" w:cs="Times New Roman"/>
                <w:sz w:val="18"/>
                <w:szCs w:val="18"/>
              </w:rPr>
            </w:pPr>
            <w:r>
              <w:rPr>
                <w:rFonts w:ascii="Times New Roman" w:hAnsi="Times New Roman" w:cs="Times New Roman"/>
                <w:sz w:val="18"/>
                <w:szCs w:val="18"/>
              </w:rPr>
              <w:t>Widely used reference method</w:t>
            </w:r>
          </w:p>
        </w:tc>
        <w:tc>
          <w:tcPr>
            <w:tcW w:w="3063" w:type="dxa"/>
            <w:tcBorders>
              <w:top w:val="single" w:color="auto" w:sz="4" w:space="0"/>
              <w:left w:val="single" w:color="auto" w:sz="4" w:space="0"/>
              <w:bottom w:val="single" w:color="auto" w:sz="4" w:space="0"/>
              <w:right w:val="single" w:color="auto" w:sz="4" w:space="0"/>
            </w:tcBorders>
            <w:vAlign w:val="center"/>
          </w:tcPr>
          <w:p w14:paraId="6C53A2A8">
            <w:pPr>
              <w:jc w:val="center"/>
              <w:rPr>
                <w:rFonts w:ascii="Times New Roman" w:hAnsi="Times New Roman" w:cs="Times New Roman"/>
                <w:sz w:val="18"/>
                <w:szCs w:val="18"/>
              </w:rPr>
            </w:pPr>
            <w:r>
              <w:rPr>
                <w:rFonts w:ascii="Times New Roman" w:hAnsi="Times New Roman" w:cs="Times New Roman"/>
                <w:sz w:val="18"/>
                <w:szCs w:val="18"/>
              </w:rPr>
              <w:t>A common dish with simple ingredients and a stable procedure</w:t>
            </w:r>
          </w:p>
        </w:tc>
      </w:tr>
      <w:tr w14:paraId="55DF86BE">
        <w:tblPrEx>
          <w:tblCellMar>
            <w:top w:w="43" w:type="dxa"/>
            <w:left w:w="0" w:type="dxa"/>
            <w:bottom w:w="0" w:type="dxa"/>
            <w:right w:w="0" w:type="dxa"/>
          </w:tblCellMar>
        </w:tblPrEx>
        <w:trPr>
          <w:trHeight w:val="46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4A067BA7">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75C282D7">
            <w:pPr>
              <w:jc w:val="center"/>
              <w:rPr>
                <w:rFonts w:ascii="Times New Roman" w:hAnsi="Times New Roman" w:cs="Times New Roman"/>
                <w:sz w:val="18"/>
                <w:szCs w:val="18"/>
              </w:rPr>
            </w:pPr>
            <w:r>
              <w:rPr>
                <w:rFonts w:ascii="Times New Roman" w:hAnsi="Times New Roman" w:cs="Times New Roman"/>
                <w:sz w:val="18"/>
                <w:szCs w:val="18"/>
              </w:rPr>
              <w:t>Hyperparameter tuning</w:t>
            </w:r>
          </w:p>
        </w:tc>
        <w:tc>
          <w:tcPr>
            <w:tcW w:w="3694" w:type="dxa"/>
            <w:tcBorders>
              <w:top w:val="single" w:color="auto" w:sz="4" w:space="0"/>
              <w:left w:val="single" w:color="auto" w:sz="4" w:space="0"/>
              <w:bottom w:val="single" w:color="auto" w:sz="4" w:space="0"/>
              <w:right w:val="single" w:color="auto" w:sz="4" w:space="0"/>
            </w:tcBorders>
            <w:vAlign w:val="center"/>
          </w:tcPr>
          <w:p w14:paraId="422275C1">
            <w:pPr>
              <w:jc w:val="center"/>
              <w:rPr>
                <w:rFonts w:ascii="Times New Roman" w:hAnsi="Times New Roman" w:cs="Times New Roman"/>
                <w:sz w:val="18"/>
                <w:szCs w:val="18"/>
              </w:rPr>
            </w:pPr>
            <w:r>
              <w:rPr>
                <w:rFonts w:ascii="Times New Roman" w:hAnsi="Times New Roman" w:cs="Times New Roman"/>
                <w:sz w:val="18"/>
                <w:szCs w:val="18"/>
              </w:rPr>
              <w:t>Systematically search better settings</w:t>
            </w:r>
          </w:p>
        </w:tc>
        <w:tc>
          <w:tcPr>
            <w:tcW w:w="3063" w:type="dxa"/>
            <w:tcBorders>
              <w:top w:val="single" w:color="auto" w:sz="4" w:space="0"/>
              <w:left w:val="single" w:color="auto" w:sz="4" w:space="0"/>
              <w:bottom w:val="single" w:color="auto" w:sz="4" w:space="0"/>
              <w:right w:val="single" w:color="auto" w:sz="4" w:space="0"/>
            </w:tcBorders>
            <w:vAlign w:val="center"/>
          </w:tcPr>
          <w:p w14:paraId="3F0C4C7F">
            <w:pPr>
              <w:jc w:val="center"/>
              <w:rPr>
                <w:rFonts w:ascii="Times New Roman" w:hAnsi="Times New Roman" w:cs="Times New Roman"/>
                <w:sz w:val="18"/>
                <w:szCs w:val="18"/>
              </w:rPr>
            </w:pPr>
            <w:r>
              <w:rPr>
                <w:rFonts w:ascii="Times New Roman" w:hAnsi="Times New Roman" w:cs="Times New Roman"/>
                <w:sz w:val="18"/>
                <w:szCs w:val="18"/>
              </w:rPr>
              <w:t>Salt level, heat control, pan size, stir-fry duration</w:t>
            </w:r>
          </w:p>
        </w:tc>
      </w:tr>
      <w:tr w14:paraId="0AFC954A">
        <w:tblPrEx>
          <w:tblCellMar>
            <w:top w:w="43" w:type="dxa"/>
            <w:left w:w="0" w:type="dxa"/>
            <w:bottom w:w="0" w:type="dxa"/>
            <w:right w:w="0" w:type="dxa"/>
          </w:tblCellMar>
        </w:tblPrEx>
        <w:trPr>
          <w:trHeight w:val="46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7B41025C">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08046D60">
            <w:pPr>
              <w:jc w:val="center"/>
              <w:rPr>
                <w:rFonts w:ascii="Times New Roman" w:hAnsi="Times New Roman" w:cs="Times New Roman"/>
                <w:sz w:val="18"/>
                <w:szCs w:val="18"/>
              </w:rPr>
            </w:pPr>
            <w:r>
              <w:rPr>
                <w:rFonts w:ascii="Times New Roman" w:hAnsi="Times New Roman" w:cs="Times New Roman"/>
                <w:sz w:val="18"/>
                <w:szCs w:val="18"/>
              </w:rPr>
              <w:t>Ablation study</w:t>
            </w:r>
          </w:p>
        </w:tc>
        <w:tc>
          <w:tcPr>
            <w:tcW w:w="3694" w:type="dxa"/>
            <w:tcBorders>
              <w:top w:val="single" w:color="auto" w:sz="4" w:space="0"/>
              <w:left w:val="single" w:color="auto" w:sz="4" w:space="0"/>
              <w:bottom w:val="single" w:color="auto" w:sz="4" w:space="0"/>
              <w:right w:val="single" w:color="auto" w:sz="4" w:space="0"/>
            </w:tcBorders>
            <w:vAlign w:val="center"/>
          </w:tcPr>
          <w:p w14:paraId="2CE4A95C">
            <w:pPr>
              <w:jc w:val="center"/>
              <w:rPr>
                <w:rFonts w:ascii="Times New Roman" w:hAnsi="Times New Roman" w:cs="Times New Roman"/>
                <w:sz w:val="18"/>
                <w:szCs w:val="18"/>
              </w:rPr>
            </w:pPr>
            <w:r>
              <w:rPr>
                <w:rFonts w:ascii="Times New Roman" w:hAnsi="Times New Roman" w:cs="Times New Roman"/>
                <w:sz w:val="18"/>
                <w:szCs w:val="18"/>
              </w:rPr>
              <w:t>Remove a part to see its effect</w:t>
            </w:r>
          </w:p>
        </w:tc>
        <w:tc>
          <w:tcPr>
            <w:tcW w:w="3063" w:type="dxa"/>
            <w:tcBorders>
              <w:top w:val="single" w:color="auto" w:sz="4" w:space="0"/>
              <w:left w:val="single" w:color="auto" w:sz="4" w:space="0"/>
              <w:bottom w:val="single" w:color="auto" w:sz="4" w:space="0"/>
              <w:right w:val="single" w:color="auto" w:sz="4" w:space="0"/>
            </w:tcBorders>
            <w:vAlign w:val="center"/>
          </w:tcPr>
          <w:p w14:paraId="5B41EBB6">
            <w:pPr>
              <w:jc w:val="center"/>
              <w:rPr>
                <w:rFonts w:ascii="Times New Roman" w:hAnsi="Times New Roman" w:cs="Times New Roman"/>
                <w:sz w:val="18"/>
                <w:szCs w:val="18"/>
              </w:rPr>
            </w:pPr>
            <w:r>
              <w:rPr>
                <w:rFonts w:ascii="Times New Roman" w:hAnsi="Times New Roman" w:cs="Times New Roman"/>
                <w:sz w:val="18"/>
                <w:szCs w:val="18"/>
              </w:rPr>
              <w:t>One-factor-at-a-time ablation; re-taste—e.g., omit a seasoning</w:t>
            </w:r>
          </w:p>
        </w:tc>
      </w:tr>
      <w:tr w14:paraId="3CE94BF1">
        <w:tblPrEx>
          <w:tblCellMar>
            <w:top w:w="43" w:type="dxa"/>
            <w:left w:w="0" w:type="dxa"/>
            <w:bottom w:w="0" w:type="dxa"/>
            <w:right w:w="0" w:type="dxa"/>
          </w:tblCellMar>
        </w:tblPrEx>
        <w:trPr>
          <w:trHeight w:val="348"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16F7E824">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5</w:t>
            </w:r>
          </w:p>
        </w:tc>
        <w:tc>
          <w:tcPr>
            <w:tcW w:w="2137" w:type="dxa"/>
            <w:tcBorders>
              <w:top w:val="single" w:color="auto" w:sz="4" w:space="0"/>
              <w:left w:val="single" w:color="auto" w:sz="4" w:space="0"/>
              <w:bottom w:val="single" w:color="auto" w:sz="4" w:space="0"/>
              <w:right w:val="single" w:color="auto" w:sz="4" w:space="0"/>
            </w:tcBorders>
            <w:vAlign w:val="center"/>
          </w:tcPr>
          <w:p w14:paraId="3F915FA8">
            <w:pPr>
              <w:jc w:val="center"/>
              <w:rPr>
                <w:rFonts w:ascii="Times New Roman" w:hAnsi="Times New Roman" w:cs="Times New Roman"/>
                <w:sz w:val="18"/>
                <w:szCs w:val="18"/>
              </w:rPr>
            </w:pPr>
            <w:r>
              <w:rPr>
                <w:rFonts w:ascii="Times New Roman" w:hAnsi="Times New Roman" w:cs="Times New Roman"/>
                <w:sz w:val="18"/>
                <w:szCs w:val="18"/>
              </w:rPr>
              <w:t>Domain Adaptation (DA)</w:t>
            </w:r>
          </w:p>
        </w:tc>
        <w:tc>
          <w:tcPr>
            <w:tcW w:w="3694" w:type="dxa"/>
            <w:tcBorders>
              <w:top w:val="single" w:color="auto" w:sz="4" w:space="0"/>
              <w:left w:val="single" w:color="auto" w:sz="4" w:space="0"/>
              <w:bottom w:val="single" w:color="auto" w:sz="4" w:space="0"/>
              <w:right w:val="single" w:color="auto" w:sz="4" w:space="0"/>
            </w:tcBorders>
            <w:vAlign w:val="center"/>
          </w:tcPr>
          <w:p w14:paraId="470F7ACF">
            <w:pPr>
              <w:jc w:val="center"/>
              <w:rPr>
                <w:rFonts w:ascii="Times New Roman" w:hAnsi="Times New Roman" w:cs="Times New Roman"/>
                <w:sz w:val="18"/>
                <w:szCs w:val="18"/>
              </w:rPr>
            </w:pPr>
            <w:r>
              <w:rPr>
                <w:rFonts w:ascii="Times New Roman" w:hAnsi="Times New Roman" w:cs="Times New Roman"/>
                <w:sz w:val="18"/>
                <w:szCs w:val="18"/>
              </w:rPr>
              <w:t>Adapt model to new device/people/place</w:t>
            </w:r>
          </w:p>
        </w:tc>
        <w:tc>
          <w:tcPr>
            <w:tcW w:w="3063" w:type="dxa"/>
            <w:tcBorders>
              <w:top w:val="single" w:color="auto" w:sz="4" w:space="0"/>
              <w:left w:val="single" w:color="auto" w:sz="4" w:space="0"/>
              <w:bottom w:val="single" w:color="auto" w:sz="4" w:space="0"/>
              <w:right w:val="single" w:color="auto" w:sz="4" w:space="0"/>
            </w:tcBorders>
            <w:vAlign w:val="center"/>
          </w:tcPr>
          <w:p w14:paraId="37E73BAE">
            <w:pPr>
              <w:jc w:val="center"/>
              <w:rPr>
                <w:rFonts w:ascii="Times New Roman" w:hAnsi="Times New Roman" w:cs="Times New Roman"/>
                <w:sz w:val="18"/>
                <w:szCs w:val="18"/>
              </w:rPr>
            </w:pPr>
            <w:r>
              <w:rPr>
                <w:rFonts w:ascii="Times New Roman" w:hAnsi="Times New Roman" w:cs="Times New Roman"/>
                <w:sz w:val="18"/>
                <w:szCs w:val="18"/>
              </w:rPr>
              <w:t>Move from kitchen A to kitchen B and maintain dish quality in B</w:t>
            </w:r>
          </w:p>
        </w:tc>
      </w:tr>
      <w:tr w14:paraId="30F38828">
        <w:tblPrEx>
          <w:tblCellMar>
            <w:top w:w="43" w:type="dxa"/>
            <w:left w:w="0" w:type="dxa"/>
            <w:bottom w:w="0" w:type="dxa"/>
            <w:right w:w="0" w:type="dxa"/>
          </w:tblCellMar>
        </w:tblPrEx>
        <w:trPr>
          <w:trHeight w:val="3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5D132C33">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43937D97">
            <w:pPr>
              <w:jc w:val="center"/>
            </w:pPr>
            <w:r>
              <w:rPr>
                <w:rFonts w:ascii="Times New Roman" w:hAnsi="Times New Roman" w:cs="Times New Roman"/>
                <w:sz w:val="18"/>
                <w:szCs w:val="18"/>
              </w:rPr>
              <w:t>Adaptive Batch Normalization (AdaBN)</w:t>
            </w:r>
          </w:p>
        </w:tc>
        <w:tc>
          <w:tcPr>
            <w:tcW w:w="3694" w:type="dxa"/>
            <w:tcBorders>
              <w:top w:val="single" w:color="auto" w:sz="4" w:space="0"/>
              <w:left w:val="single" w:color="auto" w:sz="4" w:space="0"/>
              <w:bottom w:val="single" w:color="auto" w:sz="4" w:space="0"/>
              <w:right w:val="single" w:color="auto" w:sz="4" w:space="0"/>
            </w:tcBorders>
            <w:vAlign w:val="center"/>
          </w:tcPr>
          <w:p w14:paraId="0C45D443">
            <w:pPr>
              <w:jc w:val="center"/>
              <w:rPr>
                <w:rFonts w:ascii="Times New Roman" w:hAnsi="Times New Roman" w:cs="Times New Roman"/>
                <w:sz w:val="18"/>
                <w:szCs w:val="18"/>
              </w:rPr>
            </w:pPr>
            <w:r>
              <w:rPr>
                <w:rFonts w:ascii="Times New Roman" w:hAnsi="Times New Roman" w:cs="Times New Roman"/>
                <w:sz w:val="18"/>
                <w:szCs w:val="18"/>
              </w:rPr>
              <w:t>Adapt by updating BatchNorm stats</w:t>
            </w:r>
          </w:p>
        </w:tc>
        <w:tc>
          <w:tcPr>
            <w:tcW w:w="3063" w:type="dxa"/>
            <w:tcBorders>
              <w:top w:val="single" w:color="auto" w:sz="4" w:space="0"/>
              <w:left w:val="single" w:color="auto" w:sz="4" w:space="0"/>
              <w:bottom w:val="single" w:color="auto" w:sz="4" w:space="0"/>
              <w:right w:val="single" w:color="auto" w:sz="4" w:space="0"/>
            </w:tcBorders>
            <w:vAlign w:val="center"/>
          </w:tcPr>
          <w:p w14:paraId="6DECCFF9">
            <w:pPr>
              <w:jc w:val="center"/>
              <w:rPr>
                <w:rFonts w:ascii="Times New Roman" w:hAnsi="Times New Roman" w:cs="Times New Roman"/>
                <w:sz w:val="18"/>
                <w:szCs w:val="18"/>
              </w:rPr>
            </w:pPr>
            <w:r>
              <w:rPr>
                <w:rFonts w:ascii="Times New Roman" w:hAnsi="Times New Roman" w:cs="Times New Roman"/>
                <w:sz w:val="18"/>
                <w:szCs w:val="18"/>
              </w:rPr>
              <w:t>On entering the new kitchen, reset the taste baseline by sampling local dishes</w:t>
            </w:r>
          </w:p>
        </w:tc>
      </w:tr>
      <w:tr w14:paraId="67F65A16">
        <w:tblPrEx>
          <w:tblCellMar>
            <w:top w:w="43" w:type="dxa"/>
            <w:left w:w="0" w:type="dxa"/>
            <w:bottom w:w="0" w:type="dxa"/>
            <w:right w:w="0" w:type="dxa"/>
          </w:tblCellMar>
        </w:tblPrEx>
        <w:trPr>
          <w:trHeight w:val="3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09BB3463">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6DD562E0">
            <w:pPr>
              <w:jc w:val="center"/>
              <w:rPr>
                <w:rFonts w:ascii="Times New Roman" w:hAnsi="Times New Roman" w:cs="Times New Roman"/>
                <w:sz w:val="18"/>
                <w:szCs w:val="18"/>
              </w:rPr>
            </w:pPr>
            <w:r>
              <w:rPr>
                <w:rFonts w:ascii="Times New Roman" w:hAnsi="Times New Roman" w:cs="Times New Roman"/>
                <w:sz w:val="18"/>
                <w:szCs w:val="18"/>
              </w:rPr>
              <w:t>Domain-Adversarial Neural Network (DANN)</w:t>
            </w:r>
          </w:p>
        </w:tc>
        <w:tc>
          <w:tcPr>
            <w:tcW w:w="3694" w:type="dxa"/>
            <w:tcBorders>
              <w:top w:val="single" w:color="auto" w:sz="4" w:space="0"/>
              <w:left w:val="single" w:color="auto" w:sz="4" w:space="0"/>
              <w:bottom w:val="single" w:color="auto" w:sz="4" w:space="0"/>
              <w:right w:val="single" w:color="auto" w:sz="4" w:space="0"/>
            </w:tcBorders>
            <w:vAlign w:val="center"/>
          </w:tcPr>
          <w:p w14:paraId="2E3F0BF6">
            <w:pPr>
              <w:jc w:val="center"/>
              <w:rPr>
                <w:rFonts w:ascii="Times New Roman" w:hAnsi="Times New Roman" w:cs="Times New Roman"/>
                <w:sz w:val="18"/>
                <w:szCs w:val="18"/>
              </w:rPr>
            </w:pPr>
            <w:r>
              <w:rPr>
                <w:rFonts w:ascii="Times New Roman" w:hAnsi="Times New Roman" w:cs="Times New Roman"/>
                <w:sz w:val="18"/>
                <w:szCs w:val="18"/>
              </w:rPr>
              <w:t>Adversarially align feature distributions</w:t>
            </w:r>
          </w:p>
        </w:tc>
        <w:tc>
          <w:tcPr>
            <w:tcW w:w="3063" w:type="dxa"/>
            <w:tcBorders>
              <w:top w:val="single" w:color="auto" w:sz="4" w:space="0"/>
              <w:left w:val="single" w:color="auto" w:sz="4" w:space="0"/>
              <w:bottom w:val="single" w:color="auto" w:sz="4" w:space="0"/>
              <w:right w:val="single" w:color="auto" w:sz="4" w:space="0"/>
            </w:tcBorders>
            <w:vAlign w:val="center"/>
          </w:tcPr>
          <w:p w14:paraId="43BA9517">
            <w:pPr>
              <w:jc w:val="center"/>
              <w:rPr>
                <w:rFonts w:ascii="Times New Roman" w:hAnsi="Times New Roman" w:cs="Times New Roman"/>
                <w:sz w:val="18"/>
                <w:szCs w:val="18"/>
              </w:rPr>
            </w:pPr>
            <w:r>
              <w:rPr>
                <w:rFonts w:ascii="Times New Roman" w:hAnsi="Times New Roman" w:cs="Times New Roman"/>
                <w:sz w:val="18"/>
                <w:szCs w:val="18"/>
              </w:rPr>
              <w:t>Personalise the learned procedure to a specific diner’s palate</w:t>
            </w:r>
          </w:p>
        </w:tc>
      </w:tr>
      <w:tr w14:paraId="3D5ED2E1">
        <w:tblPrEx>
          <w:tblCellMar>
            <w:top w:w="43" w:type="dxa"/>
            <w:left w:w="0" w:type="dxa"/>
            <w:bottom w:w="0" w:type="dxa"/>
            <w:right w:w="0" w:type="dxa"/>
          </w:tblCellMar>
        </w:tblPrEx>
        <w:trPr>
          <w:trHeight w:val="3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70EAE9D0">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7F18B902">
            <w:pPr>
              <w:pStyle w:val="5"/>
              <w:jc w:val="center"/>
              <w:rPr>
                <w:rFonts w:ascii="Times New Roman" w:hAnsi="Times New Roman"/>
                <w:sz w:val="18"/>
                <w:szCs w:val="18"/>
              </w:rPr>
            </w:pPr>
            <w:r>
              <w:rPr>
                <w:rStyle w:val="8"/>
                <w:rFonts w:ascii="Times New Roman" w:hAnsi="Times New Roman"/>
                <w:b w:val="0"/>
                <w:bCs/>
                <w:sz w:val="18"/>
                <w:szCs w:val="18"/>
              </w:rPr>
              <w:t>Source-Free Domain Adaptation (SFDA)</w:t>
            </w:r>
          </w:p>
        </w:tc>
        <w:tc>
          <w:tcPr>
            <w:tcW w:w="3694" w:type="dxa"/>
            <w:tcBorders>
              <w:top w:val="single" w:color="auto" w:sz="4" w:space="0"/>
              <w:left w:val="single" w:color="auto" w:sz="4" w:space="0"/>
              <w:bottom w:val="single" w:color="auto" w:sz="4" w:space="0"/>
              <w:right w:val="single" w:color="auto" w:sz="4" w:space="0"/>
            </w:tcBorders>
            <w:vAlign w:val="center"/>
          </w:tcPr>
          <w:p w14:paraId="727E8A05">
            <w:pPr>
              <w:jc w:val="center"/>
              <w:rPr>
                <w:rFonts w:ascii="Times New Roman" w:hAnsi="Times New Roman" w:cs="Times New Roman"/>
                <w:sz w:val="18"/>
                <w:szCs w:val="18"/>
              </w:rPr>
            </w:pPr>
            <w:r>
              <w:rPr>
                <w:rFonts w:ascii="Times New Roman" w:hAnsi="Times New Roman" w:cs="Times New Roman"/>
                <w:sz w:val="18"/>
                <w:szCs w:val="18"/>
              </w:rPr>
              <w:t>Use source model only + unlabeled target</w:t>
            </w:r>
          </w:p>
        </w:tc>
        <w:tc>
          <w:tcPr>
            <w:tcW w:w="3063" w:type="dxa"/>
            <w:tcBorders>
              <w:top w:val="single" w:color="auto" w:sz="4" w:space="0"/>
              <w:left w:val="single" w:color="auto" w:sz="4" w:space="0"/>
              <w:bottom w:val="single" w:color="auto" w:sz="4" w:space="0"/>
              <w:right w:val="single" w:color="auto" w:sz="4" w:space="0"/>
            </w:tcBorders>
            <w:vAlign w:val="center"/>
          </w:tcPr>
          <w:p w14:paraId="7B81CB3D">
            <w:pPr>
              <w:jc w:val="center"/>
              <w:rPr>
                <w:rFonts w:ascii="Times New Roman" w:hAnsi="Times New Roman" w:cs="Times New Roman"/>
                <w:sz w:val="18"/>
                <w:szCs w:val="18"/>
              </w:rPr>
            </w:pPr>
            <w:r>
              <w:rPr>
                <w:rFonts w:ascii="Times New Roman" w:hAnsi="Times New Roman" w:cs="Times New Roman"/>
                <w:sz w:val="18"/>
                <w:szCs w:val="18"/>
              </w:rPr>
              <w:t>Travel with the recipe only; bring no ingredients or samples from kitchen A</w:t>
            </w:r>
          </w:p>
        </w:tc>
      </w:tr>
    </w:tbl>
    <w:p w14:paraId="79CCD4FB">
      <w:pPr>
        <w:pStyle w:val="2"/>
        <w:spacing w:before="198" w:line="344" w:lineRule="auto"/>
        <w:rPr>
          <w:sz w:val="24"/>
          <w:szCs w:val="24"/>
        </w:rPr>
      </w:pPr>
    </w:p>
    <w:p w14:paraId="421399D1">
      <w:pPr>
        <w:pStyle w:val="2"/>
        <w:spacing w:before="198" w:line="344" w:lineRule="auto"/>
        <w:rPr>
          <w:sz w:val="24"/>
          <w:szCs w:val="24"/>
        </w:rPr>
      </w:pPr>
    </w:p>
    <w:p w14:paraId="0500D1DA">
      <w:pPr>
        <w:pStyle w:val="2"/>
        <w:spacing w:before="198" w:line="344" w:lineRule="auto"/>
        <w:rPr>
          <w:sz w:val="24"/>
          <w:szCs w:val="24"/>
        </w:rPr>
      </w:pPr>
    </w:p>
    <w:p w14:paraId="0B7F5364">
      <w:pPr>
        <w:pStyle w:val="2"/>
        <w:spacing w:before="198" w:line="344" w:lineRule="auto"/>
        <w:jc w:val="center"/>
        <w:rPr>
          <w:rFonts w:eastAsia="宋体"/>
          <w:sz w:val="18"/>
          <w:szCs w:val="18"/>
          <w:lang w:eastAsia="zh-CN"/>
        </w:rPr>
      </w:pPr>
      <w:r>
        <w:rPr>
          <w:rFonts w:hint="eastAsia"/>
          <w:sz w:val="18"/>
          <w:szCs w:val="18"/>
        </w:rPr>
        <w:t xml:space="preserve">TABLE </w:t>
      </w:r>
      <w:r>
        <w:rPr>
          <w:rFonts w:hint="eastAsia" w:eastAsia="宋体"/>
          <w:sz w:val="18"/>
          <w:szCs w:val="18"/>
          <w:lang w:eastAsia="zh-CN"/>
        </w:rPr>
        <w:t>B</w:t>
      </w:r>
      <w:r>
        <w:rPr>
          <w:rFonts w:hint="eastAsia"/>
          <w:sz w:val="18"/>
          <w:szCs w:val="18"/>
        </w:rPr>
        <w:t xml:space="preserve">. Step Details and term explanation </w:t>
      </w:r>
      <w:r>
        <w:rPr>
          <w:rFonts w:hint="eastAsia" w:eastAsia="宋体"/>
          <w:sz w:val="18"/>
          <w:szCs w:val="18"/>
          <w:lang w:eastAsia="zh-CN"/>
        </w:rPr>
        <w:t>2</w:t>
      </w:r>
    </w:p>
    <w:tbl>
      <w:tblPr>
        <w:tblStyle w:val="13"/>
        <w:tblpPr w:leftFromText="180" w:rightFromText="180" w:vertAnchor="page" w:horzAnchor="page" w:tblpX="1553" w:tblpY="1970"/>
        <w:tblOverlap w:val="never"/>
        <w:tblW w:w="9278" w:type="dxa"/>
        <w:tblInd w:w="0" w:type="dxa"/>
        <w:tblLayout w:type="autofit"/>
        <w:tblCellMar>
          <w:top w:w="43" w:type="dxa"/>
          <w:left w:w="0" w:type="dxa"/>
          <w:bottom w:w="0" w:type="dxa"/>
          <w:right w:w="0" w:type="dxa"/>
        </w:tblCellMar>
      </w:tblPr>
      <w:tblGrid>
        <w:gridCol w:w="384"/>
        <w:gridCol w:w="2137"/>
        <w:gridCol w:w="3694"/>
        <w:gridCol w:w="3063"/>
      </w:tblGrid>
      <w:tr w14:paraId="39D43E9A">
        <w:tblPrEx>
          <w:tblCellMar>
            <w:top w:w="43" w:type="dxa"/>
            <w:left w:w="0" w:type="dxa"/>
            <w:bottom w:w="0" w:type="dxa"/>
            <w:right w:w="0" w:type="dxa"/>
          </w:tblCellMar>
        </w:tblPrEx>
        <w:trPr>
          <w:trHeight w:val="573" w:hRule="atLeast"/>
        </w:trPr>
        <w:tc>
          <w:tcPr>
            <w:tcW w:w="384" w:type="dxa"/>
            <w:tcBorders>
              <w:top w:val="single" w:color="auto" w:sz="4" w:space="0"/>
              <w:left w:val="single" w:color="auto" w:sz="4" w:space="0"/>
              <w:bottom w:val="single" w:color="auto" w:sz="4" w:space="0"/>
              <w:right w:val="single" w:color="auto" w:sz="4" w:space="0"/>
            </w:tcBorders>
            <w:vAlign w:val="center"/>
          </w:tcPr>
          <w:p w14:paraId="2EAEE9D6">
            <w:pPr>
              <w:jc w:val="center"/>
              <w:rPr>
                <w:rFonts w:ascii="Times New Roman" w:hAnsi="Times New Roman" w:eastAsia="宋体" w:cs="Times New Roman"/>
                <w:sz w:val="18"/>
                <w:szCs w:val="18"/>
                <w:lang w:eastAsia="zh-CN"/>
              </w:rPr>
            </w:pPr>
            <w:r>
              <w:rPr>
                <w:rStyle w:val="8"/>
                <w:rFonts w:hint="eastAsia" w:ascii="Times New Roman" w:hAnsi="Times New Roman" w:eastAsia="宋体" w:cs="Times New Roman"/>
                <w:sz w:val="18"/>
                <w:szCs w:val="18"/>
                <w:lang w:eastAsia="zh-CN" w:bidi="ar"/>
              </w:rPr>
              <w:t>step</w:t>
            </w:r>
          </w:p>
        </w:tc>
        <w:tc>
          <w:tcPr>
            <w:tcW w:w="2137" w:type="dxa"/>
            <w:tcBorders>
              <w:top w:val="single" w:color="auto" w:sz="4" w:space="0"/>
              <w:left w:val="single" w:color="auto" w:sz="4" w:space="0"/>
              <w:bottom w:val="single" w:color="auto" w:sz="4" w:space="0"/>
              <w:right w:val="single" w:color="auto" w:sz="4" w:space="0"/>
            </w:tcBorders>
            <w:vAlign w:val="center"/>
          </w:tcPr>
          <w:p w14:paraId="074D8DAA">
            <w:pPr>
              <w:jc w:val="center"/>
              <w:rPr>
                <w:rFonts w:ascii="Times New Roman" w:hAnsi="Times New Roman" w:cs="Times New Roman"/>
                <w:sz w:val="18"/>
                <w:szCs w:val="18"/>
              </w:rPr>
            </w:pPr>
            <w:r>
              <w:rPr>
                <w:rFonts w:hint="eastAsia" w:ascii="Times New Roman" w:hAnsi="Times New Roman" w:eastAsia="宋体" w:cs="Times New Roman"/>
                <w:b/>
                <w:bCs/>
                <w:sz w:val="18"/>
                <w:szCs w:val="18"/>
                <w:lang w:eastAsia="zh-CN" w:bidi="ar"/>
              </w:rPr>
              <w:t>T</w:t>
            </w:r>
            <w:r>
              <w:rPr>
                <w:rFonts w:ascii="Times New Roman" w:hAnsi="Times New Roman" w:eastAsia="宋体" w:cs="Times New Roman"/>
                <w:b/>
                <w:bCs/>
                <w:sz w:val="18"/>
                <w:szCs w:val="18"/>
                <w:lang w:eastAsia="zh-CN" w:bidi="ar"/>
              </w:rPr>
              <w:t>erm</w:t>
            </w:r>
          </w:p>
        </w:tc>
        <w:tc>
          <w:tcPr>
            <w:tcW w:w="3694" w:type="dxa"/>
            <w:tcBorders>
              <w:top w:val="single" w:color="auto" w:sz="4" w:space="0"/>
              <w:left w:val="single" w:color="auto" w:sz="4" w:space="0"/>
              <w:bottom w:val="single" w:color="auto" w:sz="4" w:space="0"/>
              <w:right w:val="single" w:color="auto" w:sz="4" w:space="0"/>
            </w:tcBorders>
            <w:vAlign w:val="center"/>
          </w:tcPr>
          <w:p w14:paraId="45405AD8">
            <w:pPr>
              <w:jc w:val="center"/>
              <w:rPr>
                <w:rFonts w:ascii="Times New Roman" w:hAnsi="Times New Roman" w:eastAsia="宋体" w:cs="Times New Roman"/>
                <w:b/>
                <w:bCs/>
                <w:sz w:val="18"/>
                <w:szCs w:val="18"/>
                <w:lang w:eastAsia="zh-CN" w:bidi="ar"/>
              </w:rPr>
            </w:pPr>
            <w:r>
              <w:rPr>
                <w:rFonts w:hint="eastAsia" w:ascii="Times New Roman" w:hAnsi="Times New Roman" w:eastAsia="宋体" w:cs="Times New Roman"/>
                <w:b/>
                <w:bCs/>
                <w:sz w:val="18"/>
                <w:szCs w:val="18"/>
                <w:lang w:eastAsia="zh-CN" w:bidi="ar"/>
              </w:rPr>
              <w:t>Explanation</w:t>
            </w:r>
          </w:p>
        </w:tc>
        <w:tc>
          <w:tcPr>
            <w:tcW w:w="3063" w:type="dxa"/>
            <w:tcBorders>
              <w:top w:val="single" w:color="auto" w:sz="4" w:space="0"/>
              <w:left w:val="single" w:color="auto" w:sz="4" w:space="0"/>
              <w:bottom w:val="single" w:color="auto" w:sz="4" w:space="0"/>
              <w:right w:val="single" w:color="auto" w:sz="4" w:space="0"/>
            </w:tcBorders>
            <w:vAlign w:val="center"/>
          </w:tcPr>
          <w:p w14:paraId="50E9F120">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metaphor</w:t>
            </w:r>
          </w:p>
        </w:tc>
      </w:tr>
      <w:tr w14:paraId="10766805">
        <w:tblPrEx>
          <w:tblCellMar>
            <w:top w:w="43" w:type="dxa"/>
            <w:left w:w="0" w:type="dxa"/>
            <w:bottom w:w="0" w:type="dxa"/>
            <w:right w:w="0" w:type="dxa"/>
          </w:tblCellMar>
        </w:tblPrEx>
        <w:trPr>
          <w:trHeight w:val="282"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1E727BF4">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6</w:t>
            </w:r>
          </w:p>
        </w:tc>
        <w:tc>
          <w:tcPr>
            <w:tcW w:w="2137" w:type="dxa"/>
            <w:tcBorders>
              <w:top w:val="single" w:color="auto" w:sz="4" w:space="0"/>
              <w:left w:val="single" w:color="auto" w:sz="4" w:space="0"/>
              <w:bottom w:val="single" w:color="auto" w:sz="4" w:space="0"/>
              <w:right w:val="single" w:color="auto" w:sz="4" w:space="0"/>
            </w:tcBorders>
            <w:vAlign w:val="center"/>
          </w:tcPr>
          <w:p w14:paraId="290A0999">
            <w:pPr>
              <w:jc w:val="center"/>
              <w:rPr>
                <w:rFonts w:ascii="Times New Roman" w:hAnsi="Times New Roman" w:cs="Times New Roman"/>
                <w:sz w:val="18"/>
                <w:szCs w:val="18"/>
              </w:rPr>
            </w:pPr>
            <w:r>
              <w:rPr>
                <w:rFonts w:ascii="Times New Roman" w:hAnsi="Times New Roman" w:cs="Times New Roman"/>
                <w:sz w:val="18"/>
                <w:szCs w:val="18"/>
              </w:rPr>
              <w:t>Energy proxy</w:t>
            </w:r>
          </w:p>
        </w:tc>
        <w:tc>
          <w:tcPr>
            <w:tcW w:w="3694" w:type="dxa"/>
            <w:tcBorders>
              <w:top w:val="single" w:color="auto" w:sz="4" w:space="0"/>
              <w:left w:val="single" w:color="auto" w:sz="4" w:space="0"/>
              <w:bottom w:val="single" w:color="auto" w:sz="4" w:space="0"/>
              <w:right w:val="single" w:color="auto" w:sz="4" w:space="0"/>
            </w:tcBorders>
            <w:vAlign w:val="center"/>
          </w:tcPr>
          <w:p w14:paraId="011EF0C7">
            <w:pPr>
              <w:jc w:val="center"/>
              <w:rPr>
                <w:rFonts w:ascii="Times New Roman" w:hAnsi="Times New Roman" w:eastAsia="宋体" w:cs="Times New Roman"/>
                <w:sz w:val="18"/>
                <w:szCs w:val="18"/>
                <w:lang w:eastAsia="zh-CN" w:bidi="ar"/>
              </w:rPr>
            </w:pPr>
            <w:r>
              <w:rPr>
                <w:rFonts w:ascii="Times New Roman" w:hAnsi="Times New Roman" w:cs="Times New Roman"/>
                <w:sz w:val="18"/>
                <w:szCs w:val="18"/>
              </w:rPr>
              <w:t>Approximate energy via FLOPs/latency/memory</w:t>
            </w:r>
          </w:p>
        </w:tc>
        <w:tc>
          <w:tcPr>
            <w:tcW w:w="3063" w:type="dxa"/>
            <w:vMerge w:val="restart"/>
            <w:tcBorders>
              <w:top w:val="single" w:color="auto" w:sz="4" w:space="0"/>
              <w:left w:val="single" w:color="auto" w:sz="4" w:space="0"/>
              <w:bottom w:val="single" w:color="auto" w:sz="4" w:space="0"/>
              <w:right w:val="single" w:color="auto" w:sz="4" w:space="0"/>
            </w:tcBorders>
            <w:vAlign w:val="center"/>
          </w:tcPr>
          <w:p w14:paraId="1B07ACA1">
            <w:pPr>
              <w:jc w:val="center"/>
              <w:rPr>
                <w:rFonts w:ascii="Times New Roman" w:hAnsi="Times New Roman" w:eastAsia="宋体" w:cs="Times New Roman"/>
                <w:sz w:val="18"/>
                <w:szCs w:val="18"/>
                <w:lang w:eastAsia="zh-CN" w:bidi="ar"/>
              </w:rPr>
            </w:pPr>
            <w:r>
              <w:rPr>
                <w:rFonts w:ascii="Times New Roman" w:hAnsi="Times New Roman" w:cs="Times New Roman"/>
                <w:sz w:val="18"/>
                <w:szCs w:val="18"/>
              </w:rPr>
              <w:t>Frequent tasting improves accuracy but increases effort/time; infrequent tasting saves effort/energy but risks degraded quality</w:t>
            </w:r>
          </w:p>
        </w:tc>
      </w:tr>
      <w:tr w14:paraId="502BD8B7">
        <w:tblPrEx>
          <w:tblCellMar>
            <w:top w:w="43" w:type="dxa"/>
            <w:left w:w="0" w:type="dxa"/>
            <w:bottom w:w="0" w:type="dxa"/>
            <w:right w:w="0" w:type="dxa"/>
          </w:tblCellMar>
        </w:tblPrEx>
        <w:trPr>
          <w:trHeight w:val="28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29814A64">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600FB3DB">
            <w:pPr>
              <w:jc w:val="center"/>
              <w:rPr>
                <w:rFonts w:ascii="Times New Roman" w:hAnsi="Times New Roman" w:cs="Times New Roman"/>
                <w:sz w:val="18"/>
                <w:szCs w:val="18"/>
              </w:rPr>
            </w:pPr>
            <w:r>
              <w:rPr>
                <w:rFonts w:ascii="Times New Roman" w:hAnsi="Times New Roman" w:cs="Times New Roman"/>
                <w:sz w:val="18"/>
                <w:szCs w:val="18"/>
              </w:rPr>
              <w:t>Sampling-rate optimization</w:t>
            </w:r>
          </w:p>
        </w:tc>
        <w:tc>
          <w:tcPr>
            <w:tcW w:w="3694" w:type="dxa"/>
            <w:tcBorders>
              <w:top w:val="single" w:color="auto" w:sz="4" w:space="0"/>
              <w:left w:val="single" w:color="auto" w:sz="4" w:space="0"/>
              <w:bottom w:val="single" w:color="auto" w:sz="4" w:space="0"/>
              <w:right w:val="single" w:color="auto" w:sz="4" w:space="0"/>
            </w:tcBorders>
            <w:vAlign w:val="center"/>
          </w:tcPr>
          <w:p w14:paraId="5573D2BA">
            <w:pPr>
              <w:jc w:val="center"/>
              <w:rPr>
                <w:rFonts w:ascii="Times New Roman" w:hAnsi="Times New Roman" w:cs="Times New Roman"/>
                <w:sz w:val="18"/>
                <w:szCs w:val="18"/>
              </w:rPr>
            </w:pPr>
            <w:r>
              <w:rPr>
                <w:rFonts w:ascii="Times New Roman" w:hAnsi="Times New Roman" w:cs="Times New Roman"/>
                <w:sz w:val="18"/>
                <w:szCs w:val="18"/>
              </w:rPr>
              <w:t>Lower rate to save power with accuracy kept</w:t>
            </w:r>
          </w:p>
        </w:tc>
        <w:tc>
          <w:tcPr>
            <w:tcW w:w="3063" w:type="dxa"/>
            <w:vMerge w:val="continue"/>
            <w:tcBorders>
              <w:top w:val="single" w:color="auto" w:sz="4" w:space="0"/>
              <w:left w:val="single" w:color="auto" w:sz="4" w:space="0"/>
              <w:bottom w:val="single" w:color="auto" w:sz="4" w:space="0"/>
              <w:right w:val="single" w:color="auto" w:sz="4" w:space="0"/>
            </w:tcBorders>
            <w:vAlign w:val="center"/>
          </w:tcPr>
          <w:p w14:paraId="57681CF5">
            <w:pPr>
              <w:jc w:val="center"/>
              <w:rPr>
                <w:rFonts w:ascii="Times New Roman" w:hAnsi="Times New Roman" w:cs="Times New Roman"/>
                <w:sz w:val="18"/>
                <w:szCs w:val="18"/>
              </w:rPr>
            </w:pPr>
          </w:p>
        </w:tc>
      </w:tr>
      <w:tr w14:paraId="1BF1A22C">
        <w:tblPrEx>
          <w:tblCellMar>
            <w:top w:w="43" w:type="dxa"/>
            <w:left w:w="0" w:type="dxa"/>
            <w:bottom w:w="0" w:type="dxa"/>
            <w:right w:w="0" w:type="dxa"/>
          </w:tblCellMar>
        </w:tblPrEx>
        <w:trPr>
          <w:trHeight w:val="28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3D25CC08">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6E1129CB">
            <w:pPr>
              <w:jc w:val="center"/>
              <w:rPr>
                <w:rFonts w:ascii="Times New Roman" w:hAnsi="Times New Roman" w:cs="Times New Roman"/>
                <w:sz w:val="18"/>
                <w:szCs w:val="18"/>
              </w:rPr>
            </w:pPr>
            <w:r>
              <w:rPr>
                <w:rFonts w:ascii="Times New Roman" w:hAnsi="Times New Roman" w:cs="Times New Roman"/>
                <w:sz w:val="18"/>
                <w:szCs w:val="18"/>
              </w:rPr>
              <w:t>Latency</w:t>
            </w:r>
          </w:p>
        </w:tc>
        <w:tc>
          <w:tcPr>
            <w:tcW w:w="3694" w:type="dxa"/>
            <w:tcBorders>
              <w:top w:val="single" w:color="auto" w:sz="4" w:space="0"/>
              <w:left w:val="single" w:color="auto" w:sz="4" w:space="0"/>
              <w:bottom w:val="single" w:color="auto" w:sz="4" w:space="0"/>
              <w:right w:val="single" w:color="auto" w:sz="4" w:space="0"/>
            </w:tcBorders>
            <w:vAlign w:val="center"/>
          </w:tcPr>
          <w:p w14:paraId="237D3740">
            <w:pPr>
              <w:jc w:val="center"/>
              <w:rPr>
                <w:rFonts w:ascii="Times New Roman" w:hAnsi="Times New Roman" w:cs="Times New Roman"/>
                <w:sz w:val="18"/>
                <w:szCs w:val="18"/>
              </w:rPr>
            </w:pPr>
            <w:r>
              <w:rPr>
                <w:rFonts w:ascii="Times New Roman" w:hAnsi="Times New Roman" w:cs="Times New Roman"/>
                <w:sz w:val="18"/>
                <w:szCs w:val="18"/>
              </w:rPr>
              <w:t>Time to produce a result</w:t>
            </w:r>
          </w:p>
        </w:tc>
        <w:tc>
          <w:tcPr>
            <w:tcW w:w="3063" w:type="dxa"/>
            <w:tcBorders>
              <w:top w:val="single" w:color="auto" w:sz="4" w:space="0"/>
              <w:left w:val="single" w:color="auto" w:sz="4" w:space="0"/>
              <w:bottom w:val="single" w:color="auto" w:sz="4" w:space="0"/>
              <w:right w:val="single" w:color="auto" w:sz="4" w:space="0"/>
            </w:tcBorders>
            <w:vAlign w:val="center"/>
          </w:tcPr>
          <w:p w14:paraId="15BD5850">
            <w:pPr>
              <w:jc w:val="center"/>
              <w:rPr>
                <w:rFonts w:ascii="Times New Roman" w:hAnsi="Times New Roman" w:cs="Times New Roman"/>
                <w:sz w:val="18"/>
                <w:szCs w:val="18"/>
              </w:rPr>
            </w:pPr>
            <w:r>
              <w:rPr>
                <w:rFonts w:ascii="Times New Roman" w:hAnsi="Times New Roman" w:cs="Times New Roman"/>
                <w:sz w:val="18"/>
                <w:szCs w:val="18"/>
              </w:rPr>
              <w:t>Order-to-table latency</w:t>
            </w:r>
          </w:p>
        </w:tc>
      </w:tr>
      <w:tr w14:paraId="41B21DDD">
        <w:trPr>
          <w:trHeight w:val="28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1FE732CD">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03949A86">
            <w:pPr>
              <w:jc w:val="center"/>
              <w:rPr>
                <w:rFonts w:ascii="Times New Roman" w:hAnsi="Times New Roman" w:cs="Times New Roman"/>
                <w:sz w:val="18"/>
                <w:szCs w:val="18"/>
              </w:rPr>
            </w:pPr>
            <w:r>
              <w:rPr>
                <w:rFonts w:ascii="Times New Roman" w:hAnsi="Times New Roman" w:cs="Times New Roman"/>
                <w:sz w:val="18"/>
                <w:szCs w:val="18"/>
              </w:rPr>
              <w:t>Pareto trade-off</w:t>
            </w:r>
          </w:p>
        </w:tc>
        <w:tc>
          <w:tcPr>
            <w:tcW w:w="3694" w:type="dxa"/>
            <w:tcBorders>
              <w:top w:val="single" w:color="auto" w:sz="4" w:space="0"/>
              <w:left w:val="single" w:color="auto" w:sz="4" w:space="0"/>
              <w:bottom w:val="single" w:color="auto" w:sz="4" w:space="0"/>
              <w:right w:val="single" w:color="auto" w:sz="4" w:space="0"/>
            </w:tcBorders>
            <w:vAlign w:val="center"/>
          </w:tcPr>
          <w:p w14:paraId="76F8B50F">
            <w:pPr>
              <w:jc w:val="center"/>
              <w:rPr>
                <w:rFonts w:ascii="Times New Roman" w:hAnsi="Times New Roman" w:cs="Times New Roman"/>
                <w:sz w:val="18"/>
                <w:szCs w:val="18"/>
              </w:rPr>
            </w:pPr>
            <w:r>
              <w:rPr>
                <w:rFonts w:ascii="Times New Roman" w:hAnsi="Times New Roman" w:cs="Times New Roman"/>
                <w:sz w:val="18"/>
                <w:szCs w:val="18"/>
              </w:rPr>
              <w:t>Non‑dominated trade‑off frontier</w:t>
            </w:r>
          </w:p>
        </w:tc>
        <w:tc>
          <w:tcPr>
            <w:tcW w:w="3063" w:type="dxa"/>
            <w:tcBorders>
              <w:top w:val="single" w:color="auto" w:sz="4" w:space="0"/>
              <w:left w:val="single" w:color="auto" w:sz="4" w:space="0"/>
              <w:bottom w:val="single" w:color="auto" w:sz="4" w:space="0"/>
              <w:right w:val="single" w:color="auto" w:sz="4" w:space="0"/>
            </w:tcBorders>
            <w:vAlign w:val="center"/>
          </w:tcPr>
          <w:p w14:paraId="3E46EAFF">
            <w:pPr>
              <w:jc w:val="center"/>
              <w:rPr>
                <w:rFonts w:ascii="Times New Roman" w:hAnsi="Times New Roman" w:cs="Times New Roman"/>
                <w:sz w:val="18"/>
                <w:szCs w:val="18"/>
              </w:rPr>
            </w:pPr>
            <w:r>
              <w:rPr>
                <w:rFonts w:ascii="Times New Roman" w:hAnsi="Times New Roman" w:cs="Times New Roman"/>
                <w:sz w:val="18"/>
                <w:szCs w:val="18"/>
              </w:rPr>
              <w:t>Simultaneous multi-objective optimisation (better flavour, lower cost, faster, lower energy)</w:t>
            </w:r>
          </w:p>
        </w:tc>
      </w:tr>
      <w:tr w14:paraId="7A6C61BA">
        <w:tblPrEx>
          <w:tblCellMar>
            <w:top w:w="43" w:type="dxa"/>
            <w:left w:w="0" w:type="dxa"/>
            <w:bottom w:w="0" w:type="dxa"/>
            <w:right w:w="0" w:type="dxa"/>
          </w:tblCellMar>
        </w:tblPrEx>
        <w:trPr>
          <w:trHeight w:val="366"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69309055">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7</w:t>
            </w:r>
          </w:p>
        </w:tc>
        <w:tc>
          <w:tcPr>
            <w:tcW w:w="2137" w:type="dxa"/>
            <w:tcBorders>
              <w:top w:val="single" w:color="auto" w:sz="4" w:space="0"/>
              <w:left w:val="single" w:color="auto" w:sz="4" w:space="0"/>
              <w:bottom w:val="single" w:color="auto" w:sz="4" w:space="0"/>
              <w:right w:val="single" w:color="auto" w:sz="4" w:space="0"/>
            </w:tcBorders>
            <w:vAlign w:val="center"/>
          </w:tcPr>
          <w:p w14:paraId="071E000C">
            <w:pPr>
              <w:jc w:val="center"/>
              <w:rPr>
                <w:rFonts w:ascii="Times New Roman" w:hAnsi="Times New Roman" w:cs="Times New Roman"/>
                <w:sz w:val="18"/>
                <w:szCs w:val="18"/>
              </w:rPr>
            </w:pPr>
            <w:r>
              <w:rPr>
                <w:rFonts w:ascii="Times New Roman" w:hAnsi="Times New Roman" w:cs="Times New Roman"/>
                <w:sz w:val="18"/>
                <w:szCs w:val="18"/>
              </w:rPr>
              <w:t>Quantization</w:t>
            </w:r>
          </w:p>
        </w:tc>
        <w:tc>
          <w:tcPr>
            <w:tcW w:w="3694" w:type="dxa"/>
            <w:tcBorders>
              <w:top w:val="single" w:color="auto" w:sz="4" w:space="0"/>
              <w:left w:val="single" w:color="auto" w:sz="4" w:space="0"/>
              <w:bottom w:val="single" w:color="auto" w:sz="4" w:space="0"/>
              <w:right w:val="single" w:color="auto" w:sz="4" w:space="0"/>
            </w:tcBorders>
            <w:vAlign w:val="center"/>
          </w:tcPr>
          <w:p w14:paraId="24F486CE">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Use 8‑bit or lower weights</w:t>
            </w:r>
          </w:p>
        </w:tc>
        <w:tc>
          <w:tcPr>
            <w:tcW w:w="3063" w:type="dxa"/>
            <w:tcBorders>
              <w:top w:val="single" w:color="auto" w:sz="4" w:space="0"/>
              <w:left w:val="single" w:color="auto" w:sz="4" w:space="0"/>
              <w:bottom w:val="single" w:color="auto" w:sz="4" w:space="0"/>
              <w:right w:val="single" w:color="auto" w:sz="4" w:space="0"/>
            </w:tcBorders>
            <w:vAlign w:val="center"/>
          </w:tcPr>
          <w:p w14:paraId="53E45A63">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From gram-accurate weighing to spoon-based measurement</w:t>
            </w:r>
          </w:p>
        </w:tc>
      </w:tr>
      <w:tr w14:paraId="4E6FD603">
        <w:tblPrEx>
          <w:tblCellMar>
            <w:top w:w="43" w:type="dxa"/>
            <w:left w:w="0" w:type="dxa"/>
            <w:bottom w:w="0" w:type="dxa"/>
            <w:right w:w="0" w:type="dxa"/>
          </w:tblCellMar>
        </w:tblPrEx>
        <w:trPr>
          <w:trHeight w:val="366"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2AEE0DA4">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098E03CE">
            <w:pPr>
              <w:jc w:val="center"/>
              <w:rPr>
                <w:rFonts w:ascii="Times New Roman" w:hAnsi="Times New Roman" w:cs="Times New Roman"/>
                <w:sz w:val="18"/>
                <w:szCs w:val="18"/>
              </w:rPr>
            </w:pPr>
            <w:r>
              <w:rPr>
                <w:rFonts w:ascii="Times New Roman" w:hAnsi="Times New Roman" w:cs="Times New Roman"/>
                <w:sz w:val="18"/>
                <w:szCs w:val="18"/>
              </w:rPr>
              <w:t>Distillation</w:t>
            </w:r>
          </w:p>
        </w:tc>
        <w:tc>
          <w:tcPr>
            <w:tcW w:w="3694" w:type="dxa"/>
            <w:tcBorders>
              <w:top w:val="single" w:color="auto" w:sz="4" w:space="0"/>
              <w:left w:val="single" w:color="auto" w:sz="4" w:space="0"/>
              <w:bottom w:val="single" w:color="auto" w:sz="4" w:space="0"/>
              <w:right w:val="single" w:color="auto" w:sz="4" w:space="0"/>
            </w:tcBorders>
            <w:vAlign w:val="center"/>
          </w:tcPr>
          <w:p w14:paraId="2834A44B">
            <w:pPr>
              <w:jc w:val="center"/>
              <w:rPr>
                <w:rFonts w:ascii="Times New Roman" w:hAnsi="Times New Roman" w:cs="Times New Roman"/>
                <w:sz w:val="18"/>
                <w:szCs w:val="18"/>
              </w:rPr>
            </w:pPr>
            <w:r>
              <w:rPr>
                <w:rFonts w:ascii="Times New Roman" w:hAnsi="Times New Roman" w:cs="Times New Roman"/>
                <w:sz w:val="18"/>
                <w:szCs w:val="18"/>
              </w:rPr>
              <w:t>Big teacher trains small student</w:t>
            </w:r>
          </w:p>
        </w:tc>
        <w:tc>
          <w:tcPr>
            <w:tcW w:w="3063" w:type="dxa"/>
            <w:tcBorders>
              <w:top w:val="single" w:color="auto" w:sz="4" w:space="0"/>
              <w:left w:val="single" w:color="auto" w:sz="4" w:space="0"/>
              <w:bottom w:val="single" w:color="auto" w:sz="4" w:space="0"/>
              <w:right w:val="single" w:color="auto" w:sz="4" w:space="0"/>
            </w:tcBorders>
            <w:vAlign w:val="center"/>
          </w:tcPr>
          <w:p w14:paraId="068F9C67">
            <w:pPr>
              <w:jc w:val="center"/>
              <w:rPr>
                <w:rFonts w:ascii="Times New Roman" w:hAnsi="Times New Roman" w:cs="Times New Roman"/>
                <w:sz w:val="18"/>
                <w:szCs w:val="18"/>
              </w:rPr>
            </w:pPr>
            <w:r>
              <w:rPr>
                <w:rFonts w:ascii="Times New Roman" w:hAnsi="Times New Roman" w:cs="Times New Roman"/>
                <w:sz w:val="18"/>
                <w:szCs w:val="18"/>
              </w:rPr>
              <w:t>Produce near-expert quality using smaller cookware and fewer ingredients</w:t>
            </w:r>
          </w:p>
        </w:tc>
      </w:tr>
      <w:tr w14:paraId="39677F1F">
        <w:tblPrEx>
          <w:tblCellMar>
            <w:top w:w="43" w:type="dxa"/>
            <w:left w:w="0" w:type="dxa"/>
            <w:bottom w:w="0" w:type="dxa"/>
            <w:right w:w="0" w:type="dxa"/>
          </w:tblCellMar>
        </w:tblPrEx>
        <w:trPr>
          <w:trHeight w:val="366"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33720C94">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39595B4A">
            <w:pPr>
              <w:jc w:val="center"/>
              <w:rPr>
                <w:rFonts w:ascii="Times New Roman" w:hAnsi="Times New Roman" w:cs="Times New Roman"/>
                <w:sz w:val="18"/>
                <w:szCs w:val="18"/>
              </w:rPr>
            </w:pPr>
            <w:r>
              <w:rPr>
                <w:rFonts w:ascii="Times New Roman" w:hAnsi="Times New Roman" w:cs="Times New Roman"/>
                <w:sz w:val="18"/>
                <w:szCs w:val="18"/>
              </w:rPr>
              <w:t>Structured pruning</w:t>
            </w:r>
          </w:p>
        </w:tc>
        <w:tc>
          <w:tcPr>
            <w:tcW w:w="3694" w:type="dxa"/>
            <w:tcBorders>
              <w:top w:val="single" w:color="auto" w:sz="4" w:space="0"/>
              <w:left w:val="single" w:color="auto" w:sz="4" w:space="0"/>
              <w:bottom w:val="single" w:color="auto" w:sz="4" w:space="0"/>
              <w:right w:val="single" w:color="auto" w:sz="4" w:space="0"/>
            </w:tcBorders>
            <w:vAlign w:val="center"/>
          </w:tcPr>
          <w:p w14:paraId="340FF156">
            <w:pPr>
              <w:jc w:val="center"/>
              <w:rPr>
                <w:rFonts w:ascii="Times New Roman" w:hAnsi="Times New Roman" w:cs="Times New Roman"/>
                <w:sz w:val="18"/>
                <w:szCs w:val="18"/>
              </w:rPr>
            </w:pPr>
            <w:r>
              <w:rPr>
                <w:rFonts w:ascii="Times New Roman" w:hAnsi="Times New Roman" w:cs="Times New Roman"/>
                <w:sz w:val="18"/>
                <w:szCs w:val="18"/>
              </w:rPr>
              <w:t>Remove channels/blocks to speed up</w:t>
            </w:r>
          </w:p>
        </w:tc>
        <w:tc>
          <w:tcPr>
            <w:tcW w:w="3063" w:type="dxa"/>
            <w:tcBorders>
              <w:top w:val="single" w:color="auto" w:sz="4" w:space="0"/>
              <w:left w:val="single" w:color="auto" w:sz="4" w:space="0"/>
              <w:bottom w:val="single" w:color="auto" w:sz="4" w:space="0"/>
              <w:right w:val="single" w:color="auto" w:sz="4" w:space="0"/>
            </w:tcBorders>
            <w:vAlign w:val="center"/>
          </w:tcPr>
          <w:p w14:paraId="62AA46B5">
            <w:pPr>
              <w:jc w:val="center"/>
              <w:rPr>
                <w:rFonts w:ascii="Times New Roman" w:hAnsi="Times New Roman" w:cs="Times New Roman"/>
                <w:sz w:val="18"/>
                <w:szCs w:val="18"/>
              </w:rPr>
            </w:pPr>
            <w:r>
              <w:rPr>
                <w:rFonts w:ascii="Times New Roman" w:hAnsi="Times New Roman" w:cs="Times New Roman"/>
                <w:sz w:val="18"/>
                <w:szCs w:val="18"/>
              </w:rPr>
              <w:t>Remove an entire side dish or whole processing stage from the menu</w:t>
            </w:r>
          </w:p>
        </w:tc>
      </w:tr>
      <w:tr w14:paraId="40E88D59">
        <w:tblPrEx>
          <w:tblCellMar>
            <w:top w:w="43" w:type="dxa"/>
            <w:left w:w="0" w:type="dxa"/>
            <w:bottom w:w="0" w:type="dxa"/>
            <w:right w:w="0" w:type="dxa"/>
          </w:tblCellMar>
        </w:tblPrEx>
        <w:trPr>
          <w:trHeight w:val="366"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52849B48">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4445FCE3">
            <w:pPr>
              <w:jc w:val="center"/>
              <w:rPr>
                <w:rFonts w:ascii="Times New Roman" w:hAnsi="Times New Roman" w:cs="Times New Roman"/>
                <w:sz w:val="18"/>
                <w:szCs w:val="18"/>
              </w:rPr>
            </w:pPr>
            <w:r>
              <w:rPr>
                <w:rFonts w:ascii="Times New Roman" w:hAnsi="Times New Roman" w:cs="Times New Roman"/>
                <w:sz w:val="18"/>
                <w:szCs w:val="18"/>
              </w:rPr>
              <w:t>Sparsification</w:t>
            </w:r>
          </w:p>
        </w:tc>
        <w:tc>
          <w:tcPr>
            <w:tcW w:w="3694" w:type="dxa"/>
            <w:tcBorders>
              <w:top w:val="single" w:color="auto" w:sz="4" w:space="0"/>
              <w:left w:val="single" w:color="auto" w:sz="4" w:space="0"/>
              <w:bottom w:val="single" w:color="auto" w:sz="4" w:space="0"/>
              <w:right w:val="single" w:color="auto" w:sz="4" w:space="0"/>
            </w:tcBorders>
            <w:vAlign w:val="center"/>
          </w:tcPr>
          <w:p w14:paraId="4C03613D">
            <w:pPr>
              <w:jc w:val="center"/>
              <w:rPr>
                <w:rFonts w:ascii="Times New Roman" w:hAnsi="Times New Roman" w:cs="Times New Roman"/>
                <w:sz w:val="18"/>
                <w:szCs w:val="18"/>
              </w:rPr>
            </w:pPr>
            <w:r>
              <w:rPr>
                <w:rFonts w:ascii="Times New Roman" w:hAnsi="Times New Roman" w:cs="Times New Roman"/>
                <w:sz w:val="18"/>
                <w:szCs w:val="18"/>
              </w:rPr>
              <w:t>Make many weights zero</w:t>
            </w:r>
          </w:p>
        </w:tc>
        <w:tc>
          <w:tcPr>
            <w:tcW w:w="3063" w:type="dxa"/>
            <w:tcBorders>
              <w:top w:val="single" w:color="auto" w:sz="4" w:space="0"/>
              <w:left w:val="single" w:color="auto" w:sz="4" w:space="0"/>
              <w:bottom w:val="single" w:color="auto" w:sz="4" w:space="0"/>
              <w:right w:val="single" w:color="auto" w:sz="4" w:space="0"/>
            </w:tcBorders>
            <w:vAlign w:val="center"/>
          </w:tcPr>
          <w:p w14:paraId="38B633A8">
            <w:pPr>
              <w:jc w:val="center"/>
              <w:rPr>
                <w:rFonts w:ascii="Times New Roman" w:hAnsi="Times New Roman" w:cs="Times New Roman"/>
                <w:sz w:val="18"/>
                <w:szCs w:val="18"/>
              </w:rPr>
            </w:pPr>
            <w:r>
              <w:rPr>
                <w:rFonts w:ascii="Times New Roman" w:hAnsi="Times New Roman" w:cs="Times New Roman"/>
                <w:sz w:val="18"/>
                <w:szCs w:val="18"/>
              </w:rPr>
              <w:t>Retain a minimal set of essential spices for seasoning</w:t>
            </w:r>
          </w:p>
        </w:tc>
      </w:tr>
      <w:tr w14:paraId="4E9D3C1C">
        <w:tblPrEx>
          <w:tblCellMar>
            <w:top w:w="43" w:type="dxa"/>
            <w:left w:w="0" w:type="dxa"/>
            <w:bottom w:w="0" w:type="dxa"/>
            <w:right w:w="0" w:type="dxa"/>
          </w:tblCellMar>
        </w:tblPrEx>
        <w:trPr>
          <w:trHeight w:val="460"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34835697">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8</w:t>
            </w:r>
          </w:p>
        </w:tc>
        <w:tc>
          <w:tcPr>
            <w:tcW w:w="2137" w:type="dxa"/>
            <w:tcBorders>
              <w:top w:val="single" w:color="auto" w:sz="4" w:space="0"/>
              <w:left w:val="single" w:color="auto" w:sz="4" w:space="0"/>
              <w:bottom w:val="single" w:color="auto" w:sz="4" w:space="0"/>
              <w:right w:val="single" w:color="auto" w:sz="4" w:space="0"/>
            </w:tcBorders>
            <w:vAlign w:val="center"/>
          </w:tcPr>
          <w:p w14:paraId="2D9DAEBB">
            <w:pPr>
              <w:jc w:val="center"/>
              <w:rPr>
                <w:rFonts w:ascii="Times New Roman" w:hAnsi="Times New Roman" w:cs="Times New Roman"/>
                <w:sz w:val="18"/>
                <w:szCs w:val="18"/>
              </w:rPr>
            </w:pPr>
            <w:r>
              <w:rPr>
                <w:rFonts w:ascii="Times New Roman" w:hAnsi="Times New Roman" w:cs="Times New Roman"/>
                <w:sz w:val="18"/>
                <w:szCs w:val="18"/>
              </w:rPr>
              <w:t>Downsampling</w:t>
            </w:r>
          </w:p>
        </w:tc>
        <w:tc>
          <w:tcPr>
            <w:tcW w:w="3694" w:type="dxa"/>
            <w:tcBorders>
              <w:top w:val="single" w:color="auto" w:sz="4" w:space="0"/>
              <w:left w:val="single" w:color="auto" w:sz="4" w:space="0"/>
              <w:bottom w:val="single" w:color="auto" w:sz="4" w:space="0"/>
              <w:right w:val="single" w:color="auto" w:sz="4" w:space="0"/>
            </w:tcBorders>
            <w:vAlign w:val="center"/>
          </w:tcPr>
          <w:p w14:paraId="1545078A">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Fewer time samples</w:t>
            </w:r>
          </w:p>
        </w:tc>
        <w:tc>
          <w:tcPr>
            <w:tcW w:w="3063" w:type="dxa"/>
            <w:tcBorders>
              <w:top w:val="single" w:color="auto" w:sz="4" w:space="0"/>
              <w:left w:val="single" w:color="auto" w:sz="4" w:space="0"/>
              <w:bottom w:val="single" w:color="auto" w:sz="4" w:space="0"/>
              <w:right w:val="single" w:color="auto" w:sz="4" w:space="0"/>
            </w:tcBorders>
            <w:vAlign w:val="center"/>
          </w:tcPr>
          <w:p w14:paraId="143EF72D">
            <w:pPr>
              <w:jc w:val="center"/>
              <w:rPr>
                <w:rFonts w:ascii="Times New Roman" w:hAnsi="Times New Roman" w:cs="Times New Roman"/>
                <w:sz w:val="18"/>
                <w:szCs w:val="18"/>
              </w:rPr>
            </w:pPr>
            <w:r>
              <w:rPr>
                <w:rFonts w:ascii="Times New Roman" w:hAnsi="Times New Roman" w:cs="Times New Roman"/>
                <w:sz w:val="18"/>
                <w:szCs w:val="18"/>
              </w:rPr>
              <w:t>Taste less frequently (increase the sampling interval)</w:t>
            </w:r>
          </w:p>
        </w:tc>
      </w:tr>
      <w:tr w14:paraId="4F69F568">
        <w:trPr>
          <w:trHeight w:val="460"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0117D1F2">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09DDE73E">
            <w:pPr>
              <w:jc w:val="center"/>
              <w:rPr>
                <w:rFonts w:ascii="Times New Roman" w:hAnsi="Times New Roman" w:cs="Times New Roman"/>
                <w:sz w:val="18"/>
                <w:szCs w:val="18"/>
              </w:rPr>
            </w:pPr>
            <w:r>
              <w:rPr>
                <w:rFonts w:ascii="Times New Roman" w:hAnsi="Times New Roman" w:cs="Times New Roman"/>
                <w:sz w:val="18"/>
                <w:szCs w:val="18"/>
              </w:rPr>
              <w:t>Sensor missingness / noise</w:t>
            </w:r>
          </w:p>
        </w:tc>
        <w:tc>
          <w:tcPr>
            <w:tcW w:w="3694" w:type="dxa"/>
            <w:tcBorders>
              <w:top w:val="single" w:color="auto" w:sz="4" w:space="0"/>
              <w:left w:val="single" w:color="auto" w:sz="4" w:space="0"/>
              <w:bottom w:val="single" w:color="auto" w:sz="4" w:space="0"/>
              <w:right w:val="single" w:color="auto" w:sz="4" w:space="0"/>
            </w:tcBorders>
            <w:vAlign w:val="center"/>
          </w:tcPr>
          <w:p w14:paraId="20FCDD17">
            <w:pPr>
              <w:jc w:val="center"/>
              <w:rPr>
                <w:rFonts w:ascii="Times New Roman" w:hAnsi="Times New Roman" w:cs="Times New Roman"/>
                <w:sz w:val="18"/>
                <w:szCs w:val="18"/>
              </w:rPr>
            </w:pPr>
            <w:r>
              <w:rPr>
                <w:rFonts w:ascii="Times New Roman" w:hAnsi="Times New Roman" w:cs="Times New Roman"/>
                <w:sz w:val="18"/>
                <w:szCs w:val="18"/>
              </w:rPr>
              <w:t>Missing/noisy sensor channels</w:t>
            </w:r>
          </w:p>
        </w:tc>
        <w:tc>
          <w:tcPr>
            <w:tcW w:w="3063" w:type="dxa"/>
            <w:tcBorders>
              <w:top w:val="single" w:color="auto" w:sz="4" w:space="0"/>
              <w:left w:val="single" w:color="auto" w:sz="4" w:space="0"/>
              <w:bottom w:val="single" w:color="auto" w:sz="4" w:space="0"/>
              <w:right w:val="single" w:color="auto" w:sz="4" w:space="0"/>
            </w:tcBorders>
            <w:vAlign w:val="center"/>
          </w:tcPr>
          <w:p w14:paraId="1FBA76BD">
            <w:pPr>
              <w:jc w:val="center"/>
              <w:rPr>
                <w:rFonts w:ascii="Times New Roman" w:hAnsi="Times New Roman" w:cs="Times New Roman"/>
                <w:sz w:val="18"/>
                <w:szCs w:val="18"/>
              </w:rPr>
            </w:pPr>
            <w:r>
              <w:rPr>
                <w:rFonts w:ascii="Times New Roman" w:hAnsi="Times New Roman" w:cs="Times New Roman"/>
                <w:sz w:val="18"/>
                <w:szCs w:val="18"/>
              </w:rPr>
              <w:t>Sensory interference during tasting</w:t>
            </w:r>
          </w:p>
        </w:tc>
      </w:tr>
      <w:tr w14:paraId="0A714373">
        <w:tblPrEx>
          <w:tblCellMar>
            <w:top w:w="43" w:type="dxa"/>
            <w:left w:w="0" w:type="dxa"/>
            <w:bottom w:w="0" w:type="dxa"/>
            <w:right w:w="0" w:type="dxa"/>
          </w:tblCellMar>
        </w:tblPrEx>
        <w:trPr>
          <w:trHeight w:val="460"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2EF87694">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0CE9DB31">
            <w:pPr>
              <w:jc w:val="center"/>
              <w:rPr>
                <w:rFonts w:ascii="Times New Roman" w:hAnsi="Times New Roman" w:cs="Times New Roman"/>
                <w:sz w:val="18"/>
                <w:szCs w:val="18"/>
              </w:rPr>
            </w:pPr>
            <w:r>
              <w:rPr>
                <w:rFonts w:ascii="Times New Roman" w:hAnsi="Times New Roman" w:cs="Times New Roman"/>
                <w:sz w:val="18"/>
                <w:szCs w:val="18"/>
              </w:rPr>
              <w:t>Robustness curve</w:t>
            </w:r>
          </w:p>
        </w:tc>
        <w:tc>
          <w:tcPr>
            <w:tcW w:w="3694" w:type="dxa"/>
            <w:tcBorders>
              <w:top w:val="single" w:color="auto" w:sz="4" w:space="0"/>
              <w:left w:val="single" w:color="auto" w:sz="4" w:space="0"/>
              <w:bottom w:val="single" w:color="auto" w:sz="4" w:space="0"/>
              <w:right w:val="single" w:color="auto" w:sz="4" w:space="0"/>
            </w:tcBorders>
            <w:vAlign w:val="center"/>
          </w:tcPr>
          <w:p w14:paraId="028AAEF6">
            <w:pPr>
              <w:jc w:val="center"/>
              <w:rPr>
                <w:rFonts w:ascii="Times New Roman" w:hAnsi="Times New Roman" w:cs="Times New Roman"/>
                <w:sz w:val="18"/>
                <w:szCs w:val="18"/>
              </w:rPr>
            </w:pPr>
            <w:r>
              <w:rPr>
                <w:rFonts w:ascii="Times New Roman" w:hAnsi="Times New Roman" w:cs="Times New Roman"/>
                <w:sz w:val="18"/>
                <w:szCs w:val="18"/>
              </w:rPr>
              <w:t>Performance vs disturbance level</w:t>
            </w:r>
          </w:p>
        </w:tc>
        <w:tc>
          <w:tcPr>
            <w:tcW w:w="3063" w:type="dxa"/>
            <w:tcBorders>
              <w:top w:val="single" w:color="auto" w:sz="4" w:space="0"/>
              <w:left w:val="single" w:color="auto" w:sz="4" w:space="0"/>
              <w:bottom w:val="single" w:color="auto" w:sz="4" w:space="0"/>
              <w:right w:val="single" w:color="auto" w:sz="4" w:space="0"/>
            </w:tcBorders>
            <w:vAlign w:val="center"/>
          </w:tcPr>
          <w:p w14:paraId="1D66C3C6">
            <w:pPr>
              <w:jc w:val="center"/>
              <w:rPr>
                <w:rFonts w:ascii="Times New Roman" w:hAnsi="Times New Roman" w:cs="Times New Roman"/>
                <w:sz w:val="18"/>
                <w:szCs w:val="18"/>
              </w:rPr>
            </w:pPr>
            <w:r>
              <w:rPr>
                <w:rFonts w:hint="eastAsia" w:ascii="Times New Roman" w:hAnsi="Times New Roman" w:eastAsia="宋体" w:cs="Times New Roman"/>
                <w:sz w:val="18"/>
                <w:szCs w:val="18"/>
                <w:lang w:eastAsia="zh-CN"/>
              </w:rPr>
              <w:t>Cook</w:t>
            </w:r>
            <w:r>
              <w:rPr>
                <w:rFonts w:ascii="Times New Roman" w:hAnsi="Times New Roman" w:cs="Times New Roman"/>
                <w:sz w:val="18"/>
                <w:szCs w:val="18"/>
              </w:rPr>
              <w:t xml:space="preserve"> the same dish under progressively harsher conditions (e.g., added noise)</w:t>
            </w:r>
          </w:p>
        </w:tc>
      </w:tr>
      <w:tr w14:paraId="3733734A">
        <w:tblPrEx>
          <w:tblCellMar>
            <w:top w:w="43" w:type="dxa"/>
            <w:left w:w="0" w:type="dxa"/>
            <w:bottom w:w="0" w:type="dxa"/>
            <w:right w:w="0" w:type="dxa"/>
          </w:tblCellMar>
        </w:tblPrEx>
        <w:trPr>
          <w:trHeight w:val="348"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363545F4">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9</w:t>
            </w:r>
          </w:p>
        </w:tc>
        <w:tc>
          <w:tcPr>
            <w:tcW w:w="2137" w:type="dxa"/>
            <w:tcBorders>
              <w:top w:val="single" w:color="auto" w:sz="4" w:space="0"/>
              <w:left w:val="single" w:color="auto" w:sz="4" w:space="0"/>
              <w:bottom w:val="single" w:color="auto" w:sz="4" w:space="0"/>
              <w:right w:val="single" w:color="auto" w:sz="4" w:space="0"/>
            </w:tcBorders>
            <w:vAlign w:val="center"/>
          </w:tcPr>
          <w:p w14:paraId="34C97DCE">
            <w:pPr>
              <w:jc w:val="center"/>
              <w:rPr>
                <w:rFonts w:ascii="Times New Roman" w:hAnsi="Times New Roman" w:cs="Times New Roman"/>
                <w:sz w:val="18"/>
                <w:szCs w:val="18"/>
              </w:rPr>
            </w:pPr>
            <w:r>
              <w:rPr>
                <w:rFonts w:ascii="Times New Roman" w:hAnsi="Times New Roman" w:cs="Times New Roman"/>
                <w:sz w:val="18"/>
                <w:szCs w:val="18"/>
              </w:rPr>
              <w:t>Uncertainty score</w:t>
            </w:r>
          </w:p>
        </w:tc>
        <w:tc>
          <w:tcPr>
            <w:tcW w:w="3694" w:type="dxa"/>
            <w:tcBorders>
              <w:top w:val="single" w:color="auto" w:sz="4" w:space="0"/>
              <w:left w:val="single" w:color="auto" w:sz="4" w:space="0"/>
              <w:bottom w:val="single" w:color="auto" w:sz="4" w:space="0"/>
              <w:right w:val="single" w:color="auto" w:sz="4" w:space="0"/>
            </w:tcBorders>
            <w:vAlign w:val="center"/>
          </w:tcPr>
          <w:p w14:paraId="30EC0B59">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How unsure the model is</w:t>
            </w:r>
          </w:p>
        </w:tc>
        <w:tc>
          <w:tcPr>
            <w:tcW w:w="3063" w:type="dxa"/>
            <w:tcBorders>
              <w:top w:val="single" w:color="auto" w:sz="4" w:space="0"/>
              <w:left w:val="single" w:color="auto" w:sz="4" w:space="0"/>
              <w:bottom w:val="single" w:color="auto" w:sz="4" w:space="0"/>
              <w:right w:val="single" w:color="auto" w:sz="4" w:space="0"/>
            </w:tcBorders>
            <w:vAlign w:val="center"/>
          </w:tcPr>
          <w:p w14:paraId="6A7C220E">
            <w:pPr>
              <w:jc w:val="center"/>
              <w:rPr>
                <w:rFonts w:ascii="Times New Roman" w:hAnsi="Times New Roman" w:cs="Times New Roman"/>
                <w:sz w:val="18"/>
                <w:szCs w:val="18"/>
              </w:rPr>
            </w:pPr>
            <w:r>
              <w:rPr>
                <w:rFonts w:ascii="Times New Roman" w:hAnsi="Times New Roman" w:cs="Times New Roman"/>
                <w:sz w:val="18"/>
                <w:szCs w:val="18"/>
              </w:rPr>
              <w:t>the chef’s level of uncertainty</w:t>
            </w:r>
          </w:p>
        </w:tc>
      </w:tr>
      <w:tr w14:paraId="66F40883">
        <w:tblPrEx>
          <w:tblCellMar>
            <w:top w:w="43" w:type="dxa"/>
            <w:left w:w="0" w:type="dxa"/>
            <w:bottom w:w="0" w:type="dxa"/>
            <w:right w:w="0" w:type="dxa"/>
          </w:tblCellMar>
        </w:tblPrEx>
        <w:trPr>
          <w:trHeight w:val="3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4BDAAF8E">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1F8DB3FA">
            <w:pPr>
              <w:jc w:val="center"/>
              <w:rPr>
                <w:rFonts w:ascii="Times New Roman" w:hAnsi="Times New Roman" w:cs="Times New Roman"/>
                <w:sz w:val="18"/>
                <w:szCs w:val="18"/>
              </w:rPr>
            </w:pPr>
            <w:r>
              <w:rPr>
                <w:rFonts w:ascii="Times New Roman" w:hAnsi="Times New Roman" w:cs="Times New Roman"/>
                <w:sz w:val="18"/>
                <w:szCs w:val="18"/>
              </w:rPr>
              <w:t>Entropy</w:t>
            </w:r>
          </w:p>
        </w:tc>
        <w:tc>
          <w:tcPr>
            <w:tcW w:w="3694" w:type="dxa"/>
            <w:tcBorders>
              <w:top w:val="single" w:color="auto" w:sz="4" w:space="0"/>
              <w:left w:val="single" w:color="auto" w:sz="4" w:space="0"/>
              <w:bottom w:val="single" w:color="auto" w:sz="4" w:space="0"/>
              <w:right w:val="single" w:color="auto" w:sz="4" w:space="0"/>
            </w:tcBorders>
            <w:vAlign w:val="center"/>
          </w:tcPr>
          <w:p w14:paraId="1A3E4C0C">
            <w:pPr>
              <w:jc w:val="center"/>
              <w:rPr>
                <w:rFonts w:ascii="Times New Roman" w:hAnsi="Times New Roman" w:cs="Times New Roman"/>
                <w:sz w:val="18"/>
                <w:szCs w:val="18"/>
              </w:rPr>
            </w:pPr>
            <w:r>
              <w:rPr>
                <w:rFonts w:ascii="Times New Roman" w:hAnsi="Times New Roman" w:cs="Times New Roman"/>
                <w:sz w:val="18"/>
                <w:szCs w:val="18"/>
              </w:rPr>
              <w:t>More spread → higher entropy</w:t>
            </w:r>
          </w:p>
        </w:tc>
        <w:tc>
          <w:tcPr>
            <w:tcW w:w="3063" w:type="dxa"/>
            <w:tcBorders>
              <w:top w:val="single" w:color="auto" w:sz="4" w:space="0"/>
              <w:left w:val="single" w:color="auto" w:sz="4" w:space="0"/>
              <w:bottom w:val="single" w:color="auto" w:sz="4" w:space="0"/>
              <w:right w:val="single" w:color="auto" w:sz="4" w:space="0"/>
            </w:tcBorders>
            <w:vAlign w:val="center"/>
          </w:tcPr>
          <w:p w14:paraId="62F8341C">
            <w:pPr>
              <w:jc w:val="center"/>
              <w:rPr>
                <w:rFonts w:ascii="Times New Roman" w:hAnsi="Times New Roman" w:cs="Times New Roman"/>
                <w:sz w:val="18"/>
                <w:szCs w:val="18"/>
              </w:rPr>
            </w:pPr>
            <w:r>
              <w:rPr>
                <w:rFonts w:ascii="Times New Roman" w:hAnsi="Times New Roman" w:cs="Times New Roman"/>
                <w:sz w:val="18"/>
                <w:szCs w:val="18"/>
              </w:rPr>
              <w:t>degree of indecision</w:t>
            </w:r>
          </w:p>
        </w:tc>
      </w:tr>
      <w:tr w14:paraId="311CD230">
        <w:tblPrEx>
          <w:tblCellMar>
            <w:top w:w="43" w:type="dxa"/>
            <w:left w:w="0" w:type="dxa"/>
            <w:bottom w:w="0" w:type="dxa"/>
            <w:right w:w="0" w:type="dxa"/>
          </w:tblCellMar>
        </w:tblPrEx>
        <w:trPr>
          <w:trHeight w:val="3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3AF76A79">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40BC787A">
            <w:pPr>
              <w:jc w:val="center"/>
              <w:rPr>
                <w:rFonts w:ascii="Times New Roman" w:hAnsi="Times New Roman" w:cs="Times New Roman"/>
                <w:sz w:val="18"/>
                <w:szCs w:val="18"/>
              </w:rPr>
            </w:pPr>
            <w:r>
              <w:rPr>
                <w:rFonts w:ascii="Times New Roman" w:hAnsi="Times New Roman" w:cs="Times New Roman"/>
                <w:sz w:val="18"/>
                <w:szCs w:val="18"/>
              </w:rPr>
              <w:t>MC Dropout</w:t>
            </w:r>
          </w:p>
        </w:tc>
        <w:tc>
          <w:tcPr>
            <w:tcW w:w="3694" w:type="dxa"/>
            <w:tcBorders>
              <w:top w:val="single" w:color="auto" w:sz="4" w:space="0"/>
              <w:left w:val="single" w:color="auto" w:sz="4" w:space="0"/>
              <w:bottom w:val="single" w:color="auto" w:sz="4" w:space="0"/>
              <w:right w:val="single" w:color="auto" w:sz="4" w:space="0"/>
            </w:tcBorders>
            <w:vAlign w:val="center"/>
          </w:tcPr>
          <w:p w14:paraId="1966B5F7">
            <w:pPr>
              <w:jc w:val="center"/>
              <w:rPr>
                <w:rFonts w:ascii="Times New Roman" w:hAnsi="Times New Roman" w:cs="Times New Roman"/>
                <w:sz w:val="18"/>
                <w:szCs w:val="18"/>
              </w:rPr>
            </w:pPr>
            <w:r>
              <w:rPr>
                <w:rFonts w:ascii="Times New Roman" w:hAnsi="Times New Roman" w:cs="Times New Roman"/>
                <w:sz w:val="18"/>
                <w:szCs w:val="18"/>
              </w:rPr>
              <w:t>Repeat dropout at test; use variance</w:t>
            </w:r>
          </w:p>
        </w:tc>
        <w:tc>
          <w:tcPr>
            <w:tcW w:w="3063" w:type="dxa"/>
            <w:tcBorders>
              <w:top w:val="single" w:color="auto" w:sz="4" w:space="0"/>
              <w:left w:val="single" w:color="auto" w:sz="4" w:space="0"/>
              <w:bottom w:val="single" w:color="auto" w:sz="4" w:space="0"/>
              <w:right w:val="single" w:color="auto" w:sz="4" w:space="0"/>
            </w:tcBorders>
            <w:vAlign w:val="center"/>
          </w:tcPr>
          <w:p w14:paraId="145F8FD0">
            <w:pPr>
              <w:jc w:val="center"/>
              <w:rPr>
                <w:rFonts w:ascii="Times New Roman" w:hAnsi="Times New Roman" w:cs="Times New Roman"/>
                <w:sz w:val="18"/>
                <w:szCs w:val="18"/>
              </w:rPr>
            </w:pPr>
            <w:r>
              <w:rPr>
                <w:rFonts w:ascii="Times New Roman" w:hAnsi="Times New Roman" w:cs="Times New Roman"/>
                <w:sz w:val="18"/>
                <w:szCs w:val="18"/>
              </w:rPr>
              <w:t>cook the same dish N times to observe variability</w:t>
            </w:r>
          </w:p>
        </w:tc>
      </w:tr>
      <w:tr w14:paraId="5CE805E4">
        <w:tblPrEx>
          <w:tblCellMar>
            <w:top w:w="43" w:type="dxa"/>
            <w:left w:w="0" w:type="dxa"/>
            <w:bottom w:w="0" w:type="dxa"/>
            <w:right w:w="0" w:type="dxa"/>
          </w:tblCellMar>
        </w:tblPrEx>
        <w:trPr>
          <w:trHeight w:val="3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39B85B0C">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7089AC81">
            <w:pPr>
              <w:jc w:val="center"/>
              <w:rPr>
                <w:rFonts w:ascii="Times New Roman" w:hAnsi="Times New Roman" w:cs="Times New Roman"/>
                <w:sz w:val="18"/>
                <w:szCs w:val="18"/>
              </w:rPr>
            </w:pPr>
            <w:r>
              <w:rPr>
                <w:rFonts w:ascii="Times New Roman" w:hAnsi="Times New Roman" w:cs="Times New Roman"/>
                <w:sz w:val="18"/>
                <w:szCs w:val="18"/>
              </w:rPr>
              <w:t>Temperature scaling</w:t>
            </w:r>
          </w:p>
        </w:tc>
        <w:tc>
          <w:tcPr>
            <w:tcW w:w="3694" w:type="dxa"/>
            <w:tcBorders>
              <w:top w:val="single" w:color="auto" w:sz="4" w:space="0"/>
              <w:left w:val="single" w:color="auto" w:sz="4" w:space="0"/>
              <w:bottom w:val="single" w:color="auto" w:sz="4" w:space="0"/>
              <w:right w:val="single" w:color="auto" w:sz="4" w:space="0"/>
            </w:tcBorders>
            <w:vAlign w:val="center"/>
          </w:tcPr>
          <w:p w14:paraId="6CABC633">
            <w:pPr>
              <w:jc w:val="center"/>
              <w:rPr>
                <w:rFonts w:ascii="Times New Roman" w:hAnsi="Times New Roman" w:cs="Times New Roman"/>
                <w:sz w:val="18"/>
                <w:szCs w:val="18"/>
              </w:rPr>
            </w:pPr>
            <w:r>
              <w:rPr>
                <w:rFonts w:ascii="Times New Roman" w:hAnsi="Times New Roman" w:cs="Times New Roman"/>
                <w:sz w:val="18"/>
                <w:szCs w:val="18"/>
              </w:rPr>
              <w:t>Scale logits to fix confidence</w:t>
            </w:r>
          </w:p>
        </w:tc>
        <w:tc>
          <w:tcPr>
            <w:tcW w:w="3063" w:type="dxa"/>
            <w:tcBorders>
              <w:top w:val="single" w:color="auto" w:sz="4" w:space="0"/>
              <w:left w:val="single" w:color="auto" w:sz="4" w:space="0"/>
              <w:bottom w:val="single" w:color="auto" w:sz="4" w:space="0"/>
              <w:right w:val="single" w:color="auto" w:sz="4" w:space="0"/>
            </w:tcBorders>
            <w:vAlign w:val="center"/>
          </w:tcPr>
          <w:p w14:paraId="14DF7DC1">
            <w:pPr>
              <w:jc w:val="center"/>
              <w:rPr>
                <w:rFonts w:ascii="Times New Roman" w:hAnsi="Times New Roman" w:cs="Times New Roman"/>
                <w:sz w:val="18"/>
                <w:szCs w:val="18"/>
              </w:rPr>
            </w:pPr>
            <w:r>
              <w:rPr>
                <w:rFonts w:ascii="Times New Roman" w:hAnsi="Times New Roman" w:cs="Times New Roman"/>
                <w:sz w:val="18"/>
                <w:szCs w:val="18"/>
              </w:rPr>
              <w:t>modify only the scoring scale while keeping the procedure unchanged</w:t>
            </w:r>
          </w:p>
        </w:tc>
      </w:tr>
      <w:tr w14:paraId="45BB642A">
        <w:tblPrEx>
          <w:tblCellMar>
            <w:top w:w="43" w:type="dxa"/>
            <w:left w:w="0" w:type="dxa"/>
            <w:bottom w:w="0" w:type="dxa"/>
            <w:right w:w="0" w:type="dxa"/>
          </w:tblCellMar>
        </w:tblPrEx>
        <w:trPr>
          <w:trHeight w:val="428"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4C36DF2F">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10</w:t>
            </w:r>
          </w:p>
        </w:tc>
        <w:tc>
          <w:tcPr>
            <w:tcW w:w="2137" w:type="dxa"/>
            <w:tcBorders>
              <w:top w:val="single" w:color="auto" w:sz="4" w:space="0"/>
              <w:left w:val="single" w:color="auto" w:sz="4" w:space="0"/>
              <w:bottom w:val="single" w:color="auto" w:sz="4" w:space="0"/>
              <w:right w:val="single" w:color="auto" w:sz="4" w:space="0"/>
            </w:tcBorders>
            <w:vAlign w:val="center"/>
          </w:tcPr>
          <w:p w14:paraId="701CE25E">
            <w:pPr>
              <w:jc w:val="center"/>
              <w:rPr>
                <w:rFonts w:ascii="Times New Roman" w:hAnsi="Times New Roman" w:cs="Times New Roman"/>
                <w:sz w:val="18"/>
                <w:szCs w:val="18"/>
              </w:rPr>
            </w:pPr>
            <w:r>
              <w:rPr>
                <w:rFonts w:ascii="Times New Roman" w:hAnsi="Times New Roman" w:cs="Times New Roman"/>
                <w:sz w:val="18"/>
                <w:szCs w:val="18"/>
              </w:rPr>
              <w:t>Open-set / OOD (out-of-distribution)</w:t>
            </w:r>
          </w:p>
        </w:tc>
        <w:tc>
          <w:tcPr>
            <w:tcW w:w="3694" w:type="dxa"/>
            <w:tcBorders>
              <w:top w:val="single" w:color="auto" w:sz="4" w:space="0"/>
              <w:left w:val="single" w:color="auto" w:sz="4" w:space="0"/>
              <w:bottom w:val="single" w:color="auto" w:sz="4" w:space="0"/>
              <w:right w:val="single" w:color="auto" w:sz="4" w:space="0"/>
            </w:tcBorders>
            <w:vAlign w:val="center"/>
          </w:tcPr>
          <w:p w14:paraId="1F251741">
            <w:pPr>
              <w:jc w:val="center"/>
              <w:rPr>
                <w:rFonts w:ascii="Times New Roman" w:hAnsi="Times New Roman" w:cs="Times New Roman"/>
                <w:sz w:val="18"/>
                <w:szCs w:val="18"/>
              </w:rPr>
            </w:pPr>
            <w:r>
              <w:rPr>
                <w:rFonts w:ascii="Times New Roman" w:hAnsi="Times New Roman" w:cs="Times New Roman"/>
                <w:sz w:val="18"/>
                <w:szCs w:val="18"/>
              </w:rPr>
              <w:t>Encounter unseen classes/distributions</w:t>
            </w:r>
          </w:p>
        </w:tc>
        <w:tc>
          <w:tcPr>
            <w:tcW w:w="3063" w:type="dxa"/>
            <w:tcBorders>
              <w:top w:val="single" w:color="auto" w:sz="4" w:space="0"/>
              <w:left w:val="single" w:color="auto" w:sz="4" w:space="0"/>
              <w:bottom w:val="single" w:color="auto" w:sz="4" w:space="0"/>
              <w:right w:val="single" w:color="auto" w:sz="4" w:space="0"/>
            </w:tcBorders>
            <w:vAlign w:val="center"/>
          </w:tcPr>
          <w:p w14:paraId="6CF9C9B0">
            <w:pPr>
              <w:jc w:val="center"/>
              <w:rPr>
                <w:rFonts w:ascii="Times New Roman" w:hAnsi="Times New Roman" w:cs="Times New Roman"/>
                <w:sz w:val="18"/>
                <w:szCs w:val="18"/>
              </w:rPr>
            </w:pPr>
            <w:r>
              <w:rPr>
                <w:rFonts w:ascii="Times New Roman" w:hAnsi="Times New Roman" w:cs="Times New Roman"/>
                <w:sz w:val="18"/>
                <w:szCs w:val="18"/>
              </w:rPr>
              <w:t>The sushi restaurant requests a pizza; the chef should refuse a mismatched order</w:t>
            </w:r>
          </w:p>
        </w:tc>
      </w:tr>
      <w:tr w14:paraId="4CAA3028">
        <w:tblPrEx>
          <w:tblCellMar>
            <w:top w:w="43" w:type="dxa"/>
            <w:left w:w="0" w:type="dxa"/>
            <w:bottom w:w="0" w:type="dxa"/>
            <w:right w:w="0" w:type="dxa"/>
          </w:tblCellMar>
        </w:tblPrEx>
        <w:trPr>
          <w:trHeight w:val="42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40FE8995">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7FF0E94C">
            <w:pPr>
              <w:jc w:val="center"/>
              <w:rPr>
                <w:rFonts w:ascii="Times New Roman" w:hAnsi="Times New Roman" w:cs="Times New Roman"/>
                <w:sz w:val="18"/>
                <w:szCs w:val="18"/>
              </w:rPr>
            </w:pPr>
            <w:r>
              <w:rPr>
                <w:rFonts w:ascii="Times New Roman" w:hAnsi="Times New Roman" w:cs="Times New Roman"/>
                <w:sz w:val="18"/>
                <w:szCs w:val="18"/>
              </w:rPr>
              <w:t>Semantic OOD detection</w:t>
            </w:r>
          </w:p>
        </w:tc>
        <w:tc>
          <w:tcPr>
            <w:tcW w:w="3694" w:type="dxa"/>
            <w:tcBorders>
              <w:top w:val="single" w:color="auto" w:sz="4" w:space="0"/>
              <w:left w:val="single" w:color="auto" w:sz="4" w:space="0"/>
              <w:bottom w:val="single" w:color="auto" w:sz="4" w:space="0"/>
              <w:right w:val="single" w:color="auto" w:sz="4" w:space="0"/>
            </w:tcBorders>
            <w:vAlign w:val="center"/>
          </w:tcPr>
          <w:p w14:paraId="58331673">
            <w:pPr>
              <w:jc w:val="center"/>
              <w:rPr>
                <w:rFonts w:ascii="Times New Roman" w:hAnsi="Times New Roman" w:cs="Times New Roman"/>
                <w:sz w:val="18"/>
                <w:szCs w:val="18"/>
              </w:rPr>
            </w:pPr>
            <w:r>
              <w:rPr>
                <w:rFonts w:ascii="Times New Roman" w:hAnsi="Times New Roman" w:cs="Times New Roman"/>
                <w:sz w:val="18"/>
                <w:szCs w:val="18"/>
              </w:rPr>
              <w:t>Separate known vs unseen activities</w:t>
            </w:r>
          </w:p>
        </w:tc>
        <w:tc>
          <w:tcPr>
            <w:tcW w:w="3063" w:type="dxa"/>
            <w:tcBorders>
              <w:top w:val="single" w:color="auto" w:sz="4" w:space="0"/>
              <w:left w:val="single" w:color="auto" w:sz="4" w:space="0"/>
              <w:bottom w:val="single" w:color="auto" w:sz="4" w:space="0"/>
              <w:right w:val="single" w:color="auto" w:sz="4" w:space="0"/>
            </w:tcBorders>
            <w:vAlign w:val="center"/>
          </w:tcPr>
          <w:p w14:paraId="3AF10DC6">
            <w:pPr>
              <w:jc w:val="center"/>
              <w:rPr>
                <w:rFonts w:ascii="Times New Roman" w:hAnsi="Times New Roman" w:cs="Times New Roman"/>
                <w:sz w:val="18"/>
                <w:szCs w:val="18"/>
              </w:rPr>
            </w:pPr>
            <w:r>
              <w:rPr>
                <w:rFonts w:ascii="Times New Roman" w:hAnsi="Times New Roman" w:cs="Times New Roman"/>
                <w:sz w:val="18"/>
                <w:szCs w:val="18"/>
              </w:rPr>
              <w:t>the dish is semantically out of scope</w:t>
            </w:r>
          </w:p>
        </w:tc>
      </w:tr>
      <w:tr w14:paraId="6611C6A0">
        <w:tblPrEx>
          <w:tblCellMar>
            <w:top w:w="43" w:type="dxa"/>
            <w:left w:w="0" w:type="dxa"/>
            <w:bottom w:w="0" w:type="dxa"/>
            <w:right w:w="0" w:type="dxa"/>
          </w:tblCellMar>
        </w:tblPrEx>
        <w:trPr>
          <w:trHeight w:val="42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38065675">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662F9DDE">
            <w:pPr>
              <w:jc w:val="center"/>
              <w:rPr>
                <w:rFonts w:ascii="Times New Roman" w:hAnsi="Times New Roman" w:cs="Times New Roman"/>
                <w:sz w:val="18"/>
                <w:szCs w:val="18"/>
              </w:rPr>
            </w:pPr>
            <w:r>
              <w:rPr>
                <w:rFonts w:ascii="Times New Roman" w:hAnsi="Times New Roman" w:cs="Times New Roman"/>
                <w:sz w:val="18"/>
                <w:szCs w:val="18"/>
              </w:rPr>
              <w:t>AUROC</w:t>
            </w:r>
          </w:p>
        </w:tc>
        <w:tc>
          <w:tcPr>
            <w:tcW w:w="3694" w:type="dxa"/>
            <w:tcBorders>
              <w:top w:val="single" w:color="auto" w:sz="4" w:space="0"/>
              <w:left w:val="single" w:color="auto" w:sz="4" w:space="0"/>
              <w:bottom w:val="single" w:color="auto" w:sz="4" w:space="0"/>
              <w:right w:val="single" w:color="auto" w:sz="4" w:space="0"/>
            </w:tcBorders>
            <w:vAlign w:val="center"/>
          </w:tcPr>
          <w:p w14:paraId="4BC845E8">
            <w:pPr>
              <w:jc w:val="center"/>
              <w:rPr>
                <w:rFonts w:ascii="Times New Roman" w:hAnsi="Times New Roman" w:cs="Times New Roman"/>
                <w:sz w:val="18"/>
                <w:szCs w:val="18"/>
              </w:rPr>
            </w:pPr>
            <w:r>
              <w:rPr>
                <w:rFonts w:ascii="Times New Roman" w:hAnsi="Times New Roman" w:cs="Times New Roman"/>
                <w:sz w:val="18"/>
                <w:szCs w:val="18"/>
              </w:rPr>
              <w:t>Overall score of detection</w:t>
            </w:r>
          </w:p>
        </w:tc>
        <w:tc>
          <w:tcPr>
            <w:tcW w:w="3063" w:type="dxa"/>
            <w:tcBorders>
              <w:top w:val="single" w:color="auto" w:sz="4" w:space="0"/>
              <w:left w:val="single" w:color="auto" w:sz="4" w:space="0"/>
              <w:bottom w:val="single" w:color="auto" w:sz="4" w:space="0"/>
              <w:right w:val="single" w:color="auto" w:sz="4" w:space="0"/>
            </w:tcBorders>
            <w:vAlign w:val="center"/>
          </w:tcPr>
          <w:p w14:paraId="5D2EC393">
            <w:pPr>
              <w:jc w:val="center"/>
              <w:rPr>
                <w:rFonts w:ascii="Times New Roman" w:hAnsi="Times New Roman" w:cs="Times New Roman"/>
                <w:sz w:val="18"/>
                <w:szCs w:val="18"/>
              </w:rPr>
            </w:pPr>
            <w:r>
              <w:rPr>
                <w:rFonts w:ascii="Times New Roman" w:hAnsi="Times New Roman" w:cs="Times New Roman"/>
                <w:sz w:val="18"/>
                <w:szCs w:val="18"/>
              </w:rPr>
              <w:t>assign each served dish an “off-menu suspicion” score</w:t>
            </w:r>
          </w:p>
        </w:tc>
      </w:tr>
      <w:tr w14:paraId="23E73C71">
        <w:tblPrEx>
          <w:tblCellMar>
            <w:top w:w="43" w:type="dxa"/>
            <w:left w:w="0" w:type="dxa"/>
            <w:bottom w:w="0" w:type="dxa"/>
            <w:right w:w="0" w:type="dxa"/>
          </w:tblCellMar>
        </w:tblPrEx>
        <w:trPr>
          <w:trHeight w:val="42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52FDDB5D">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6FD5668F">
            <w:pPr>
              <w:jc w:val="center"/>
              <w:rPr>
                <w:rFonts w:ascii="Times New Roman" w:hAnsi="Times New Roman" w:cs="Times New Roman"/>
                <w:sz w:val="18"/>
                <w:szCs w:val="18"/>
              </w:rPr>
            </w:pPr>
            <w:r>
              <w:rPr>
                <w:rFonts w:ascii="Times New Roman" w:hAnsi="Times New Roman" w:cs="Times New Roman"/>
                <w:sz w:val="18"/>
                <w:szCs w:val="18"/>
              </w:rPr>
              <w:t>TPR@FPR=1%</w:t>
            </w:r>
          </w:p>
        </w:tc>
        <w:tc>
          <w:tcPr>
            <w:tcW w:w="3694" w:type="dxa"/>
            <w:tcBorders>
              <w:top w:val="single" w:color="auto" w:sz="4" w:space="0"/>
              <w:left w:val="single" w:color="auto" w:sz="4" w:space="0"/>
              <w:bottom w:val="single" w:color="auto" w:sz="4" w:space="0"/>
              <w:right w:val="single" w:color="auto" w:sz="4" w:space="0"/>
            </w:tcBorders>
            <w:vAlign w:val="center"/>
          </w:tcPr>
          <w:p w14:paraId="68CC6BBD">
            <w:pPr>
              <w:jc w:val="center"/>
              <w:rPr>
                <w:rFonts w:ascii="Times New Roman" w:hAnsi="Times New Roman" w:cs="Times New Roman"/>
                <w:sz w:val="18"/>
                <w:szCs w:val="18"/>
              </w:rPr>
            </w:pPr>
            <w:r>
              <w:rPr>
                <w:rFonts w:ascii="Times New Roman" w:hAnsi="Times New Roman" w:cs="Times New Roman"/>
                <w:sz w:val="18"/>
                <w:szCs w:val="18"/>
              </w:rPr>
              <w:t>Hit rate at 1% false‑positive rate</w:t>
            </w:r>
          </w:p>
        </w:tc>
        <w:tc>
          <w:tcPr>
            <w:tcW w:w="3063" w:type="dxa"/>
            <w:tcBorders>
              <w:top w:val="single" w:color="auto" w:sz="4" w:space="0"/>
              <w:left w:val="single" w:color="auto" w:sz="4" w:space="0"/>
              <w:bottom w:val="single" w:color="auto" w:sz="4" w:space="0"/>
              <w:right w:val="single" w:color="auto" w:sz="4" w:space="0"/>
            </w:tcBorders>
            <w:vAlign w:val="center"/>
          </w:tcPr>
          <w:p w14:paraId="054E322B">
            <w:pPr>
              <w:jc w:val="center"/>
              <w:rPr>
                <w:rFonts w:ascii="Times New Roman" w:hAnsi="Times New Roman" w:cs="Times New Roman"/>
                <w:sz w:val="18"/>
                <w:szCs w:val="18"/>
              </w:rPr>
            </w:pPr>
            <w:r>
              <w:rPr>
                <w:rFonts w:ascii="Times New Roman" w:hAnsi="Times New Roman" w:cs="Times New Roman"/>
                <w:sz w:val="18"/>
                <w:szCs w:val="18"/>
              </w:rPr>
              <w:t>The inspector assigns each plate an OOD suspicion score and sets a threshold so that, among in-menu dishes, at most 1 out of 100 is wrongly blocked</w:t>
            </w:r>
          </w:p>
        </w:tc>
      </w:tr>
    </w:tbl>
    <w:p w14:paraId="790683F4">
      <w:pPr>
        <w:pStyle w:val="2"/>
        <w:spacing w:before="198" w:line="344" w:lineRule="auto"/>
        <w:jc w:val="center"/>
        <w:rPr>
          <w:rFonts w:eastAsia="宋体"/>
          <w:sz w:val="18"/>
          <w:szCs w:val="18"/>
          <w:lang w:eastAsia="zh-CN"/>
        </w:rPr>
      </w:pPr>
    </w:p>
    <w:p w14:paraId="0A011DBB">
      <w:pPr>
        <w:pStyle w:val="2"/>
        <w:spacing w:before="198" w:line="344" w:lineRule="auto"/>
        <w:jc w:val="center"/>
        <w:rPr>
          <w:rFonts w:eastAsia="宋体"/>
          <w:sz w:val="18"/>
          <w:szCs w:val="18"/>
          <w:lang w:eastAsia="zh-CN"/>
        </w:rPr>
      </w:pPr>
    </w:p>
    <w:p w14:paraId="67DE4C99">
      <w:pPr>
        <w:pStyle w:val="2"/>
        <w:spacing w:before="198" w:line="344" w:lineRule="auto"/>
        <w:jc w:val="center"/>
        <w:rPr>
          <w:rFonts w:eastAsia="宋体"/>
          <w:sz w:val="18"/>
          <w:szCs w:val="18"/>
          <w:lang w:eastAsia="zh-CN"/>
        </w:rPr>
      </w:pPr>
    </w:p>
    <w:p w14:paraId="562D763A">
      <w:pPr>
        <w:pStyle w:val="2"/>
        <w:spacing w:before="198" w:line="344" w:lineRule="auto"/>
        <w:jc w:val="center"/>
        <w:rPr>
          <w:rFonts w:eastAsia="宋体"/>
          <w:sz w:val="18"/>
          <w:szCs w:val="18"/>
          <w:lang w:eastAsia="zh-CN"/>
        </w:rPr>
      </w:pPr>
    </w:p>
    <w:p w14:paraId="291D7772">
      <w:pPr>
        <w:pStyle w:val="2"/>
        <w:spacing w:before="198" w:line="344" w:lineRule="auto"/>
        <w:jc w:val="center"/>
        <w:rPr>
          <w:rFonts w:eastAsia="宋体"/>
          <w:sz w:val="18"/>
          <w:szCs w:val="18"/>
          <w:lang w:eastAsia="zh-CN"/>
        </w:rPr>
      </w:pPr>
    </w:p>
    <w:p w14:paraId="6A7C2B3A">
      <w:pPr>
        <w:pStyle w:val="2"/>
        <w:spacing w:before="198" w:line="344" w:lineRule="auto"/>
        <w:jc w:val="center"/>
        <w:rPr>
          <w:rFonts w:eastAsia="宋体"/>
          <w:sz w:val="18"/>
          <w:szCs w:val="18"/>
          <w:lang w:eastAsia="zh-CN"/>
        </w:rPr>
      </w:pPr>
    </w:p>
    <w:p w14:paraId="38932F9B">
      <w:pPr>
        <w:pStyle w:val="2"/>
        <w:spacing w:before="198" w:line="344" w:lineRule="auto"/>
        <w:jc w:val="center"/>
        <w:rPr>
          <w:rFonts w:eastAsia="宋体"/>
          <w:sz w:val="18"/>
          <w:szCs w:val="18"/>
          <w:lang w:eastAsia="zh-CN"/>
        </w:rPr>
      </w:pPr>
    </w:p>
    <w:p w14:paraId="0196177E">
      <w:pPr>
        <w:pStyle w:val="2"/>
        <w:spacing w:before="198" w:line="344" w:lineRule="auto"/>
        <w:jc w:val="center"/>
        <w:rPr>
          <w:rFonts w:eastAsia="宋体"/>
          <w:sz w:val="18"/>
          <w:szCs w:val="18"/>
          <w:lang w:eastAsia="zh-CN"/>
        </w:rPr>
      </w:pPr>
    </w:p>
    <w:p w14:paraId="760FE981">
      <w:pPr>
        <w:pStyle w:val="2"/>
        <w:spacing w:before="198" w:line="344" w:lineRule="auto"/>
        <w:jc w:val="center"/>
        <w:rPr>
          <w:rFonts w:eastAsia="宋体"/>
          <w:sz w:val="18"/>
          <w:szCs w:val="18"/>
          <w:lang w:eastAsia="zh-CN"/>
        </w:rPr>
      </w:pPr>
      <w:r>
        <w:rPr>
          <w:rFonts w:hint="eastAsia"/>
          <w:sz w:val="18"/>
          <w:szCs w:val="18"/>
        </w:rPr>
        <w:t xml:space="preserve">TABLE </w:t>
      </w:r>
      <w:r>
        <w:rPr>
          <w:rFonts w:hint="eastAsia" w:eastAsia="宋体"/>
          <w:sz w:val="18"/>
          <w:szCs w:val="18"/>
          <w:lang w:eastAsia="zh-CN"/>
        </w:rPr>
        <w:t>C</w:t>
      </w:r>
      <w:r>
        <w:rPr>
          <w:rFonts w:hint="eastAsia"/>
          <w:sz w:val="18"/>
          <w:szCs w:val="18"/>
        </w:rPr>
        <w:t xml:space="preserve">. Step Details and term explanation </w:t>
      </w:r>
      <w:r>
        <w:rPr>
          <w:rFonts w:hint="eastAsia" w:eastAsia="宋体"/>
          <w:sz w:val="18"/>
          <w:szCs w:val="18"/>
          <w:lang w:eastAsia="zh-CN"/>
        </w:rPr>
        <w:t>3</w:t>
      </w:r>
    </w:p>
    <w:tbl>
      <w:tblPr>
        <w:tblStyle w:val="13"/>
        <w:tblpPr w:leftFromText="180" w:rightFromText="180" w:vertAnchor="page" w:horzAnchor="page" w:tblpX="1553" w:tblpY="1970"/>
        <w:tblOverlap w:val="never"/>
        <w:tblW w:w="9278" w:type="dxa"/>
        <w:tblInd w:w="0" w:type="dxa"/>
        <w:tblLayout w:type="autofit"/>
        <w:tblCellMar>
          <w:top w:w="43" w:type="dxa"/>
          <w:left w:w="0" w:type="dxa"/>
          <w:bottom w:w="0" w:type="dxa"/>
          <w:right w:w="0" w:type="dxa"/>
        </w:tblCellMar>
      </w:tblPr>
      <w:tblGrid>
        <w:gridCol w:w="384"/>
        <w:gridCol w:w="2137"/>
        <w:gridCol w:w="3694"/>
        <w:gridCol w:w="3063"/>
      </w:tblGrid>
      <w:tr w14:paraId="720119F9">
        <w:tblPrEx>
          <w:tblCellMar>
            <w:top w:w="43" w:type="dxa"/>
            <w:left w:w="0" w:type="dxa"/>
            <w:bottom w:w="0" w:type="dxa"/>
            <w:right w:w="0" w:type="dxa"/>
          </w:tblCellMar>
        </w:tblPrEx>
        <w:trPr>
          <w:trHeight w:val="573" w:hRule="atLeast"/>
        </w:trPr>
        <w:tc>
          <w:tcPr>
            <w:tcW w:w="384" w:type="dxa"/>
            <w:tcBorders>
              <w:top w:val="single" w:color="auto" w:sz="4" w:space="0"/>
              <w:left w:val="single" w:color="auto" w:sz="4" w:space="0"/>
              <w:bottom w:val="single" w:color="auto" w:sz="4" w:space="0"/>
              <w:right w:val="single" w:color="auto" w:sz="4" w:space="0"/>
            </w:tcBorders>
            <w:vAlign w:val="center"/>
          </w:tcPr>
          <w:p w14:paraId="5B7DE490">
            <w:pPr>
              <w:jc w:val="center"/>
              <w:rPr>
                <w:rFonts w:ascii="Times New Roman" w:hAnsi="Times New Roman" w:eastAsia="宋体" w:cs="Times New Roman"/>
                <w:sz w:val="18"/>
                <w:szCs w:val="18"/>
                <w:lang w:eastAsia="zh-CN"/>
              </w:rPr>
            </w:pPr>
            <w:r>
              <w:rPr>
                <w:rStyle w:val="8"/>
                <w:rFonts w:hint="eastAsia" w:ascii="Times New Roman" w:hAnsi="Times New Roman" w:eastAsia="宋体" w:cs="Times New Roman"/>
                <w:sz w:val="18"/>
                <w:szCs w:val="18"/>
                <w:lang w:eastAsia="zh-CN" w:bidi="ar"/>
              </w:rPr>
              <w:t>step</w:t>
            </w:r>
          </w:p>
        </w:tc>
        <w:tc>
          <w:tcPr>
            <w:tcW w:w="2137" w:type="dxa"/>
            <w:tcBorders>
              <w:top w:val="single" w:color="auto" w:sz="4" w:space="0"/>
              <w:left w:val="single" w:color="auto" w:sz="4" w:space="0"/>
              <w:bottom w:val="single" w:color="auto" w:sz="4" w:space="0"/>
              <w:right w:val="single" w:color="auto" w:sz="4" w:space="0"/>
            </w:tcBorders>
            <w:vAlign w:val="center"/>
          </w:tcPr>
          <w:p w14:paraId="07B64082">
            <w:pPr>
              <w:jc w:val="center"/>
              <w:rPr>
                <w:rFonts w:ascii="Times New Roman" w:hAnsi="Times New Roman" w:cs="Times New Roman"/>
                <w:sz w:val="18"/>
                <w:szCs w:val="18"/>
              </w:rPr>
            </w:pPr>
            <w:r>
              <w:rPr>
                <w:rFonts w:hint="eastAsia" w:ascii="Times New Roman" w:hAnsi="Times New Roman" w:eastAsia="宋体" w:cs="Times New Roman"/>
                <w:b/>
                <w:bCs/>
                <w:sz w:val="18"/>
                <w:szCs w:val="18"/>
                <w:lang w:eastAsia="zh-CN" w:bidi="ar"/>
              </w:rPr>
              <w:t>T</w:t>
            </w:r>
            <w:r>
              <w:rPr>
                <w:rFonts w:ascii="Times New Roman" w:hAnsi="Times New Roman" w:eastAsia="宋体" w:cs="Times New Roman"/>
                <w:b/>
                <w:bCs/>
                <w:sz w:val="18"/>
                <w:szCs w:val="18"/>
                <w:lang w:eastAsia="zh-CN" w:bidi="ar"/>
              </w:rPr>
              <w:t>erm</w:t>
            </w:r>
          </w:p>
        </w:tc>
        <w:tc>
          <w:tcPr>
            <w:tcW w:w="3694" w:type="dxa"/>
            <w:tcBorders>
              <w:top w:val="single" w:color="auto" w:sz="4" w:space="0"/>
              <w:left w:val="single" w:color="auto" w:sz="4" w:space="0"/>
              <w:bottom w:val="single" w:color="auto" w:sz="4" w:space="0"/>
              <w:right w:val="single" w:color="auto" w:sz="4" w:space="0"/>
            </w:tcBorders>
            <w:vAlign w:val="center"/>
          </w:tcPr>
          <w:p w14:paraId="75D566AF">
            <w:pPr>
              <w:jc w:val="center"/>
              <w:rPr>
                <w:rFonts w:ascii="Times New Roman" w:hAnsi="Times New Roman" w:eastAsia="宋体" w:cs="Times New Roman"/>
                <w:b/>
                <w:bCs/>
                <w:sz w:val="18"/>
                <w:szCs w:val="18"/>
                <w:lang w:eastAsia="zh-CN" w:bidi="ar"/>
              </w:rPr>
            </w:pPr>
            <w:r>
              <w:rPr>
                <w:rFonts w:hint="eastAsia" w:ascii="Times New Roman" w:hAnsi="Times New Roman" w:eastAsia="宋体" w:cs="Times New Roman"/>
                <w:b/>
                <w:bCs/>
                <w:sz w:val="18"/>
                <w:szCs w:val="18"/>
                <w:lang w:eastAsia="zh-CN" w:bidi="ar"/>
              </w:rPr>
              <w:t>Explanation</w:t>
            </w:r>
          </w:p>
        </w:tc>
        <w:tc>
          <w:tcPr>
            <w:tcW w:w="3063" w:type="dxa"/>
            <w:tcBorders>
              <w:top w:val="single" w:color="auto" w:sz="4" w:space="0"/>
              <w:left w:val="single" w:color="auto" w:sz="4" w:space="0"/>
              <w:bottom w:val="single" w:color="auto" w:sz="4" w:space="0"/>
              <w:right w:val="single" w:color="auto" w:sz="4" w:space="0"/>
            </w:tcBorders>
            <w:vAlign w:val="center"/>
          </w:tcPr>
          <w:p w14:paraId="16D12EE7">
            <w:pPr>
              <w:jc w:val="center"/>
              <w:rPr>
                <w:rFonts w:ascii="Times New Roman" w:hAnsi="Times New Roman" w:eastAsia="宋体" w:cs="Times New Roman"/>
                <w:b/>
                <w:bCs/>
                <w:sz w:val="18"/>
                <w:szCs w:val="18"/>
                <w:lang w:eastAsia="zh-CN" w:bidi="ar"/>
              </w:rPr>
            </w:pPr>
            <w:r>
              <w:rPr>
                <w:rFonts w:ascii="Times New Roman" w:hAnsi="Times New Roman" w:eastAsia="宋体" w:cs="Times New Roman"/>
                <w:b/>
                <w:bCs/>
                <w:sz w:val="18"/>
                <w:szCs w:val="18"/>
                <w:lang w:eastAsia="zh-CN" w:bidi="ar"/>
              </w:rPr>
              <w:t>metaphor</w:t>
            </w:r>
          </w:p>
        </w:tc>
      </w:tr>
      <w:tr w14:paraId="7F132A73">
        <w:tblPrEx>
          <w:tblCellMar>
            <w:top w:w="43" w:type="dxa"/>
            <w:left w:w="0" w:type="dxa"/>
            <w:bottom w:w="0" w:type="dxa"/>
            <w:right w:w="0" w:type="dxa"/>
          </w:tblCellMar>
        </w:tblPrEx>
        <w:trPr>
          <w:trHeight w:val="282"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2F4E5F4B">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11</w:t>
            </w:r>
          </w:p>
        </w:tc>
        <w:tc>
          <w:tcPr>
            <w:tcW w:w="2137" w:type="dxa"/>
            <w:tcBorders>
              <w:top w:val="single" w:color="auto" w:sz="4" w:space="0"/>
              <w:left w:val="single" w:color="auto" w:sz="4" w:space="0"/>
              <w:bottom w:val="single" w:color="auto" w:sz="4" w:space="0"/>
              <w:right w:val="single" w:color="auto" w:sz="4" w:space="0"/>
            </w:tcBorders>
            <w:vAlign w:val="center"/>
          </w:tcPr>
          <w:p w14:paraId="6CAA8135">
            <w:pPr>
              <w:jc w:val="center"/>
              <w:rPr>
                <w:rFonts w:ascii="Times New Roman" w:hAnsi="Times New Roman" w:cs="Times New Roman"/>
                <w:sz w:val="18"/>
                <w:szCs w:val="18"/>
              </w:rPr>
            </w:pPr>
            <w:r>
              <w:rPr>
                <w:rFonts w:ascii="Times New Roman" w:hAnsi="Times New Roman" w:cs="Times New Roman"/>
                <w:sz w:val="18"/>
                <w:szCs w:val="18"/>
              </w:rPr>
              <w:t>Long-tail imbalance</w:t>
            </w:r>
          </w:p>
        </w:tc>
        <w:tc>
          <w:tcPr>
            <w:tcW w:w="3694" w:type="dxa"/>
            <w:tcBorders>
              <w:top w:val="single" w:color="auto" w:sz="4" w:space="0"/>
              <w:left w:val="single" w:color="auto" w:sz="4" w:space="0"/>
              <w:bottom w:val="single" w:color="auto" w:sz="4" w:space="0"/>
              <w:right w:val="single" w:color="auto" w:sz="4" w:space="0"/>
            </w:tcBorders>
            <w:vAlign w:val="center"/>
          </w:tcPr>
          <w:p w14:paraId="642BBA99">
            <w:pPr>
              <w:jc w:val="center"/>
              <w:rPr>
                <w:rFonts w:ascii="Times New Roman" w:hAnsi="Times New Roman" w:eastAsia="宋体" w:cs="Times New Roman"/>
                <w:sz w:val="18"/>
                <w:szCs w:val="18"/>
                <w:lang w:eastAsia="zh-CN" w:bidi="ar"/>
              </w:rPr>
            </w:pPr>
            <w:r>
              <w:rPr>
                <w:rFonts w:ascii="Times New Roman" w:hAnsi="Times New Roman" w:cs="Times New Roman"/>
                <w:sz w:val="18"/>
                <w:szCs w:val="18"/>
              </w:rPr>
              <w:t>Many frequent vs few rare classes</w:t>
            </w:r>
          </w:p>
        </w:tc>
        <w:tc>
          <w:tcPr>
            <w:tcW w:w="3063" w:type="dxa"/>
            <w:tcBorders>
              <w:top w:val="single" w:color="auto" w:sz="4" w:space="0"/>
              <w:left w:val="single" w:color="auto" w:sz="4" w:space="0"/>
              <w:bottom w:val="single" w:color="auto" w:sz="4" w:space="0"/>
              <w:right w:val="single" w:color="auto" w:sz="4" w:space="0"/>
            </w:tcBorders>
            <w:vAlign w:val="center"/>
          </w:tcPr>
          <w:p w14:paraId="7CA27298">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burgers are ordered frequently while sandwiches are rarely requested, the kitchen becomes increasingly consistent at burgers, but performance on sandwiches remains poor</w:t>
            </w:r>
          </w:p>
        </w:tc>
      </w:tr>
      <w:tr w14:paraId="613BB6A1">
        <w:tblPrEx>
          <w:tblCellMar>
            <w:top w:w="43" w:type="dxa"/>
            <w:left w:w="0" w:type="dxa"/>
            <w:bottom w:w="0" w:type="dxa"/>
            <w:right w:w="0" w:type="dxa"/>
          </w:tblCellMar>
        </w:tblPrEx>
        <w:trPr>
          <w:trHeight w:val="28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1D507A16">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33685EA8">
            <w:pPr>
              <w:jc w:val="center"/>
              <w:rPr>
                <w:rFonts w:ascii="Times New Roman" w:hAnsi="Times New Roman" w:cs="Times New Roman"/>
                <w:sz w:val="18"/>
                <w:szCs w:val="18"/>
              </w:rPr>
            </w:pPr>
            <w:r>
              <w:rPr>
                <w:rFonts w:ascii="Times New Roman" w:hAnsi="Times New Roman" w:cs="Times New Roman"/>
                <w:sz w:val="18"/>
                <w:szCs w:val="18"/>
              </w:rPr>
              <w:t>Reweighting</w:t>
            </w:r>
          </w:p>
        </w:tc>
        <w:tc>
          <w:tcPr>
            <w:tcW w:w="3694" w:type="dxa"/>
            <w:tcBorders>
              <w:top w:val="single" w:color="auto" w:sz="4" w:space="0"/>
              <w:left w:val="single" w:color="auto" w:sz="4" w:space="0"/>
              <w:bottom w:val="single" w:color="auto" w:sz="4" w:space="0"/>
              <w:right w:val="single" w:color="auto" w:sz="4" w:space="0"/>
            </w:tcBorders>
            <w:vAlign w:val="center"/>
          </w:tcPr>
          <w:p w14:paraId="46042381">
            <w:pPr>
              <w:jc w:val="center"/>
              <w:rPr>
                <w:rFonts w:ascii="Times New Roman" w:hAnsi="Times New Roman" w:cs="Times New Roman"/>
                <w:sz w:val="18"/>
                <w:szCs w:val="18"/>
              </w:rPr>
            </w:pPr>
            <w:r>
              <w:rPr>
                <w:rFonts w:ascii="Times New Roman" w:hAnsi="Times New Roman" w:cs="Times New Roman"/>
                <w:sz w:val="18"/>
                <w:szCs w:val="18"/>
              </w:rPr>
              <w:t>Give rare classes more weight</w:t>
            </w:r>
          </w:p>
        </w:tc>
        <w:tc>
          <w:tcPr>
            <w:tcW w:w="3063" w:type="dxa"/>
            <w:tcBorders>
              <w:top w:val="single" w:color="auto" w:sz="4" w:space="0"/>
              <w:left w:val="single" w:color="auto" w:sz="4" w:space="0"/>
              <w:bottom w:val="single" w:color="auto" w:sz="4" w:space="0"/>
              <w:right w:val="single" w:color="auto" w:sz="4" w:space="0"/>
            </w:tcBorders>
            <w:vAlign w:val="center"/>
          </w:tcPr>
          <w:p w14:paraId="27D2E8DA">
            <w:pPr>
              <w:jc w:val="center"/>
              <w:rPr>
                <w:rFonts w:ascii="Times New Roman" w:hAnsi="Times New Roman" w:cs="Times New Roman"/>
                <w:sz w:val="18"/>
                <w:szCs w:val="18"/>
              </w:rPr>
            </w:pPr>
            <w:r>
              <w:rPr>
                <w:rFonts w:ascii="Times New Roman" w:hAnsi="Times New Roman" w:cs="Times New Roman"/>
                <w:sz w:val="18"/>
                <w:szCs w:val="18"/>
              </w:rPr>
              <w:t>Multiply scores by a larger coefficient for rare dishes and by a smaller coefficient for common dishes</w:t>
            </w:r>
          </w:p>
        </w:tc>
      </w:tr>
      <w:tr w14:paraId="61F93D4F">
        <w:tblPrEx>
          <w:tblCellMar>
            <w:top w:w="43" w:type="dxa"/>
            <w:left w:w="0" w:type="dxa"/>
            <w:bottom w:w="0" w:type="dxa"/>
            <w:right w:w="0" w:type="dxa"/>
          </w:tblCellMar>
        </w:tblPrEx>
        <w:trPr>
          <w:trHeight w:val="282"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4ADA2A9C">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2EA180A2">
            <w:pPr>
              <w:jc w:val="center"/>
              <w:rPr>
                <w:rFonts w:ascii="Times New Roman" w:hAnsi="Times New Roman" w:cs="Times New Roman"/>
                <w:sz w:val="18"/>
                <w:szCs w:val="18"/>
              </w:rPr>
            </w:pPr>
            <w:r>
              <w:rPr>
                <w:rFonts w:ascii="Times New Roman" w:hAnsi="Times New Roman" w:cs="Times New Roman"/>
                <w:sz w:val="18"/>
                <w:szCs w:val="18"/>
              </w:rPr>
              <w:t>Focal Loss</w:t>
            </w:r>
          </w:p>
        </w:tc>
        <w:tc>
          <w:tcPr>
            <w:tcW w:w="3694" w:type="dxa"/>
            <w:tcBorders>
              <w:top w:val="single" w:color="auto" w:sz="4" w:space="0"/>
              <w:left w:val="single" w:color="auto" w:sz="4" w:space="0"/>
              <w:bottom w:val="single" w:color="auto" w:sz="4" w:space="0"/>
              <w:right w:val="single" w:color="auto" w:sz="4" w:space="0"/>
            </w:tcBorders>
            <w:vAlign w:val="center"/>
          </w:tcPr>
          <w:p w14:paraId="04D09827">
            <w:pPr>
              <w:jc w:val="center"/>
              <w:rPr>
                <w:rFonts w:ascii="Times New Roman" w:hAnsi="Times New Roman" w:cs="Times New Roman"/>
                <w:sz w:val="18"/>
                <w:szCs w:val="18"/>
              </w:rPr>
            </w:pPr>
            <w:r>
              <w:rPr>
                <w:rFonts w:ascii="Times New Roman" w:hAnsi="Times New Roman" w:cs="Times New Roman"/>
                <w:sz w:val="18"/>
                <w:szCs w:val="18"/>
              </w:rPr>
              <w:t>Loss focusing on hard cases</w:t>
            </w:r>
          </w:p>
        </w:tc>
        <w:tc>
          <w:tcPr>
            <w:tcW w:w="3063" w:type="dxa"/>
            <w:tcBorders>
              <w:top w:val="single" w:color="auto" w:sz="4" w:space="0"/>
              <w:left w:val="single" w:color="auto" w:sz="4" w:space="0"/>
              <w:bottom w:val="single" w:color="auto" w:sz="4" w:space="0"/>
              <w:right w:val="single" w:color="auto" w:sz="4" w:space="0"/>
            </w:tcBorders>
            <w:vAlign w:val="center"/>
          </w:tcPr>
          <w:p w14:paraId="5169C6B7">
            <w:pPr>
              <w:jc w:val="center"/>
              <w:rPr>
                <w:rFonts w:ascii="Times New Roman" w:hAnsi="Times New Roman" w:cs="Times New Roman"/>
                <w:sz w:val="18"/>
                <w:szCs w:val="18"/>
              </w:rPr>
            </w:pPr>
            <w:r>
              <w:rPr>
                <w:rFonts w:ascii="Times New Roman" w:hAnsi="Times New Roman" w:cs="Times New Roman"/>
                <w:sz w:val="18"/>
                <w:szCs w:val="18"/>
              </w:rPr>
              <w:t>focus attention on dishes prone to failure</w:t>
            </w:r>
          </w:p>
        </w:tc>
      </w:tr>
      <w:tr w14:paraId="6528F9C4">
        <w:tblPrEx>
          <w:tblCellMar>
            <w:top w:w="43" w:type="dxa"/>
            <w:left w:w="0" w:type="dxa"/>
            <w:bottom w:w="0" w:type="dxa"/>
            <w:right w:w="0" w:type="dxa"/>
          </w:tblCellMar>
        </w:tblPrEx>
        <w:trPr>
          <w:trHeight w:val="366"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31B1EFF1">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12</w:t>
            </w:r>
          </w:p>
        </w:tc>
        <w:tc>
          <w:tcPr>
            <w:tcW w:w="2137" w:type="dxa"/>
            <w:tcBorders>
              <w:top w:val="single" w:color="auto" w:sz="4" w:space="0"/>
              <w:left w:val="single" w:color="auto" w:sz="4" w:space="0"/>
              <w:bottom w:val="single" w:color="auto" w:sz="4" w:space="0"/>
              <w:right w:val="single" w:color="auto" w:sz="4" w:space="0"/>
            </w:tcBorders>
            <w:vAlign w:val="center"/>
          </w:tcPr>
          <w:p w14:paraId="124ECE24">
            <w:pPr>
              <w:jc w:val="center"/>
              <w:rPr>
                <w:rFonts w:ascii="Times New Roman" w:hAnsi="Times New Roman" w:cs="Times New Roman"/>
                <w:sz w:val="18"/>
                <w:szCs w:val="18"/>
              </w:rPr>
            </w:pPr>
            <w:r>
              <w:rPr>
                <w:rFonts w:ascii="Times New Roman" w:hAnsi="Times New Roman" w:cs="Times New Roman"/>
                <w:sz w:val="18"/>
                <w:szCs w:val="18"/>
              </w:rPr>
              <w:t>XAI</w:t>
            </w:r>
          </w:p>
        </w:tc>
        <w:tc>
          <w:tcPr>
            <w:tcW w:w="3694" w:type="dxa"/>
            <w:tcBorders>
              <w:top w:val="single" w:color="auto" w:sz="4" w:space="0"/>
              <w:left w:val="single" w:color="auto" w:sz="4" w:space="0"/>
              <w:bottom w:val="single" w:color="auto" w:sz="4" w:space="0"/>
              <w:right w:val="single" w:color="auto" w:sz="4" w:space="0"/>
            </w:tcBorders>
            <w:vAlign w:val="center"/>
          </w:tcPr>
          <w:p w14:paraId="7446E988">
            <w:pPr>
              <w:jc w:val="center"/>
              <w:rPr>
                <w:rFonts w:ascii="Times New Roman" w:hAnsi="Times New Roman" w:eastAsia="宋体" w:cs="Times New Roman"/>
                <w:sz w:val="18"/>
                <w:szCs w:val="18"/>
                <w:lang w:eastAsia="zh-CN" w:bidi="ar"/>
              </w:rPr>
            </w:pPr>
            <w:r>
              <w:rPr>
                <w:rFonts w:ascii="Times New Roman" w:hAnsi="Times New Roman" w:cs="Times New Roman"/>
                <w:sz w:val="18"/>
                <w:szCs w:val="18"/>
              </w:rPr>
              <w:t>Methods to explain models</w:t>
            </w:r>
          </w:p>
        </w:tc>
        <w:tc>
          <w:tcPr>
            <w:tcW w:w="3063" w:type="dxa"/>
            <w:tcBorders>
              <w:top w:val="single" w:color="auto" w:sz="4" w:space="0"/>
              <w:left w:val="single" w:color="auto" w:sz="4" w:space="0"/>
              <w:bottom w:val="single" w:color="auto" w:sz="4" w:space="0"/>
              <w:right w:val="single" w:color="auto" w:sz="4" w:space="0"/>
            </w:tcBorders>
            <w:vAlign w:val="center"/>
          </w:tcPr>
          <w:p w14:paraId="5F79F7EC">
            <w:pPr>
              <w:jc w:val="center"/>
              <w:rPr>
                <w:rFonts w:ascii="Times New Roman" w:hAnsi="Times New Roman" w:eastAsia="宋体" w:cs="Times New Roman"/>
                <w:sz w:val="18"/>
                <w:szCs w:val="18"/>
                <w:lang w:eastAsia="zh-CN" w:bidi="ar"/>
              </w:rPr>
            </w:pPr>
            <w:r>
              <w:rPr>
                <w:rFonts w:ascii="Times New Roman" w:hAnsi="Times New Roman" w:eastAsia="宋体" w:cs="Times New Roman"/>
                <w:sz w:val="18"/>
                <w:szCs w:val="18"/>
                <w:lang w:eastAsia="zh-CN" w:bidi="ar"/>
              </w:rPr>
              <w:t>Serve each dish with an “explanation card” that justifies the preparation and decision</w:t>
            </w:r>
          </w:p>
        </w:tc>
      </w:tr>
      <w:tr w14:paraId="5DF1FC00">
        <w:tblPrEx>
          <w:tblCellMar>
            <w:top w:w="43" w:type="dxa"/>
            <w:left w:w="0" w:type="dxa"/>
            <w:bottom w:w="0" w:type="dxa"/>
            <w:right w:w="0" w:type="dxa"/>
          </w:tblCellMar>
        </w:tblPrEx>
        <w:trPr>
          <w:trHeight w:val="366"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7002B6A8">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33263ECC">
            <w:pPr>
              <w:jc w:val="center"/>
              <w:rPr>
                <w:rFonts w:ascii="Times New Roman" w:hAnsi="Times New Roman" w:cs="Times New Roman"/>
                <w:sz w:val="18"/>
                <w:szCs w:val="18"/>
              </w:rPr>
            </w:pPr>
            <w:r>
              <w:rPr>
                <w:rFonts w:ascii="Times New Roman" w:hAnsi="Times New Roman" w:cs="Times New Roman"/>
                <w:sz w:val="18"/>
                <w:szCs w:val="18"/>
              </w:rPr>
              <w:t>SHAP</w:t>
            </w:r>
          </w:p>
        </w:tc>
        <w:tc>
          <w:tcPr>
            <w:tcW w:w="3694" w:type="dxa"/>
            <w:tcBorders>
              <w:top w:val="single" w:color="auto" w:sz="4" w:space="0"/>
              <w:left w:val="single" w:color="auto" w:sz="4" w:space="0"/>
              <w:bottom w:val="single" w:color="auto" w:sz="4" w:space="0"/>
              <w:right w:val="single" w:color="auto" w:sz="4" w:space="0"/>
            </w:tcBorders>
            <w:vAlign w:val="center"/>
          </w:tcPr>
          <w:p w14:paraId="5D43E403">
            <w:pPr>
              <w:jc w:val="center"/>
              <w:rPr>
                <w:rFonts w:ascii="Times New Roman" w:hAnsi="Times New Roman" w:cs="Times New Roman"/>
                <w:sz w:val="18"/>
                <w:szCs w:val="18"/>
              </w:rPr>
            </w:pPr>
            <w:r>
              <w:rPr>
                <w:rFonts w:ascii="Times New Roman" w:hAnsi="Times New Roman" w:cs="Times New Roman"/>
                <w:sz w:val="18"/>
                <w:szCs w:val="18"/>
              </w:rPr>
              <w:t>Estimate each input’s contribution</w:t>
            </w:r>
          </w:p>
        </w:tc>
        <w:tc>
          <w:tcPr>
            <w:tcW w:w="3063" w:type="dxa"/>
            <w:tcBorders>
              <w:top w:val="single" w:color="auto" w:sz="4" w:space="0"/>
              <w:left w:val="single" w:color="auto" w:sz="4" w:space="0"/>
              <w:bottom w:val="single" w:color="auto" w:sz="4" w:space="0"/>
              <w:right w:val="single" w:color="auto" w:sz="4" w:space="0"/>
            </w:tcBorders>
            <w:vAlign w:val="center"/>
          </w:tcPr>
          <w:p w14:paraId="108F2102">
            <w:pPr>
              <w:jc w:val="center"/>
              <w:rPr>
                <w:rFonts w:ascii="Times New Roman" w:hAnsi="Times New Roman" w:cs="Times New Roman"/>
                <w:sz w:val="18"/>
                <w:szCs w:val="18"/>
              </w:rPr>
            </w:pPr>
            <w:r>
              <w:rPr>
                <w:rFonts w:ascii="Times New Roman" w:hAnsi="Times New Roman" w:cs="Times New Roman"/>
                <w:sz w:val="18"/>
                <w:szCs w:val="18"/>
              </w:rPr>
              <w:t>Treat the dish’s overall score as a value function and compute each ingredient’s average marginal contribution</w:t>
            </w:r>
          </w:p>
        </w:tc>
      </w:tr>
      <w:tr w14:paraId="53495FA4">
        <w:tblPrEx>
          <w:tblCellMar>
            <w:top w:w="43" w:type="dxa"/>
            <w:left w:w="0" w:type="dxa"/>
            <w:bottom w:w="0" w:type="dxa"/>
            <w:right w:w="0" w:type="dxa"/>
          </w:tblCellMar>
        </w:tblPrEx>
        <w:trPr>
          <w:trHeight w:val="366"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275D87A2">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4A292073">
            <w:pPr>
              <w:jc w:val="center"/>
              <w:rPr>
                <w:rFonts w:ascii="Times New Roman" w:hAnsi="Times New Roman" w:cs="Times New Roman"/>
                <w:sz w:val="18"/>
                <w:szCs w:val="18"/>
              </w:rPr>
            </w:pPr>
            <w:r>
              <w:rPr>
                <w:rFonts w:ascii="Times New Roman" w:hAnsi="Times New Roman" w:cs="Times New Roman"/>
                <w:sz w:val="18"/>
                <w:szCs w:val="18"/>
              </w:rPr>
              <w:t>Anomalous inputs</w:t>
            </w:r>
          </w:p>
        </w:tc>
        <w:tc>
          <w:tcPr>
            <w:tcW w:w="3694" w:type="dxa"/>
            <w:tcBorders>
              <w:top w:val="single" w:color="auto" w:sz="4" w:space="0"/>
              <w:left w:val="single" w:color="auto" w:sz="4" w:space="0"/>
              <w:bottom w:val="single" w:color="auto" w:sz="4" w:space="0"/>
              <w:right w:val="single" w:color="auto" w:sz="4" w:space="0"/>
            </w:tcBorders>
            <w:vAlign w:val="center"/>
          </w:tcPr>
          <w:p w14:paraId="26CECA60">
            <w:pPr>
              <w:jc w:val="center"/>
              <w:rPr>
                <w:rFonts w:ascii="Times New Roman" w:hAnsi="Times New Roman" w:cs="Times New Roman"/>
                <w:sz w:val="18"/>
                <w:szCs w:val="18"/>
              </w:rPr>
            </w:pPr>
            <w:r>
              <w:rPr>
                <w:rFonts w:ascii="Times New Roman" w:hAnsi="Times New Roman" w:cs="Times New Roman"/>
                <w:sz w:val="18"/>
                <w:szCs w:val="18"/>
              </w:rPr>
              <w:t>Abnormal or adversarial inputs</w:t>
            </w:r>
          </w:p>
        </w:tc>
        <w:tc>
          <w:tcPr>
            <w:tcW w:w="3063" w:type="dxa"/>
            <w:tcBorders>
              <w:top w:val="single" w:color="auto" w:sz="4" w:space="0"/>
              <w:left w:val="single" w:color="auto" w:sz="4" w:space="0"/>
              <w:bottom w:val="single" w:color="auto" w:sz="4" w:space="0"/>
              <w:right w:val="single" w:color="auto" w:sz="4" w:space="0"/>
            </w:tcBorders>
            <w:vAlign w:val="center"/>
          </w:tcPr>
          <w:p w14:paraId="66367C3F">
            <w:pPr>
              <w:jc w:val="center"/>
              <w:rPr>
                <w:rFonts w:ascii="Times New Roman" w:hAnsi="Times New Roman" w:cs="Times New Roman"/>
                <w:sz w:val="18"/>
                <w:szCs w:val="18"/>
              </w:rPr>
            </w:pPr>
            <w:r>
              <w:rPr>
                <w:rFonts w:ascii="Times New Roman" w:hAnsi="Times New Roman" w:cs="Times New Roman"/>
                <w:sz w:val="18"/>
                <w:szCs w:val="18"/>
              </w:rPr>
              <w:t>anomalous or problematic ingredients/readings</w:t>
            </w:r>
          </w:p>
        </w:tc>
      </w:tr>
      <w:tr w14:paraId="27E9D104">
        <w:tblPrEx>
          <w:tblCellMar>
            <w:top w:w="43" w:type="dxa"/>
            <w:left w:w="0" w:type="dxa"/>
            <w:bottom w:w="0" w:type="dxa"/>
            <w:right w:w="0" w:type="dxa"/>
          </w:tblCellMar>
        </w:tblPrEx>
        <w:trPr>
          <w:trHeight w:val="460"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40E6FFDA">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13</w:t>
            </w:r>
          </w:p>
        </w:tc>
        <w:tc>
          <w:tcPr>
            <w:tcW w:w="2137" w:type="dxa"/>
            <w:tcBorders>
              <w:top w:val="single" w:color="auto" w:sz="4" w:space="0"/>
              <w:left w:val="single" w:color="auto" w:sz="4" w:space="0"/>
              <w:bottom w:val="single" w:color="auto" w:sz="4" w:space="0"/>
              <w:right w:val="single" w:color="auto" w:sz="4" w:space="0"/>
            </w:tcBorders>
            <w:vAlign w:val="center"/>
          </w:tcPr>
          <w:p w14:paraId="78F22FE6">
            <w:pPr>
              <w:jc w:val="center"/>
              <w:rPr>
                <w:rFonts w:ascii="Times New Roman" w:hAnsi="Times New Roman" w:cs="Times New Roman"/>
                <w:sz w:val="18"/>
                <w:szCs w:val="18"/>
              </w:rPr>
            </w:pPr>
            <w:r>
              <w:rPr>
                <w:rFonts w:ascii="Times New Roman" w:hAnsi="Times New Roman" w:cs="Times New Roman"/>
                <w:sz w:val="18"/>
                <w:szCs w:val="18"/>
              </w:rPr>
              <w:t>Online detection</w:t>
            </w:r>
          </w:p>
        </w:tc>
        <w:tc>
          <w:tcPr>
            <w:tcW w:w="3694" w:type="dxa"/>
            <w:tcBorders>
              <w:top w:val="single" w:color="auto" w:sz="4" w:space="0"/>
              <w:left w:val="single" w:color="auto" w:sz="4" w:space="0"/>
              <w:bottom w:val="single" w:color="auto" w:sz="4" w:space="0"/>
              <w:right w:val="single" w:color="auto" w:sz="4" w:space="0"/>
            </w:tcBorders>
            <w:vAlign w:val="center"/>
          </w:tcPr>
          <w:p w14:paraId="7E24855C">
            <w:pPr>
              <w:jc w:val="center"/>
              <w:rPr>
                <w:rFonts w:ascii="Times New Roman" w:hAnsi="Times New Roman" w:cs="Times New Roman"/>
                <w:sz w:val="18"/>
                <w:szCs w:val="18"/>
              </w:rPr>
            </w:pPr>
            <w:r>
              <w:rPr>
                <w:rFonts w:ascii="Times New Roman" w:hAnsi="Times New Roman" w:cs="Times New Roman"/>
                <w:sz w:val="18"/>
                <w:szCs w:val="18"/>
              </w:rPr>
              <w:t>Real‑time predictions</w:t>
            </w:r>
          </w:p>
        </w:tc>
        <w:tc>
          <w:tcPr>
            <w:tcW w:w="3063" w:type="dxa"/>
            <w:tcBorders>
              <w:top w:val="single" w:color="auto" w:sz="4" w:space="0"/>
              <w:left w:val="single" w:color="auto" w:sz="4" w:space="0"/>
              <w:bottom w:val="single" w:color="auto" w:sz="4" w:space="0"/>
              <w:right w:val="single" w:color="auto" w:sz="4" w:space="0"/>
            </w:tcBorders>
            <w:vAlign w:val="center"/>
          </w:tcPr>
          <w:p w14:paraId="5A1D0F89">
            <w:pPr>
              <w:jc w:val="center"/>
              <w:rPr>
                <w:rFonts w:ascii="Times New Roman" w:hAnsi="Times New Roman" w:cs="Times New Roman"/>
                <w:sz w:val="18"/>
                <w:szCs w:val="18"/>
              </w:rPr>
            </w:pPr>
            <w:r>
              <w:rPr>
                <w:rFonts w:ascii="Times New Roman" w:hAnsi="Times New Roman" w:cs="Times New Roman"/>
                <w:sz w:val="18"/>
                <w:szCs w:val="18"/>
              </w:rPr>
              <w:t>taste while cooking</w:t>
            </w:r>
          </w:p>
        </w:tc>
      </w:tr>
      <w:tr w14:paraId="13D3CDEC">
        <w:tblPrEx>
          <w:tblCellMar>
            <w:top w:w="43" w:type="dxa"/>
            <w:left w:w="0" w:type="dxa"/>
            <w:bottom w:w="0" w:type="dxa"/>
            <w:right w:w="0" w:type="dxa"/>
          </w:tblCellMar>
        </w:tblPrEx>
        <w:trPr>
          <w:trHeight w:val="460"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50043C8D">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4D93CC9B">
            <w:pPr>
              <w:jc w:val="center"/>
              <w:rPr>
                <w:rFonts w:ascii="Times New Roman" w:hAnsi="Times New Roman" w:cs="Times New Roman"/>
                <w:sz w:val="18"/>
                <w:szCs w:val="18"/>
              </w:rPr>
            </w:pPr>
            <w:r>
              <w:rPr>
                <w:rFonts w:ascii="Times New Roman" w:hAnsi="Times New Roman" w:cs="Times New Roman"/>
                <w:sz w:val="18"/>
                <w:szCs w:val="18"/>
              </w:rPr>
              <w:t>Boundary detection</w:t>
            </w:r>
          </w:p>
        </w:tc>
        <w:tc>
          <w:tcPr>
            <w:tcW w:w="3694" w:type="dxa"/>
            <w:tcBorders>
              <w:top w:val="single" w:color="auto" w:sz="4" w:space="0"/>
              <w:left w:val="single" w:color="auto" w:sz="4" w:space="0"/>
              <w:bottom w:val="single" w:color="auto" w:sz="4" w:space="0"/>
              <w:right w:val="single" w:color="auto" w:sz="4" w:space="0"/>
            </w:tcBorders>
            <w:vAlign w:val="center"/>
          </w:tcPr>
          <w:p w14:paraId="3A1D38EA">
            <w:pPr>
              <w:jc w:val="center"/>
              <w:rPr>
                <w:rFonts w:ascii="Times New Roman" w:hAnsi="Times New Roman" w:cs="Times New Roman"/>
                <w:sz w:val="18"/>
                <w:szCs w:val="18"/>
              </w:rPr>
            </w:pPr>
            <w:r>
              <w:rPr>
                <w:rFonts w:ascii="Times New Roman" w:hAnsi="Times New Roman" w:cs="Times New Roman"/>
                <w:sz w:val="18"/>
                <w:szCs w:val="18"/>
              </w:rPr>
              <w:t>Locate activity switches</w:t>
            </w:r>
          </w:p>
        </w:tc>
        <w:tc>
          <w:tcPr>
            <w:tcW w:w="3063" w:type="dxa"/>
            <w:tcBorders>
              <w:top w:val="single" w:color="auto" w:sz="4" w:space="0"/>
              <w:left w:val="single" w:color="auto" w:sz="4" w:space="0"/>
              <w:bottom w:val="single" w:color="auto" w:sz="4" w:space="0"/>
              <w:right w:val="single" w:color="auto" w:sz="4" w:space="0"/>
            </w:tcBorders>
            <w:vAlign w:val="center"/>
          </w:tcPr>
          <w:p w14:paraId="0E1D4459">
            <w:pPr>
              <w:jc w:val="center"/>
              <w:rPr>
                <w:rFonts w:ascii="Times New Roman" w:hAnsi="Times New Roman" w:cs="Times New Roman"/>
                <w:sz w:val="18"/>
                <w:szCs w:val="18"/>
              </w:rPr>
            </w:pPr>
            <w:r>
              <w:rPr>
                <w:rFonts w:ascii="Times New Roman" w:hAnsi="Times New Roman" w:cs="Times New Roman"/>
                <w:sz w:val="18"/>
                <w:szCs w:val="18"/>
              </w:rPr>
              <w:t>determine when to flip the pan and when to remove the dish from heat</w:t>
            </w:r>
          </w:p>
        </w:tc>
      </w:tr>
      <w:tr w14:paraId="175DC266">
        <w:tblPrEx>
          <w:tblCellMar>
            <w:top w:w="43" w:type="dxa"/>
            <w:left w:w="0" w:type="dxa"/>
            <w:bottom w:w="0" w:type="dxa"/>
            <w:right w:w="0" w:type="dxa"/>
          </w:tblCellMar>
        </w:tblPrEx>
        <w:trPr>
          <w:trHeight w:val="348"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3F8F8411">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14</w:t>
            </w:r>
          </w:p>
        </w:tc>
        <w:tc>
          <w:tcPr>
            <w:tcW w:w="2137" w:type="dxa"/>
            <w:tcBorders>
              <w:top w:val="single" w:color="auto" w:sz="4" w:space="0"/>
              <w:left w:val="single" w:color="auto" w:sz="4" w:space="0"/>
              <w:bottom w:val="single" w:color="auto" w:sz="4" w:space="0"/>
              <w:right w:val="single" w:color="auto" w:sz="4" w:space="0"/>
            </w:tcBorders>
            <w:vAlign w:val="center"/>
          </w:tcPr>
          <w:p w14:paraId="7FCA55E4">
            <w:pPr>
              <w:jc w:val="center"/>
              <w:rPr>
                <w:rFonts w:ascii="Times New Roman" w:hAnsi="Times New Roman" w:cs="Times New Roman"/>
                <w:sz w:val="18"/>
                <w:szCs w:val="18"/>
              </w:rPr>
            </w:pPr>
            <w:r>
              <w:rPr>
                <w:rFonts w:ascii="Times New Roman" w:hAnsi="Times New Roman" w:cs="Times New Roman"/>
                <w:sz w:val="18"/>
                <w:szCs w:val="18"/>
              </w:rPr>
              <w:t>Friedman</w:t>
            </w:r>
          </w:p>
        </w:tc>
        <w:tc>
          <w:tcPr>
            <w:tcW w:w="3694" w:type="dxa"/>
            <w:tcBorders>
              <w:top w:val="single" w:color="auto" w:sz="4" w:space="0"/>
              <w:left w:val="single" w:color="auto" w:sz="4" w:space="0"/>
              <w:bottom w:val="single" w:color="auto" w:sz="4" w:space="0"/>
              <w:right w:val="single" w:color="auto" w:sz="4" w:space="0"/>
            </w:tcBorders>
            <w:vAlign w:val="center"/>
          </w:tcPr>
          <w:p w14:paraId="104E043E">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Non‑parametric rank test</w:t>
            </w:r>
          </w:p>
        </w:tc>
        <w:tc>
          <w:tcPr>
            <w:tcW w:w="3063" w:type="dxa"/>
            <w:vMerge w:val="restart"/>
            <w:tcBorders>
              <w:top w:val="single" w:color="auto" w:sz="4" w:space="0"/>
              <w:left w:val="single" w:color="auto" w:sz="4" w:space="0"/>
              <w:bottom w:val="single" w:color="auto" w:sz="4" w:space="0"/>
              <w:right w:val="single" w:color="auto" w:sz="4" w:space="0"/>
            </w:tcBorders>
            <w:vAlign w:val="center"/>
          </w:tcPr>
          <w:p w14:paraId="1C056E1B">
            <w:pPr>
              <w:jc w:val="center"/>
              <w:rPr>
                <w:rFonts w:ascii="Times New Roman" w:hAnsi="Times New Roman" w:eastAsia="宋体" w:cs="Times New Roman"/>
                <w:sz w:val="18"/>
                <w:szCs w:val="18"/>
                <w:lang w:eastAsia="zh-CN"/>
              </w:rPr>
            </w:pPr>
            <w:r>
              <w:rPr>
                <w:rFonts w:ascii="Times New Roman" w:hAnsi="Times New Roman" w:cs="Times New Roman"/>
                <w:sz w:val="18"/>
                <w:szCs w:val="18"/>
              </w:rPr>
              <w:t>Are pairwise rank differences among multiple chefs stable across repeated blind evaluations</w:t>
            </w:r>
            <w:r>
              <w:rPr>
                <w:rFonts w:hint="eastAsia" w:ascii="Times New Roman" w:hAnsi="Times New Roman" w:eastAsia="宋体" w:cs="Times New Roman"/>
                <w:sz w:val="18"/>
                <w:szCs w:val="18"/>
                <w:lang w:eastAsia="zh-CN"/>
              </w:rPr>
              <w:t>?</w:t>
            </w:r>
          </w:p>
        </w:tc>
      </w:tr>
      <w:tr w14:paraId="12369A84">
        <w:tblPrEx>
          <w:tblCellMar>
            <w:top w:w="43" w:type="dxa"/>
            <w:left w:w="0" w:type="dxa"/>
            <w:bottom w:w="0" w:type="dxa"/>
            <w:right w:w="0" w:type="dxa"/>
          </w:tblCellMar>
        </w:tblPrEx>
        <w:trPr>
          <w:trHeight w:val="3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02F78C90">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6DD82B0E">
            <w:pPr>
              <w:jc w:val="center"/>
              <w:rPr>
                <w:rFonts w:ascii="Times New Roman" w:hAnsi="Times New Roman" w:cs="Times New Roman"/>
                <w:sz w:val="18"/>
                <w:szCs w:val="18"/>
              </w:rPr>
            </w:pPr>
            <w:r>
              <w:rPr>
                <w:rFonts w:ascii="Times New Roman" w:hAnsi="Times New Roman" w:cs="Times New Roman"/>
                <w:sz w:val="18"/>
                <w:szCs w:val="18"/>
              </w:rPr>
              <w:t>Nemenyi / CD</w:t>
            </w:r>
          </w:p>
        </w:tc>
        <w:tc>
          <w:tcPr>
            <w:tcW w:w="3694" w:type="dxa"/>
            <w:tcBorders>
              <w:top w:val="single" w:color="auto" w:sz="4" w:space="0"/>
              <w:left w:val="single" w:color="auto" w:sz="4" w:space="0"/>
              <w:bottom w:val="single" w:color="auto" w:sz="4" w:space="0"/>
              <w:right w:val="single" w:color="auto" w:sz="4" w:space="0"/>
            </w:tcBorders>
            <w:vAlign w:val="center"/>
          </w:tcPr>
          <w:p w14:paraId="18F8A184">
            <w:pPr>
              <w:jc w:val="center"/>
              <w:rPr>
                <w:rFonts w:ascii="Times New Roman" w:hAnsi="Times New Roman" w:cs="Times New Roman"/>
                <w:sz w:val="18"/>
                <w:szCs w:val="18"/>
              </w:rPr>
            </w:pPr>
            <w:r>
              <w:rPr>
                <w:rFonts w:ascii="Times New Roman" w:hAnsi="Times New Roman" w:cs="Times New Roman"/>
                <w:sz w:val="18"/>
                <w:szCs w:val="18"/>
              </w:rPr>
              <w:t>Post‑hoc; visualise significant gaps</w:t>
            </w:r>
          </w:p>
        </w:tc>
        <w:tc>
          <w:tcPr>
            <w:tcW w:w="3063" w:type="dxa"/>
            <w:vMerge w:val="continue"/>
            <w:tcBorders>
              <w:top w:val="single" w:color="auto" w:sz="4" w:space="0"/>
              <w:left w:val="single" w:color="auto" w:sz="4" w:space="0"/>
              <w:bottom w:val="single" w:color="auto" w:sz="4" w:space="0"/>
              <w:right w:val="single" w:color="auto" w:sz="4" w:space="0"/>
            </w:tcBorders>
            <w:vAlign w:val="center"/>
          </w:tcPr>
          <w:p w14:paraId="1558FEE0">
            <w:pPr>
              <w:jc w:val="center"/>
              <w:rPr>
                <w:rFonts w:ascii="Times New Roman" w:hAnsi="Times New Roman" w:cs="Times New Roman"/>
                <w:sz w:val="18"/>
                <w:szCs w:val="18"/>
              </w:rPr>
            </w:pPr>
          </w:p>
        </w:tc>
      </w:tr>
      <w:tr w14:paraId="1D7B3846">
        <w:tblPrEx>
          <w:tblCellMar>
            <w:top w:w="43" w:type="dxa"/>
            <w:left w:w="0" w:type="dxa"/>
            <w:bottom w:w="0" w:type="dxa"/>
            <w:right w:w="0" w:type="dxa"/>
          </w:tblCellMar>
        </w:tblPrEx>
        <w:trPr>
          <w:trHeight w:val="34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53D263D6">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494CF730">
            <w:pPr>
              <w:jc w:val="center"/>
              <w:rPr>
                <w:rFonts w:ascii="Times New Roman" w:hAnsi="Times New Roman" w:cs="Times New Roman"/>
                <w:sz w:val="18"/>
                <w:szCs w:val="18"/>
              </w:rPr>
            </w:pPr>
            <w:r>
              <w:rPr>
                <w:rFonts w:ascii="Times New Roman" w:hAnsi="Times New Roman" w:cs="Times New Roman"/>
                <w:sz w:val="18"/>
                <w:szCs w:val="18"/>
              </w:rPr>
              <w:t>Wilcoxon（Holm）</w:t>
            </w:r>
          </w:p>
        </w:tc>
        <w:tc>
          <w:tcPr>
            <w:tcW w:w="3694" w:type="dxa"/>
            <w:tcBorders>
              <w:top w:val="single" w:color="auto" w:sz="4" w:space="0"/>
              <w:left w:val="single" w:color="auto" w:sz="4" w:space="0"/>
              <w:bottom w:val="single" w:color="auto" w:sz="4" w:space="0"/>
              <w:right w:val="single" w:color="auto" w:sz="4" w:space="0"/>
            </w:tcBorders>
            <w:vAlign w:val="center"/>
          </w:tcPr>
          <w:p w14:paraId="28B3BC3D">
            <w:pPr>
              <w:jc w:val="center"/>
              <w:rPr>
                <w:rFonts w:ascii="Times New Roman" w:hAnsi="Times New Roman" w:cs="Times New Roman"/>
                <w:sz w:val="18"/>
                <w:szCs w:val="18"/>
              </w:rPr>
            </w:pPr>
            <w:r>
              <w:rPr>
                <w:rFonts w:ascii="Times New Roman" w:hAnsi="Times New Roman" w:cs="Times New Roman"/>
                <w:sz w:val="18"/>
                <w:szCs w:val="18"/>
              </w:rPr>
              <w:t>Pairwise test; Holm correction</w:t>
            </w:r>
          </w:p>
        </w:tc>
        <w:tc>
          <w:tcPr>
            <w:tcW w:w="3063" w:type="dxa"/>
            <w:tcBorders>
              <w:top w:val="single" w:color="auto" w:sz="4" w:space="0"/>
              <w:left w:val="single" w:color="auto" w:sz="4" w:space="0"/>
              <w:bottom w:val="single" w:color="auto" w:sz="4" w:space="0"/>
              <w:right w:val="single" w:color="auto" w:sz="4" w:space="0"/>
            </w:tcBorders>
            <w:vAlign w:val="center"/>
          </w:tcPr>
          <w:p w14:paraId="124934CC">
            <w:pPr>
              <w:jc w:val="center"/>
              <w:rPr>
                <w:rFonts w:ascii="Times New Roman" w:hAnsi="Times New Roman" w:cs="Times New Roman"/>
                <w:sz w:val="18"/>
                <w:szCs w:val="18"/>
              </w:rPr>
            </w:pPr>
            <w:r>
              <w:rPr>
                <w:rFonts w:ascii="Times New Roman" w:hAnsi="Times New Roman" w:cs="Times New Roman"/>
                <w:sz w:val="18"/>
                <w:szCs w:val="18"/>
              </w:rPr>
              <w:t>Chef A vs. Chef B</w:t>
            </w:r>
          </w:p>
        </w:tc>
      </w:tr>
      <w:tr w14:paraId="632AD69B">
        <w:tblPrEx>
          <w:tblCellMar>
            <w:top w:w="43" w:type="dxa"/>
            <w:left w:w="0" w:type="dxa"/>
            <w:bottom w:w="0" w:type="dxa"/>
            <w:right w:w="0" w:type="dxa"/>
          </w:tblCellMar>
        </w:tblPrEx>
        <w:trPr>
          <w:trHeight w:val="233"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1B2A97D2">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4C0F0438">
            <w:pPr>
              <w:jc w:val="center"/>
              <w:rPr>
                <w:rFonts w:ascii="Times New Roman" w:hAnsi="Times New Roman" w:cs="Times New Roman"/>
                <w:sz w:val="18"/>
                <w:szCs w:val="18"/>
              </w:rPr>
            </w:pPr>
            <w:r>
              <w:rPr>
                <w:rFonts w:ascii="Times New Roman" w:hAnsi="Times New Roman" w:cs="Times New Roman"/>
                <w:sz w:val="18"/>
                <w:szCs w:val="18"/>
              </w:rPr>
              <w:t>Effect size (e.g., Cliff’s δ)</w:t>
            </w:r>
          </w:p>
        </w:tc>
        <w:tc>
          <w:tcPr>
            <w:tcW w:w="3694" w:type="dxa"/>
            <w:tcBorders>
              <w:top w:val="single" w:color="auto" w:sz="4" w:space="0"/>
              <w:left w:val="single" w:color="auto" w:sz="4" w:space="0"/>
              <w:bottom w:val="single" w:color="auto" w:sz="4" w:space="0"/>
              <w:right w:val="single" w:color="auto" w:sz="4" w:space="0"/>
            </w:tcBorders>
            <w:vAlign w:val="center"/>
          </w:tcPr>
          <w:p w14:paraId="7721A345">
            <w:pPr>
              <w:jc w:val="center"/>
              <w:rPr>
                <w:rFonts w:ascii="Times New Roman" w:hAnsi="Times New Roman" w:cs="Times New Roman"/>
                <w:sz w:val="18"/>
                <w:szCs w:val="18"/>
              </w:rPr>
            </w:pPr>
            <w:r>
              <w:rPr>
                <w:rFonts w:ascii="Times New Roman" w:hAnsi="Times New Roman" w:cs="Times New Roman"/>
                <w:sz w:val="18"/>
                <w:szCs w:val="18"/>
              </w:rPr>
              <w:t>Quantifies how big the difference is</w:t>
            </w:r>
          </w:p>
        </w:tc>
        <w:tc>
          <w:tcPr>
            <w:tcW w:w="3063" w:type="dxa"/>
            <w:tcBorders>
              <w:top w:val="single" w:color="auto" w:sz="4" w:space="0"/>
              <w:left w:val="single" w:color="auto" w:sz="4" w:space="0"/>
              <w:bottom w:val="single" w:color="auto" w:sz="4" w:space="0"/>
              <w:right w:val="single" w:color="auto" w:sz="4" w:space="0"/>
            </w:tcBorders>
            <w:vAlign w:val="center"/>
          </w:tcPr>
          <w:p w14:paraId="6081807B">
            <w:pPr>
              <w:jc w:val="center"/>
              <w:rPr>
                <w:rFonts w:ascii="Times New Roman" w:hAnsi="Times New Roman" w:eastAsia="宋体" w:cs="Times New Roman"/>
                <w:sz w:val="18"/>
                <w:szCs w:val="18"/>
                <w:lang w:eastAsia="zh-CN"/>
              </w:rPr>
            </w:pPr>
            <w:r>
              <w:rPr>
                <w:rFonts w:ascii="Times New Roman" w:hAnsi="Times New Roman" w:cs="Times New Roman"/>
                <w:sz w:val="18"/>
                <w:szCs w:val="18"/>
              </w:rPr>
              <w:t xml:space="preserve">What is the probability of preferring </w:t>
            </w:r>
            <w:r>
              <w:rPr>
                <w:rFonts w:hint="eastAsia" w:ascii="Times New Roman" w:hAnsi="Times New Roman" w:eastAsia="宋体" w:cs="Times New Roman"/>
                <w:sz w:val="18"/>
                <w:szCs w:val="18"/>
                <w:lang w:eastAsia="zh-CN"/>
              </w:rPr>
              <w:t xml:space="preserve">chef </w:t>
            </w:r>
            <w:r>
              <w:rPr>
                <w:rFonts w:ascii="Times New Roman" w:hAnsi="Times New Roman" w:cs="Times New Roman"/>
                <w:sz w:val="18"/>
                <w:szCs w:val="18"/>
              </w:rPr>
              <w:t>A</w:t>
            </w:r>
            <w:r>
              <w:rPr>
                <w:rFonts w:hint="eastAsia" w:ascii="Times New Roman" w:hAnsi="Times New Roman" w:eastAsia="宋体" w:cs="Times New Roman"/>
                <w:sz w:val="18"/>
                <w:szCs w:val="18"/>
                <w:lang w:eastAsia="zh-CN"/>
              </w:rPr>
              <w:t>?</w:t>
            </w:r>
          </w:p>
        </w:tc>
      </w:tr>
      <w:tr w14:paraId="01B06D3C">
        <w:tblPrEx>
          <w:tblCellMar>
            <w:top w:w="43" w:type="dxa"/>
            <w:left w:w="0" w:type="dxa"/>
            <w:bottom w:w="0" w:type="dxa"/>
            <w:right w:w="0" w:type="dxa"/>
          </w:tblCellMar>
        </w:tblPrEx>
        <w:trPr>
          <w:trHeight w:val="233"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7D77F609">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7E26AF87">
            <w:pPr>
              <w:jc w:val="center"/>
              <w:rPr>
                <w:rFonts w:ascii="Times New Roman" w:hAnsi="Times New Roman" w:cs="Times New Roman"/>
                <w:sz w:val="18"/>
                <w:szCs w:val="18"/>
              </w:rPr>
            </w:pPr>
            <w:r>
              <w:rPr>
                <w:rFonts w:ascii="Times New Roman" w:hAnsi="Times New Roman" w:cs="Times New Roman"/>
                <w:sz w:val="18"/>
                <w:szCs w:val="18"/>
              </w:rPr>
              <w:t>ROC / AUC</w:t>
            </w:r>
          </w:p>
        </w:tc>
        <w:tc>
          <w:tcPr>
            <w:tcW w:w="3694" w:type="dxa"/>
            <w:tcBorders>
              <w:top w:val="single" w:color="auto" w:sz="4" w:space="0"/>
              <w:left w:val="single" w:color="auto" w:sz="4" w:space="0"/>
              <w:bottom w:val="single" w:color="auto" w:sz="4" w:space="0"/>
              <w:right w:val="single" w:color="auto" w:sz="4" w:space="0"/>
            </w:tcBorders>
            <w:vAlign w:val="center"/>
          </w:tcPr>
          <w:p w14:paraId="2D28BC6A">
            <w:pPr>
              <w:jc w:val="center"/>
              <w:rPr>
                <w:rFonts w:ascii="Times New Roman" w:hAnsi="Times New Roman" w:cs="Times New Roman"/>
                <w:sz w:val="18"/>
                <w:szCs w:val="18"/>
              </w:rPr>
            </w:pPr>
            <w:r>
              <w:rPr>
                <w:rFonts w:ascii="Times New Roman" w:hAnsi="Times New Roman" w:cs="Times New Roman"/>
                <w:sz w:val="18"/>
                <w:szCs w:val="18"/>
              </w:rPr>
              <w:t>Performance curve/area over thresholds</w:t>
            </w:r>
          </w:p>
        </w:tc>
        <w:tc>
          <w:tcPr>
            <w:tcW w:w="3063" w:type="dxa"/>
            <w:tcBorders>
              <w:top w:val="single" w:color="auto" w:sz="4" w:space="0"/>
              <w:left w:val="single" w:color="auto" w:sz="4" w:space="0"/>
              <w:bottom w:val="single" w:color="auto" w:sz="4" w:space="0"/>
              <w:right w:val="single" w:color="auto" w:sz="4" w:space="0"/>
            </w:tcBorders>
            <w:vAlign w:val="center"/>
          </w:tcPr>
          <w:p w14:paraId="0ED0F76B">
            <w:pPr>
              <w:jc w:val="center"/>
              <w:rPr>
                <w:rFonts w:ascii="Times New Roman" w:hAnsi="Times New Roman" w:cs="Times New Roman"/>
                <w:sz w:val="18"/>
                <w:szCs w:val="18"/>
              </w:rPr>
            </w:pPr>
            <w:r>
              <w:rPr>
                <w:rFonts w:ascii="Times New Roman" w:hAnsi="Times New Roman" w:cs="Times New Roman"/>
                <w:sz w:val="18"/>
                <w:szCs w:val="18"/>
              </w:rPr>
              <w:t>Is the global ranking stable as the decision threshold tightens from lenient to stringent?</w:t>
            </w:r>
          </w:p>
        </w:tc>
      </w:tr>
      <w:tr w14:paraId="4D618276">
        <w:tblPrEx>
          <w:tblCellMar>
            <w:top w:w="43" w:type="dxa"/>
            <w:left w:w="0" w:type="dxa"/>
            <w:bottom w:w="0" w:type="dxa"/>
            <w:right w:w="0" w:type="dxa"/>
          </w:tblCellMar>
        </w:tblPrEx>
        <w:trPr>
          <w:trHeight w:val="428" w:hRule="atLeast"/>
        </w:trPr>
        <w:tc>
          <w:tcPr>
            <w:tcW w:w="384" w:type="dxa"/>
            <w:vMerge w:val="restart"/>
            <w:tcBorders>
              <w:top w:val="single" w:color="auto" w:sz="4" w:space="0"/>
              <w:left w:val="single" w:color="auto" w:sz="4" w:space="0"/>
              <w:bottom w:val="single" w:color="auto" w:sz="4" w:space="0"/>
              <w:right w:val="single" w:color="auto" w:sz="4" w:space="0"/>
            </w:tcBorders>
            <w:vAlign w:val="center"/>
          </w:tcPr>
          <w:p w14:paraId="685B5476">
            <w:pPr>
              <w:jc w:val="center"/>
              <w:rPr>
                <w:rFonts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15</w:t>
            </w:r>
          </w:p>
        </w:tc>
        <w:tc>
          <w:tcPr>
            <w:tcW w:w="2137" w:type="dxa"/>
            <w:tcBorders>
              <w:top w:val="single" w:color="auto" w:sz="4" w:space="0"/>
              <w:left w:val="single" w:color="auto" w:sz="4" w:space="0"/>
              <w:bottom w:val="single" w:color="auto" w:sz="4" w:space="0"/>
              <w:right w:val="single" w:color="auto" w:sz="4" w:space="0"/>
            </w:tcBorders>
            <w:vAlign w:val="center"/>
          </w:tcPr>
          <w:p w14:paraId="12C41F85">
            <w:pPr>
              <w:jc w:val="center"/>
              <w:rPr>
                <w:rFonts w:ascii="Times New Roman" w:hAnsi="Times New Roman" w:cs="Times New Roman"/>
                <w:sz w:val="18"/>
                <w:szCs w:val="18"/>
              </w:rPr>
            </w:pPr>
            <w:r>
              <w:rPr>
                <w:rFonts w:ascii="Times New Roman" w:hAnsi="Times New Roman" w:cs="Times New Roman"/>
                <w:sz w:val="18"/>
                <w:szCs w:val="18"/>
              </w:rPr>
              <w:t>Dataset Card</w:t>
            </w:r>
          </w:p>
        </w:tc>
        <w:tc>
          <w:tcPr>
            <w:tcW w:w="3694" w:type="dxa"/>
            <w:tcBorders>
              <w:top w:val="single" w:color="auto" w:sz="4" w:space="0"/>
              <w:left w:val="single" w:color="auto" w:sz="4" w:space="0"/>
              <w:bottom w:val="single" w:color="auto" w:sz="4" w:space="0"/>
              <w:right w:val="single" w:color="auto" w:sz="4" w:space="0"/>
            </w:tcBorders>
            <w:vAlign w:val="center"/>
          </w:tcPr>
          <w:p w14:paraId="08F9E3F9">
            <w:pPr>
              <w:jc w:val="center"/>
              <w:rPr>
                <w:rFonts w:ascii="Times New Roman" w:hAnsi="Times New Roman" w:cs="Times New Roman"/>
                <w:sz w:val="18"/>
                <w:szCs w:val="18"/>
              </w:rPr>
            </w:pPr>
            <w:r>
              <w:rPr>
                <w:rFonts w:ascii="Times New Roman" w:hAnsi="Times New Roman" w:eastAsia="宋体" w:cs="Times New Roman"/>
                <w:sz w:val="18"/>
                <w:szCs w:val="18"/>
                <w:lang w:eastAsia="zh-CN" w:bidi="ar"/>
              </w:rPr>
              <w:t>Data fact sheet of uses/limits/risks</w:t>
            </w:r>
          </w:p>
        </w:tc>
        <w:tc>
          <w:tcPr>
            <w:tcW w:w="3063" w:type="dxa"/>
            <w:tcBorders>
              <w:top w:val="single" w:color="auto" w:sz="4" w:space="0"/>
              <w:left w:val="single" w:color="auto" w:sz="4" w:space="0"/>
              <w:bottom w:val="single" w:color="auto" w:sz="4" w:space="0"/>
              <w:right w:val="single" w:color="auto" w:sz="4" w:space="0"/>
            </w:tcBorders>
            <w:vAlign w:val="center"/>
          </w:tcPr>
          <w:p w14:paraId="75AB72D6">
            <w:pPr>
              <w:jc w:val="center"/>
              <w:rPr>
                <w:rFonts w:ascii="Times New Roman" w:hAnsi="Times New Roman" w:cs="Times New Roman"/>
                <w:sz w:val="18"/>
                <w:szCs w:val="18"/>
              </w:rPr>
            </w:pPr>
            <w:r>
              <w:rPr>
                <w:rFonts w:ascii="Times New Roman" w:hAnsi="Times New Roman" w:cs="Times New Roman"/>
                <w:sz w:val="18"/>
                <w:szCs w:val="18"/>
              </w:rPr>
              <w:t>ingredient data sheet — origin, shelf life, allergy warnings, etc</w:t>
            </w:r>
          </w:p>
        </w:tc>
      </w:tr>
      <w:tr w14:paraId="701FD7A4">
        <w:tblPrEx>
          <w:tblCellMar>
            <w:top w:w="43" w:type="dxa"/>
            <w:left w:w="0" w:type="dxa"/>
            <w:bottom w:w="0" w:type="dxa"/>
            <w:right w:w="0" w:type="dxa"/>
          </w:tblCellMar>
        </w:tblPrEx>
        <w:trPr>
          <w:trHeight w:val="42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30D6D97C">
            <w:pPr>
              <w:jc w:val="center"/>
            </w:pPr>
          </w:p>
        </w:tc>
        <w:tc>
          <w:tcPr>
            <w:tcW w:w="2137" w:type="dxa"/>
            <w:tcBorders>
              <w:top w:val="single" w:color="auto" w:sz="4" w:space="0"/>
              <w:left w:val="single" w:color="auto" w:sz="4" w:space="0"/>
              <w:bottom w:val="single" w:color="auto" w:sz="4" w:space="0"/>
              <w:right w:val="single" w:color="auto" w:sz="4" w:space="0"/>
            </w:tcBorders>
            <w:vAlign w:val="center"/>
          </w:tcPr>
          <w:p w14:paraId="3D62441C">
            <w:pPr>
              <w:jc w:val="center"/>
              <w:rPr>
                <w:rFonts w:ascii="Times New Roman" w:hAnsi="Times New Roman" w:cs="Times New Roman"/>
                <w:sz w:val="18"/>
                <w:szCs w:val="18"/>
              </w:rPr>
            </w:pPr>
            <w:r>
              <w:rPr>
                <w:rFonts w:ascii="Times New Roman" w:hAnsi="Times New Roman" w:cs="Times New Roman"/>
                <w:sz w:val="18"/>
                <w:szCs w:val="18"/>
              </w:rPr>
              <w:t>Model Card</w:t>
            </w:r>
          </w:p>
        </w:tc>
        <w:tc>
          <w:tcPr>
            <w:tcW w:w="3694" w:type="dxa"/>
            <w:tcBorders>
              <w:top w:val="single" w:color="auto" w:sz="4" w:space="0"/>
              <w:left w:val="single" w:color="auto" w:sz="4" w:space="0"/>
              <w:bottom w:val="single" w:color="auto" w:sz="4" w:space="0"/>
              <w:right w:val="single" w:color="auto" w:sz="4" w:space="0"/>
            </w:tcBorders>
            <w:vAlign w:val="center"/>
          </w:tcPr>
          <w:p w14:paraId="7DDBCCBF">
            <w:pPr>
              <w:jc w:val="center"/>
              <w:rPr>
                <w:rFonts w:ascii="Times New Roman" w:hAnsi="Times New Roman" w:cs="Times New Roman"/>
                <w:sz w:val="18"/>
                <w:szCs w:val="18"/>
              </w:rPr>
            </w:pPr>
            <w:r>
              <w:rPr>
                <w:rFonts w:ascii="Times New Roman" w:hAnsi="Times New Roman" w:cs="Times New Roman"/>
                <w:sz w:val="18"/>
                <w:szCs w:val="18"/>
              </w:rPr>
              <w:t>Model fact sheet of behavior/limits</w:t>
            </w:r>
          </w:p>
        </w:tc>
        <w:tc>
          <w:tcPr>
            <w:tcW w:w="3063" w:type="dxa"/>
            <w:tcBorders>
              <w:top w:val="single" w:color="auto" w:sz="4" w:space="0"/>
              <w:left w:val="single" w:color="auto" w:sz="4" w:space="0"/>
              <w:bottom w:val="single" w:color="auto" w:sz="4" w:space="0"/>
              <w:right w:val="single" w:color="auto" w:sz="4" w:space="0"/>
            </w:tcBorders>
            <w:vAlign w:val="center"/>
          </w:tcPr>
          <w:p w14:paraId="744AAEC6">
            <w:pPr>
              <w:jc w:val="center"/>
              <w:rPr>
                <w:rFonts w:ascii="Times New Roman" w:hAnsi="Times New Roman" w:cs="Times New Roman"/>
                <w:sz w:val="18"/>
                <w:szCs w:val="18"/>
              </w:rPr>
            </w:pPr>
            <w:r>
              <w:rPr>
                <w:rFonts w:ascii="Times New Roman" w:hAnsi="Times New Roman" w:cs="Times New Roman"/>
                <w:sz w:val="18"/>
                <w:szCs w:val="18"/>
              </w:rPr>
              <w:t>finished-dish label — ingredient ratios, key preparation points, flavor profile/level, etc</w:t>
            </w:r>
          </w:p>
        </w:tc>
      </w:tr>
      <w:tr w14:paraId="5C1396E4">
        <w:tblPrEx>
          <w:tblCellMar>
            <w:top w:w="43" w:type="dxa"/>
            <w:left w:w="0" w:type="dxa"/>
            <w:bottom w:w="0" w:type="dxa"/>
            <w:right w:w="0" w:type="dxa"/>
          </w:tblCellMar>
        </w:tblPrEx>
        <w:trPr>
          <w:trHeight w:val="42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10A09635">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7BAF2AD2">
            <w:pPr>
              <w:jc w:val="center"/>
              <w:rPr>
                <w:rFonts w:ascii="Times New Roman" w:hAnsi="Times New Roman" w:cs="Times New Roman"/>
                <w:sz w:val="18"/>
                <w:szCs w:val="18"/>
              </w:rPr>
            </w:pPr>
            <w:r>
              <w:rPr>
                <w:rFonts w:ascii="Times New Roman" w:hAnsi="Times New Roman" w:cs="Times New Roman"/>
                <w:sz w:val="18"/>
                <w:szCs w:val="18"/>
              </w:rPr>
              <w:t>Reproducibility checklist</w:t>
            </w:r>
          </w:p>
        </w:tc>
        <w:tc>
          <w:tcPr>
            <w:tcW w:w="3694" w:type="dxa"/>
            <w:tcBorders>
              <w:top w:val="single" w:color="auto" w:sz="4" w:space="0"/>
              <w:left w:val="single" w:color="auto" w:sz="4" w:space="0"/>
              <w:bottom w:val="single" w:color="auto" w:sz="4" w:space="0"/>
              <w:right w:val="single" w:color="auto" w:sz="4" w:space="0"/>
            </w:tcBorders>
            <w:vAlign w:val="center"/>
          </w:tcPr>
          <w:p w14:paraId="0A0AA3A4">
            <w:pPr>
              <w:jc w:val="center"/>
              <w:rPr>
                <w:rFonts w:ascii="Times New Roman" w:hAnsi="Times New Roman" w:cs="Times New Roman"/>
                <w:sz w:val="18"/>
                <w:szCs w:val="18"/>
              </w:rPr>
            </w:pPr>
            <w:r>
              <w:rPr>
                <w:rFonts w:ascii="Times New Roman" w:hAnsi="Times New Roman" w:cs="Times New Roman"/>
                <w:sz w:val="18"/>
                <w:szCs w:val="18"/>
              </w:rPr>
              <w:t>Check‑list of env/params/steps</w:t>
            </w:r>
          </w:p>
        </w:tc>
        <w:tc>
          <w:tcPr>
            <w:tcW w:w="3063" w:type="dxa"/>
            <w:tcBorders>
              <w:top w:val="single" w:color="auto" w:sz="4" w:space="0"/>
              <w:left w:val="single" w:color="auto" w:sz="4" w:space="0"/>
              <w:bottom w:val="single" w:color="auto" w:sz="4" w:space="0"/>
              <w:right w:val="single" w:color="auto" w:sz="4" w:space="0"/>
            </w:tcBorders>
            <w:vAlign w:val="center"/>
          </w:tcPr>
          <w:p w14:paraId="55348D0A">
            <w:pPr>
              <w:jc w:val="center"/>
              <w:rPr>
                <w:rFonts w:ascii="Times New Roman" w:hAnsi="Times New Roman" w:cs="Times New Roman"/>
                <w:sz w:val="18"/>
                <w:szCs w:val="18"/>
              </w:rPr>
            </w:pPr>
            <w:r>
              <w:rPr>
                <w:rFonts w:ascii="Times New Roman" w:hAnsi="Times New Roman" w:cs="Times New Roman"/>
                <w:sz w:val="18"/>
                <w:szCs w:val="18"/>
              </w:rPr>
              <w:t>pre-fire checklist</w:t>
            </w:r>
          </w:p>
        </w:tc>
      </w:tr>
      <w:tr w14:paraId="71DAD680">
        <w:tblPrEx>
          <w:tblCellMar>
            <w:top w:w="43" w:type="dxa"/>
            <w:left w:w="0" w:type="dxa"/>
            <w:bottom w:w="0" w:type="dxa"/>
            <w:right w:w="0" w:type="dxa"/>
          </w:tblCellMar>
        </w:tblPrEx>
        <w:trPr>
          <w:trHeight w:val="428" w:hRule="atLeast"/>
        </w:trPr>
        <w:tc>
          <w:tcPr>
            <w:tcW w:w="384" w:type="dxa"/>
            <w:vMerge w:val="continue"/>
            <w:tcBorders>
              <w:top w:val="single" w:color="auto" w:sz="4" w:space="0"/>
              <w:left w:val="single" w:color="auto" w:sz="4" w:space="0"/>
              <w:bottom w:val="single" w:color="auto" w:sz="4" w:space="0"/>
              <w:right w:val="single" w:color="auto" w:sz="4" w:space="0"/>
            </w:tcBorders>
            <w:vAlign w:val="center"/>
          </w:tcPr>
          <w:p w14:paraId="769095FF">
            <w:pPr>
              <w:jc w:val="center"/>
              <w:rPr>
                <w:rFonts w:ascii="Times New Roman" w:hAnsi="Times New Roman" w:cs="Times New Roman"/>
                <w:sz w:val="18"/>
                <w:szCs w:val="18"/>
              </w:rPr>
            </w:pPr>
          </w:p>
        </w:tc>
        <w:tc>
          <w:tcPr>
            <w:tcW w:w="2137" w:type="dxa"/>
            <w:tcBorders>
              <w:top w:val="single" w:color="auto" w:sz="4" w:space="0"/>
              <w:left w:val="single" w:color="auto" w:sz="4" w:space="0"/>
              <w:bottom w:val="single" w:color="auto" w:sz="4" w:space="0"/>
              <w:right w:val="single" w:color="auto" w:sz="4" w:space="0"/>
            </w:tcBorders>
            <w:vAlign w:val="center"/>
          </w:tcPr>
          <w:p w14:paraId="23D74A6E">
            <w:pPr>
              <w:jc w:val="center"/>
              <w:rPr>
                <w:rFonts w:ascii="Times New Roman" w:hAnsi="Times New Roman" w:cs="Times New Roman"/>
                <w:sz w:val="18"/>
                <w:szCs w:val="18"/>
              </w:rPr>
            </w:pPr>
            <w:r>
              <w:rPr>
                <w:rFonts w:ascii="Times New Roman" w:hAnsi="Times New Roman" w:cs="Times New Roman"/>
                <w:sz w:val="18"/>
                <w:szCs w:val="18"/>
              </w:rPr>
              <w:t>License</w:t>
            </w:r>
          </w:p>
        </w:tc>
        <w:tc>
          <w:tcPr>
            <w:tcW w:w="3694" w:type="dxa"/>
            <w:tcBorders>
              <w:top w:val="single" w:color="auto" w:sz="4" w:space="0"/>
              <w:left w:val="single" w:color="auto" w:sz="4" w:space="0"/>
              <w:bottom w:val="single" w:color="auto" w:sz="4" w:space="0"/>
              <w:right w:val="single" w:color="auto" w:sz="4" w:space="0"/>
            </w:tcBorders>
            <w:vAlign w:val="center"/>
          </w:tcPr>
          <w:p w14:paraId="154F1BEE">
            <w:pPr>
              <w:jc w:val="center"/>
              <w:rPr>
                <w:rFonts w:ascii="Times New Roman" w:hAnsi="Times New Roman" w:cs="Times New Roman"/>
                <w:sz w:val="18"/>
                <w:szCs w:val="18"/>
              </w:rPr>
            </w:pPr>
            <w:r>
              <w:rPr>
                <w:rFonts w:ascii="Times New Roman" w:hAnsi="Times New Roman" w:cs="Times New Roman"/>
                <w:sz w:val="18"/>
                <w:szCs w:val="18"/>
              </w:rPr>
              <w:t>States how others may use outputs</w:t>
            </w:r>
          </w:p>
        </w:tc>
        <w:tc>
          <w:tcPr>
            <w:tcW w:w="3063" w:type="dxa"/>
            <w:tcBorders>
              <w:top w:val="single" w:color="auto" w:sz="4" w:space="0"/>
              <w:left w:val="single" w:color="auto" w:sz="4" w:space="0"/>
              <w:bottom w:val="single" w:color="auto" w:sz="4" w:space="0"/>
              <w:right w:val="single" w:color="auto" w:sz="4" w:space="0"/>
            </w:tcBorders>
            <w:vAlign w:val="center"/>
          </w:tcPr>
          <w:p w14:paraId="16EF3542">
            <w:pPr>
              <w:jc w:val="center"/>
              <w:rPr>
                <w:rFonts w:ascii="Times New Roman" w:hAnsi="Times New Roman" w:cs="Times New Roman"/>
                <w:sz w:val="18"/>
                <w:szCs w:val="18"/>
              </w:rPr>
            </w:pPr>
            <w:r>
              <w:rPr>
                <w:rFonts w:ascii="Times New Roman" w:hAnsi="Times New Roman" w:cs="Times New Roman"/>
                <w:sz w:val="18"/>
                <w:szCs w:val="18"/>
              </w:rPr>
              <w:t>store policy/authorization</w:t>
            </w:r>
          </w:p>
        </w:tc>
      </w:tr>
    </w:tbl>
    <w:p w14:paraId="7363EF2C">
      <w:pPr>
        <w:pStyle w:val="2"/>
        <w:spacing w:before="198" w:line="344" w:lineRule="auto"/>
        <w:jc w:val="center"/>
        <w:rPr>
          <w:rFonts w:eastAsia="宋体"/>
          <w:sz w:val="18"/>
          <w:szCs w:val="18"/>
          <w:lang w:eastAsia="zh-CN"/>
        </w:rPr>
      </w:pPr>
    </w:p>
    <w:p w14:paraId="5BDB62CB">
      <w:pPr>
        <w:pStyle w:val="2"/>
        <w:spacing w:before="198" w:line="344" w:lineRule="auto"/>
        <w:jc w:val="center"/>
        <w:rPr>
          <w:rFonts w:eastAsia="宋体"/>
          <w:sz w:val="18"/>
          <w:szCs w:val="18"/>
          <w:lang w:eastAsia="zh-CN"/>
        </w:rPr>
      </w:pPr>
    </w:p>
    <w:p w14:paraId="0A69F0AC">
      <w:pPr>
        <w:pStyle w:val="2"/>
        <w:spacing w:before="198" w:line="344" w:lineRule="auto"/>
        <w:rPr>
          <w:sz w:val="24"/>
          <w:szCs w:val="24"/>
        </w:rPr>
      </w:pPr>
    </w:p>
    <w:p w14:paraId="1D42B1AE">
      <w:pPr>
        <w:pStyle w:val="2"/>
        <w:spacing w:before="198" w:line="344" w:lineRule="auto"/>
        <w:rPr>
          <w:sz w:val="24"/>
          <w:szCs w:val="24"/>
        </w:rPr>
      </w:pPr>
    </w:p>
    <w:p w14:paraId="22A726B8">
      <w:pPr>
        <w:pStyle w:val="2"/>
        <w:spacing w:before="198" w:line="344" w:lineRule="auto"/>
        <w:rPr>
          <w:sz w:val="24"/>
          <w:szCs w:val="24"/>
        </w:rPr>
      </w:pPr>
    </w:p>
    <w:p w14:paraId="018537C4">
      <w:pPr>
        <w:pStyle w:val="2"/>
        <w:spacing w:before="198" w:line="344" w:lineRule="auto"/>
        <w:rPr>
          <w:sz w:val="24"/>
          <w:szCs w:val="24"/>
        </w:rPr>
      </w:pPr>
    </w:p>
    <w:p w14:paraId="6EB9024A">
      <w:pPr>
        <w:pStyle w:val="2"/>
        <w:spacing w:before="198" w:line="344" w:lineRule="auto"/>
        <w:rPr>
          <w:rFonts w:eastAsia="宋体"/>
          <w:sz w:val="24"/>
          <w:szCs w:val="24"/>
          <w:lang w:eastAsia="zh-CN"/>
        </w:rPr>
      </w:pPr>
      <w:r>
        <w:rPr>
          <w:rFonts w:hint="eastAsia" w:eastAsia="宋体"/>
          <w:sz w:val="24"/>
          <w:szCs w:val="24"/>
          <w:lang w:eastAsia="zh-CN"/>
        </w:rPr>
        <w:t>Use of AI:</w:t>
      </w:r>
    </w:p>
    <w:p w14:paraId="4A99B18B">
      <w:pPr>
        <w:pStyle w:val="2"/>
        <w:spacing w:before="198" w:line="344" w:lineRule="auto"/>
        <w:rPr>
          <w:rFonts w:eastAsia="宋体"/>
          <w:sz w:val="24"/>
          <w:szCs w:val="24"/>
          <w:lang w:eastAsia="zh-CN"/>
        </w:rPr>
      </w:pPr>
      <w:r>
        <w:rPr>
          <w:rFonts w:eastAsia="宋体"/>
          <w:sz w:val="24"/>
          <w:szCs w:val="24"/>
          <w:lang w:eastAsia="zh-CN"/>
        </w:rPr>
        <w:t>Search</w:t>
      </w:r>
      <w:r>
        <w:rPr>
          <w:rFonts w:hint="eastAsia" w:eastAsia="宋体"/>
          <w:sz w:val="24"/>
          <w:szCs w:val="24"/>
          <w:lang w:eastAsia="zh-CN"/>
        </w:rPr>
        <w:t>ed</w:t>
      </w:r>
      <w:r>
        <w:rPr>
          <w:rFonts w:eastAsia="宋体"/>
          <w:sz w:val="24"/>
          <w:szCs w:val="24"/>
          <w:lang w:eastAsia="zh-CN"/>
        </w:rPr>
        <w:t xml:space="preserve"> for in-depth information in specialized fields</w:t>
      </w:r>
      <w:r>
        <w:rPr>
          <w:rFonts w:hint="eastAsia" w:eastAsia="宋体"/>
          <w:sz w:val="24"/>
          <w:szCs w:val="24"/>
          <w:lang w:eastAsia="zh-CN"/>
        </w:rPr>
        <w:t>,</w:t>
      </w:r>
      <w:r>
        <w:rPr>
          <w:rFonts w:eastAsia="宋体"/>
          <w:sz w:val="24"/>
          <w:szCs w:val="24"/>
          <w:lang w:eastAsia="zh-CN"/>
        </w:rPr>
        <w:t xml:space="preserve"> correct</w:t>
      </w:r>
      <w:r>
        <w:rPr>
          <w:rFonts w:hint="eastAsia" w:eastAsia="宋体"/>
          <w:sz w:val="24"/>
          <w:szCs w:val="24"/>
          <w:lang w:eastAsia="zh-CN"/>
        </w:rPr>
        <w:t>ed</w:t>
      </w:r>
      <w:r>
        <w:rPr>
          <w:rFonts w:eastAsia="宋体"/>
          <w:sz w:val="24"/>
          <w:szCs w:val="24"/>
          <w:lang w:eastAsia="zh-CN"/>
        </w:rPr>
        <w:t xml:space="preserve"> my grammatical mistakes</w:t>
      </w:r>
      <w:r>
        <w:rPr>
          <w:rFonts w:hint="eastAsia" w:eastAsia="宋体"/>
          <w:sz w:val="24"/>
          <w:szCs w:val="24"/>
          <w:lang w:eastAsia="zh-CN"/>
        </w:rPr>
        <w:t>,</w:t>
      </w:r>
      <w:r>
        <w:rPr>
          <w:rFonts w:eastAsia="宋体"/>
          <w:sz w:val="24"/>
          <w:szCs w:val="24"/>
          <w:lang w:eastAsia="zh-CN"/>
        </w:rPr>
        <w:t xml:space="preserve"> sentence structures</w:t>
      </w:r>
      <w:r>
        <w:rPr>
          <w:rFonts w:hint="eastAsia" w:eastAsia="宋体"/>
          <w:sz w:val="24"/>
          <w:szCs w:val="24"/>
          <w:lang w:eastAsia="zh-CN"/>
        </w:rPr>
        <w:t xml:space="preserve"> and identified the research gap</w:t>
      </w:r>
    </w:p>
    <w:p w14:paraId="268BD7A9">
      <w:pPr>
        <w:pStyle w:val="2"/>
        <w:spacing w:before="198" w:line="344" w:lineRule="auto"/>
        <w:rPr>
          <w:rFonts w:hint="eastAsia" w:eastAsia="宋体"/>
          <w:sz w:val="24"/>
          <w:szCs w:val="24"/>
          <w:lang w:val="en-US" w:eastAsia="zh-CN"/>
        </w:rPr>
      </w:pPr>
      <w:bookmarkStart w:id="0" w:name="_GoBack"/>
      <w:bookmarkEnd w:id="0"/>
    </w:p>
    <w:p w14:paraId="0D4F7D44">
      <w:pPr>
        <w:pStyle w:val="2"/>
        <w:spacing w:before="198" w:line="344" w:lineRule="auto"/>
        <w:rPr>
          <w:sz w:val="24"/>
          <w:szCs w:val="24"/>
        </w:rPr>
      </w:pPr>
      <w:r>
        <w:rPr>
          <w:rFonts w:hint="eastAsia"/>
          <w:sz w:val="24"/>
          <w:szCs w:val="24"/>
        </w:rPr>
        <w:t>Total word count : 1647 ( exclude the bibliography, reference list, tables and figures)</w:t>
      </w:r>
    </w:p>
    <w:p w14:paraId="3D854ED4">
      <w:pPr>
        <w:pStyle w:val="2"/>
        <w:spacing w:before="198" w:line="344" w:lineRule="auto"/>
        <w:rPr>
          <w:rFonts w:hint="default" w:eastAsia="宋体"/>
          <w:lang w:val="en-US" w:eastAsia="zh-CN"/>
        </w:rPr>
      </w:pPr>
    </w:p>
    <w:sectPr>
      <w:pgSz w:w="12240" w:h="15840"/>
      <w:pgMar w:top="1346" w:right="1505" w:bottom="0" w:left="1437"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ACC983"/>
    <w:multiLevelType w:val="multilevel"/>
    <w:tmpl w:val="9BACC983"/>
    <w:lvl w:ilvl="0" w:tentative="0">
      <w:start w:val="2"/>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A4BBC047"/>
    <w:multiLevelType w:val="singleLevel"/>
    <w:tmpl w:val="A4BBC047"/>
    <w:lvl w:ilvl="0" w:tentative="0">
      <w:start w:val="1"/>
      <w:numFmt w:val="decimal"/>
      <w:suff w:val="space"/>
      <w:lvlText w:val="%1."/>
      <w:lvlJc w:val="left"/>
    </w:lvl>
  </w:abstractNum>
  <w:abstractNum w:abstractNumId="2">
    <w:nsid w:val="DDD47946"/>
    <w:multiLevelType w:val="singleLevel"/>
    <w:tmpl w:val="DDD47946"/>
    <w:lvl w:ilvl="0" w:tentative="0">
      <w:start w:val="1"/>
      <w:numFmt w:val="decimal"/>
      <w:suff w:val="space"/>
      <w:lvlText w:val="%1."/>
      <w:lvlJc w:val="left"/>
    </w:lvl>
  </w:abstractNum>
  <w:abstractNum w:abstractNumId="3">
    <w:nsid w:val="7E7559EF"/>
    <w:multiLevelType w:val="singleLevel"/>
    <w:tmpl w:val="7E7559EF"/>
    <w:lvl w:ilvl="0" w:tentative="0">
      <w:start w:val="1"/>
      <w:numFmt w:val="decimal"/>
      <w:suff w:val="space"/>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defaultTabStop w:val="420"/>
  <w:noPunctuationKerning w:val="1"/>
  <w:characterSpacingControl w:val="doNotCompress"/>
  <w:compat>
    <w:spaceForUL/>
    <w:ulTrailSpace/>
    <w:doNotExpandShiftReturn/>
    <w:doNotWrapTextWithPunct/>
    <w:doNotUseEastAsianBreakRules/>
    <w:useFELayout/>
    <w:compatSetting w:name="compatibilityMode" w:uri="http://schemas.microsoft.com/office/word" w:val="14"/>
  </w:compat>
  <w:rsids>
    <w:rsidRoot w:val="0009516F"/>
    <w:rsid w:val="0009516F"/>
    <w:rsid w:val="000C04BB"/>
    <w:rsid w:val="000F68EE"/>
    <w:rsid w:val="002022C9"/>
    <w:rsid w:val="00346DBE"/>
    <w:rsid w:val="0036169B"/>
    <w:rsid w:val="003B0702"/>
    <w:rsid w:val="003E657A"/>
    <w:rsid w:val="004B2097"/>
    <w:rsid w:val="004C6B82"/>
    <w:rsid w:val="005201DB"/>
    <w:rsid w:val="00521640"/>
    <w:rsid w:val="00522102"/>
    <w:rsid w:val="005D7531"/>
    <w:rsid w:val="0068002A"/>
    <w:rsid w:val="00B67DE1"/>
    <w:rsid w:val="00C25287"/>
    <w:rsid w:val="00CF2E61"/>
    <w:rsid w:val="00D93570"/>
    <w:rsid w:val="00DE3995"/>
    <w:rsid w:val="00E25FF2"/>
    <w:rsid w:val="00E728AC"/>
    <w:rsid w:val="00E814B1"/>
    <w:rsid w:val="03394EB3"/>
    <w:rsid w:val="064C13A1"/>
    <w:rsid w:val="065B4C59"/>
    <w:rsid w:val="07807C5D"/>
    <w:rsid w:val="089D7C92"/>
    <w:rsid w:val="0A0D0E47"/>
    <w:rsid w:val="0C803B53"/>
    <w:rsid w:val="0D486C95"/>
    <w:rsid w:val="0E2B5D40"/>
    <w:rsid w:val="0E3C1CFB"/>
    <w:rsid w:val="0E420BB8"/>
    <w:rsid w:val="1158509E"/>
    <w:rsid w:val="115A0E16"/>
    <w:rsid w:val="139A5C73"/>
    <w:rsid w:val="150D26BD"/>
    <w:rsid w:val="1555138C"/>
    <w:rsid w:val="16861E33"/>
    <w:rsid w:val="16AB2114"/>
    <w:rsid w:val="17CC3573"/>
    <w:rsid w:val="17CD1C16"/>
    <w:rsid w:val="1912647A"/>
    <w:rsid w:val="19726F19"/>
    <w:rsid w:val="1B9211AC"/>
    <w:rsid w:val="1D2422D8"/>
    <w:rsid w:val="1D492178"/>
    <w:rsid w:val="1E0D000B"/>
    <w:rsid w:val="1E7A1193"/>
    <w:rsid w:val="1EE6018D"/>
    <w:rsid w:val="1F1A1BE5"/>
    <w:rsid w:val="21464F13"/>
    <w:rsid w:val="22D338D9"/>
    <w:rsid w:val="241A4435"/>
    <w:rsid w:val="241E3F25"/>
    <w:rsid w:val="24EC5DD1"/>
    <w:rsid w:val="25DA20CE"/>
    <w:rsid w:val="265056D7"/>
    <w:rsid w:val="26C37006"/>
    <w:rsid w:val="273B6B9C"/>
    <w:rsid w:val="2A415AA8"/>
    <w:rsid w:val="2A842C95"/>
    <w:rsid w:val="2B8A285D"/>
    <w:rsid w:val="2D962D7E"/>
    <w:rsid w:val="2E1D42C2"/>
    <w:rsid w:val="2E41718E"/>
    <w:rsid w:val="30297EDA"/>
    <w:rsid w:val="304B0AFD"/>
    <w:rsid w:val="30556F21"/>
    <w:rsid w:val="31230DCD"/>
    <w:rsid w:val="31772EC7"/>
    <w:rsid w:val="31BB2DB3"/>
    <w:rsid w:val="32901DB4"/>
    <w:rsid w:val="346040E6"/>
    <w:rsid w:val="34792A7C"/>
    <w:rsid w:val="34E24AFB"/>
    <w:rsid w:val="356A648F"/>
    <w:rsid w:val="35722856"/>
    <w:rsid w:val="370E7E29"/>
    <w:rsid w:val="38685317"/>
    <w:rsid w:val="38A57D26"/>
    <w:rsid w:val="39E9692C"/>
    <w:rsid w:val="3AAC3BE1"/>
    <w:rsid w:val="3ACC191A"/>
    <w:rsid w:val="3CE40A45"/>
    <w:rsid w:val="3D1837B0"/>
    <w:rsid w:val="3D347EBE"/>
    <w:rsid w:val="3D3B124C"/>
    <w:rsid w:val="3FD15EDD"/>
    <w:rsid w:val="41DD5982"/>
    <w:rsid w:val="420A743F"/>
    <w:rsid w:val="430322C1"/>
    <w:rsid w:val="43F919A6"/>
    <w:rsid w:val="46FF32EA"/>
    <w:rsid w:val="472A0388"/>
    <w:rsid w:val="477F61D9"/>
    <w:rsid w:val="481A78CE"/>
    <w:rsid w:val="487A635D"/>
    <w:rsid w:val="48AA51D1"/>
    <w:rsid w:val="4999049F"/>
    <w:rsid w:val="49C627D4"/>
    <w:rsid w:val="49D722FD"/>
    <w:rsid w:val="49FD6207"/>
    <w:rsid w:val="4A9223BA"/>
    <w:rsid w:val="4AB92B2D"/>
    <w:rsid w:val="4AC8012D"/>
    <w:rsid w:val="4B3519D1"/>
    <w:rsid w:val="4B7A5635"/>
    <w:rsid w:val="4B92472D"/>
    <w:rsid w:val="4BF12009"/>
    <w:rsid w:val="4C35155C"/>
    <w:rsid w:val="4C3E6663"/>
    <w:rsid w:val="4CFE0636"/>
    <w:rsid w:val="4D0134A2"/>
    <w:rsid w:val="4D477799"/>
    <w:rsid w:val="4D5F4AE3"/>
    <w:rsid w:val="4E5A6AAB"/>
    <w:rsid w:val="4E801544"/>
    <w:rsid w:val="4E9D1D67"/>
    <w:rsid w:val="50231F3F"/>
    <w:rsid w:val="50BC224C"/>
    <w:rsid w:val="50D41AD9"/>
    <w:rsid w:val="516B15B4"/>
    <w:rsid w:val="528F19C6"/>
    <w:rsid w:val="53514ECE"/>
    <w:rsid w:val="53CE4770"/>
    <w:rsid w:val="549117A8"/>
    <w:rsid w:val="573C5E95"/>
    <w:rsid w:val="573E7E5F"/>
    <w:rsid w:val="58A261CC"/>
    <w:rsid w:val="59D75A13"/>
    <w:rsid w:val="5A9F0C15"/>
    <w:rsid w:val="5B4B5DE3"/>
    <w:rsid w:val="5C3A6E47"/>
    <w:rsid w:val="5D4B6E32"/>
    <w:rsid w:val="5F0E0C1C"/>
    <w:rsid w:val="606326E4"/>
    <w:rsid w:val="60787F3E"/>
    <w:rsid w:val="607A3BDD"/>
    <w:rsid w:val="61286DD5"/>
    <w:rsid w:val="61FE4473"/>
    <w:rsid w:val="625A6B03"/>
    <w:rsid w:val="630C2BBF"/>
    <w:rsid w:val="646063E7"/>
    <w:rsid w:val="64DB133F"/>
    <w:rsid w:val="65B647A7"/>
    <w:rsid w:val="67DF4D46"/>
    <w:rsid w:val="68CB7079"/>
    <w:rsid w:val="6A42784C"/>
    <w:rsid w:val="6A440E91"/>
    <w:rsid w:val="6B476E8A"/>
    <w:rsid w:val="6B9B7270"/>
    <w:rsid w:val="6D486EEA"/>
    <w:rsid w:val="6D5E670D"/>
    <w:rsid w:val="6E313E22"/>
    <w:rsid w:val="6E3F1E19"/>
    <w:rsid w:val="6ECE1671"/>
    <w:rsid w:val="6FB767A4"/>
    <w:rsid w:val="702A0B29"/>
    <w:rsid w:val="711A0B9D"/>
    <w:rsid w:val="7182090E"/>
    <w:rsid w:val="71AC0C7B"/>
    <w:rsid w:val="71CD0357"/>
    <w:rsid w:val="72E128C2"/>
    <w:rsid w:val="7375030D"/>
    <w:rsid w:val="74353567"/>
    <w:rsid w:val="745A0283"/>
    <w:rsid w:val="766B490C"/>
    <w:rsid w:val="77E912C9"/>
    <w:rsid w:val="78034139"/>
    <w:rsid w:val="794964C4"/>
    <w:rsid w:val="79EA1A55"/>
    <w:rsid w:val="7A996FD7"/>
    <w:rsid w:val="7ADB314B"/>
    <w:rsid w:val="7C3C2310"/>
    <w:rsid w:val="7C5E4034"/>
    <w:rsid w:val="7C6770BC"/>
    <w:rsid w:val="7D0270B5"/>
    <w:rsid w:val="7D641B1E"/>
    <w:rsid w:val="7E0C7AC0"/>
    <w:rsid w:val="7E3D7BC6"/>
    <w:rsid w:val="7F34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rPr>
  </w:style>
  <w:style w:type="paragraph" w:styleId="3">
    <w:name w:val="footer"/>
    <w:basedOn w:val="1"/>
    <w:qFormat/>
    <w:uiPriority w:val="0"/>
    <w:pPr>
      <w:tabs>
        <w:tab w:val="center" w:pos="4153"/>
        <w:tab w:val="right" w:pos="8306"/>
      </w:tabs>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5">
    <w:name w:val="Normal (Web)"/>
    <w:basedOn w:val="1"/>
    <w:qFormat/>
    <w:uiPriority w:val="0"/>
    <w:pPr>
      <w:spacing w:beforeAutospacing="1" w:afterAutospacing="1"/>
    </w:pPr>
    <w:rPr>
      <w:rFonts w:cs="Times New Roman"/>
      <w:sz w:val="24"/>
      <w:lang w:eastAsia="zh-CN"/>
    </w:rPr>
  </w:style>
  <w:style w:type="character" w:styleId="8">
    <w:name w:val="Strong"/>
    <w:basedOn w:val="7"/>
    <w:qFormat/>
    <w:uiPriority w:val="0"/>
    <w:rPr>
      <w:b/>
    </w:rPr>
  </w:style>
  <w:style w:type="character" w:styleId="9">
    <w:name w:val="FollowedHyperlink"/>
    <w:basedOn w:val="7"/>
    <w:qFormat/>
    <w:uiPriority w:val="0"/>
    <w:rPr>
      <w:color w:val="800080"/>
      <w:u w:val="single"/>
    </w:rPr>
  </w:style>
  <w:style w:type="character" w:styleId="10">
    <w:name w:val="Emphasis"/>
    <w:basedOn w:val="7"/>
    <w:qFormat/>
    <w:uiPriority w:val="0"/>
    <w:rPr>
      <w:i/>
    </w:rPr>
  </w:style>
  <w:style w:type="character" w:styleId="11">
    <w:name w:val="Hyperlink"/>
    <w:basedOn w:val="7"/>
    <w:qFormat/>
    <w:uiPriority w:val="0"/>
    <w:rPr>
      <w:color w:val="0000FF"/>
      <w:u w:val="single"/>
    </w:rPr>
  </w:style>
  <w:style w:type="table" w:customStyle="1" w:styleId="12">
    <w:name w:val="Table Normal"/>
    <w:semiHidden/>
    <w:unhideWhenUsed/>
    <w:qFormat/>
    <w:uiPriority w:val="0"/>
    <w:tblPr>
      <w:tblCellMar>
        <w:top w:w="0" w:type="dxa"/>
        <w:left w:w="0" w:type="dxa"/>
        <w:bottom w:w="0" w:type="dxa"/>
        <w:right w:w="0" w:type="dxa"/>
      </w:tblCellMar>
    </w:tblPr>
  </w:style>
  <w:style w:type="table" w:customStyle="1" w:styleId="13">
    <w:name w:val="TableGrid"/>
    <w:qFormat/>
    <w:uiPriority w:val="0"/>
    <w:tblPr>
      <w:tblCellMar>
        <w:top w:w="0" w:type="dxa"/>
        <w:left w:w="0" w:type="dxa"/>
        <w:bottom w:w="0" w:type="dxa"/>
        <w:right w:w="0" w:type="dxa"/>
      </w:tblCellMar>
    </w:tblPr>
  </w:style>
  <w:style w:type="paragraph" w:customStyle="1" w:styleId="14">
    <w:name w:val="Table Text"/>
    <w:basedOn w:val="1"/>
    <w:semiHidden/>
    <w:qFormat/>
    <w:uiPriority w:val="0"/>
    <w:rPr>
      <w:sz w:val="19"/>
      <w:szCs w:val="19"/>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2981</Words>
  <Characters>18794</Characters>
  <Lines>1191</Lines>
  <Paragraphs>624</Paragraphs>
  <TotalTime>1</TotalTime>
  <ScaleCrop>false</ScaleCrop>
  <LinksUpToDate>false</LinksUpToDate>
  <CharactersWithSpaces>21530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2025-04-02T08:27:00Z</dcterms:created>
  <dc:creator>86173</dc:creator>
  <cp:lastModifiedBy>Leo</cp:lastModifiedBy>
  <dcterms:modified xsi:type="dcterms:W3CDTF">2025-10-13T16:46:36Z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2025-06-24T16:27:15Z</vt:filetime>
  </property>
  <property fmtid="{D5CDD505-2E9C-101B-9397-08002B2CF9AE}" pid="4" name="KSOTemplateDocerSaveRecord">
    <vt:lpwstr>eyJoZGlkIjoiYTE4ZmFmYjE0MWVmOWI5NzQ3MWUyMzcxMTIyZGFmOGMiLCJ1c2VySWQiOiI1ODU5OTQ3NzQifQ==</vt:lpwstr>
  </property>
  <property fmtid="{D5CDD505-2E9C-101B-9397-08002B2CF9AE}" pid="5" name="KSOProductBuildVer">
    <vt:lpwstr>2052-12.1.0.22529</vt:lpwstr>
  </property>
  <property fmtid="{D5CDD505-2E9C-101B-9397-08002B2CF9AE}" pid="6" name="ICV">
    <vt:lpwstr>5072EC3FE06942BAB5372A6ACAD13AF4_12</vt:lpwstr>
  </property>
</Properties>
</file>