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7E14D6">
      <w:pPr>
        <w:spacing w:before="166" w:line="191" w:lineRule="auto"/>
        <w:ind w:left="3481"/>
        <w:outlineLvl w:val="0"/>
        <w:rPr>
          <w:rFonts w:ascii="Times New Roman" w:hAnsi="Times New Roman" w:eastAsia="Times New Roman" w:cs="Times New Roman"/>
          <w:sz w:val="27"/>
          <w:szCs w:val="27"/>
        </w:rPr>
      </w:pPr>
      <w:r>
        <w:rPr>
          <w:rFonts w:ascii="Times New Roman" w:hAnsi="Times New Roman" w:eastAsia="Times New Roman" w:cs="Times New Roman"/>
          <w:b/>
          <w:bCs/>
          <w:spacing w:val="4"/>
          <w:sz w:val="27"/>
          <w:szCs w:val="27"/>
        </w:rPr>
        <w:t>Course Work</w:t>
      </w:r>
    </w:p>
    <w:p w14:paraId="67F20685">
      <w:pPr>
        <w:spacing w:before="260" w:line="191" w:lineRule="auto"/>
        <w:ind w:firstLine="1975" w:firstLineChars="700"/>
        <w:outlineLvl w:val="0"/>
        <w:rPr>
          <w:rFonts w:ascii="Times New Roman" w:hAnsi="Times New Roman" w:eastAsia="Times New Roman" w:cs="Times New Roman"/>
          <w:sz w:val="27"/>
          <w:szCs w:val="27"/>
        </w:rPr>
      </w:pPr>
      <w:r>
        <w:rPr>
          <w:rFonts w:hint="eastAsia" w:ascii="Times New Roman" w:hAnsi="Times New Roman" w:eastAsia="Times New Roman" w:cs="Times New Roman"/>
          <w:b/>
          <w:bCs/>
          <w:spacing w:val="6"/>
          <w:sz w:val="27"/>
          <w:szCs w:val="27"/>
        </w:rPr>
        <w:t>Computing Individual Research Project</w:t>
      </w:r>
    </w:p>
    <w:p w14:paraId="4AF0FFAC">
      <w:pPr>
        <w:spacing w:line="261" w:lineRule="auto"/>
      </w:pPr>
    </w:p>
    <w:p w14:paraId="1A8D3DC8">
      <w:pPr>
        <w:spacing w:line="261" w:lineRule="auto"/>
      </w:pPr>
    </w:p>
    <w:p w14:paraId="3787E265">
      <w:pPr>
        <w:spacing w:line="261" w:lineRule="auto"/>
      </w:pPr>
    </w:p>
    <w:p w14:paraId="73051421">
      <w:pPr>
        <w:spacing w:line="261" w:lineRule="auto"/>
      </w:pPr>
    </w:p>
    <w:p w14:paraId="24E23538">
      <w:pPr>
        <w:spacing w:line="262" w:lineRule="auto"/>
      </w:pPr>
    </w:p>
    <w:p w14:paraId="1520694F">
      <w:pPr>
        <w:spacing w:line="262" w:lineRule="auto"/>
      </w:pPr>
    </w:p>
    <w:p w14:paraId="1774A583">
      <w:pPr>
        <w:spacing w:line="262" w:lineRule="auto"/>
      </w:pPr>
    </w:p>
    <w:p w14:paraId="70FE53B3">
      <w:pPr>
        <w:spacing w:line="189" w:lineRule="auto"/>
        <w:jc w:val="center"/>
        <w:rPr>
          <w:rFonts w:ascii="Times New Roman" w:hAnsi="Times New Roman" w:eastAsia="Times New Roman" w:cs="Times New Roman"/>
          <w:sz w:val="44"/>
          <w:szCs w:val="44"/>
        </w:rPr>
        <w:sectPr>
          <w:pgSz w:w="12240" w:h="15840"/>
          <w:pgMar w:top="1346" w:right="1836" w:bottom="0" w:left="1836" w:header="0" w:footer="0" w:gutter="0"/>
          <w:cols w:space="720" w:num="1"/>
        </w:sectPr>
      </w:pPr>
      <w:r>
        <w:rPr>
          <w:rFonts w:hint="eastAsia" w:ascii="Times New Roman" w:hAnsi="Times New Roman" w:eastAsia="Times New Roman" w:cs="Times New Roman"/>
          <w:sz w:val="44"/>
          <w:szCs w:val="44"/>
        </w:rPr>
        <w:t>Energy‑Aware, Uncertainty‑Calibrated Cross‑Dataset IMU‑HAR: A Reproducible, Deployment‑Grade Pipeline</w:t>
      </w:r>
    </w:p>
    <w:p w14:paraId="67DDF44F">
      <w:pPr>
        <w:pStyle w:val="2"/>
        <w:spacing w:before="240" w:line="186" w:lineRule="auto"/>
        <w:rPr>
          <w:rFonts w:eastAsia="宋体"/>
          <w:sz w:val="28"/>
          <w:szCs w:val="28"/>
          <w:lang w:eastAsia="zh-CN"/>
        </w:rPr>
      </w:pPr>
      <w:r>
        <w:rPr>
          <w:rFonts w:hint="eastAsia" w:eastAsia="宋体"/>
          <w:color w:val="2E74B5"/>
          <w:spacing w:val="-1"/>
          <w:sz w:val="28"/>
          <w:szCs w:val="28"/>
          <w:lang w:eastAsia="zh-CN"/>
        </w:rPr>
        <w:t>1. Research Question / Problem Statement</w:t>
      </w:r>
    </w:p>
    <w:p w14:paraId="48F26552">
      <w:pPr>
        <w:pStyle w:val="2"/>
        <w:spacing w:before="192" w:line="366" w:lineRule="auto"/>
        <w:ind w:right="4"/>
        <w:jc w:val="both"/>
        <w:rPr>
          <w:spacing w:val="3"/>
        </w:rPr>
      </w:pPr>
      <w:r>
        <w:rPr>
          <w:rFonts w:hint="eastAsia"/>
          <w:spacing w:val="3"/>
        </w:rPr>
        <w:t>Problem and evidence. Reported scores for inertial human‑activity recognition (HAR) are often too optimistic because the same person’s data appears in both training and test</w:t>
      </w:r>
      <w:r>
        <w:rPr>
          <w:rFonts w:hint="eastAsia" w:eastAsia="宋体"/>
          <w:spacing w:val="3"/>
          <w:lang w:eastAsia="zh-CN"/>
        </w:rPr>
        <w:t xml:space="preserve"> </w:t>
      </w:r>
      <w:r>
        <w:rPr>
          <w:rFonts w:hint="eastAsia"/>
          <w:spacing w:val="3"/>
        </w:rPr>
        <w:t>subject leakage</w:t>
      </w:r>
      <w:r>
        <w:rPr>
          <w:rFonts w:hint="eastAsia" w:eastAsia="宋体"/>
          <w:spacing w:val="3"/>
          <w:lang w:eastAsia="zh-CN"/>
        </w:rPr>
        <w:t>(Training and test contain data from the same person, inflating scores)</w:t>
      </w:r>
      <w:r>
        <w:rPr>
          <w:rFonts w:hint="eastAsia"/>
          <w:spacing w:val="3"/>
        </w:rPr>
        <w:t>. When evaluation is changed to subject‑exclusive splits, accuracy commonly drops and model rankings can change—so the easy way of testing gives the wrong impression (Bragança et al., 2022).</w:t>
      </w:r>
    </w:p>
    <w:p w14:paraId="1625E6D7">
      <w:pPr>
        <w:pStyle w:val="2"/>
        <w:spacing w:before="192" w:line="366" w:lineRule="auto"/>
        <w:ind w:right="4"/>
        <w:jc w:val="both"/>
        <w:rPr>
          <w:spacing w:val="3"/>
          <w:lang w:eastAsia="zh-CN"/>
        </w:rPr>
      </w:pPr>
      <w:r>
        <w:rPr>
          <w:spacing w:val="3"/>
          <w:lang w:eastAsia="zh-CN"/>
        </w:rPr>
        <w:t>Beyond that, models trained on one smartphone dataset frequently fail to generalize to another, even after unit, sampling‑rate and label harmonization, which points to serious domain shift (Napoli et al., 2024).</w:t>
      </w:r>
    </w:p>
    <w:p w14:paraId="471576BC">
      <w:pPr>
        <w:pStyle w:val="2"/>
        <w:spacing w:before="192" w:line="366" w:lineRule="auto"/>
        <w:ind w:right="4"/>
        <w:jc w:val="both"/>
        <w:rPr>
          <w:spacing w:val="3"/>
          <w:lang w:eastAsia="zh-CN"/>
        </w:rPr>
      </w:pPr>
      <w:r>
        <w:rPr>
          <w:spacing w:val="3"/>
          <w:lang w:eastAsia="zh-CN"/>
        </w:rPr>
        <w:t xml:space="preserve">Datasets and why they matter. We deliberately use three complementary public datasets to probe generalization under realistic differences in device type, wear/placement, and label semantics: </w:t>
      </w:r>
    </w:p>
    <w:p w14:paraId="1D78DFB8">
      <w:pPr>
        <w:pStyle w:val="2"/>
        <w:numPr>
          <w:ilvl w:val="0"/>
          <w:numId w:val="1"/>
        </w:numPr>
        <w:spacing w:before="192" w:line="366" w:lineRule="auto"/>
        <w:ind w:right="4"/>
        <w:jc w:val="both"/>
        <w:rPr>
          <w:spacing w:val="3"/>
          <w:lang w:eastAsia="zh-CN"/>
        </w:rPr>
      </w:pPr>
      <w:r>
        <w:rPr>
          <w:spacing w:val="3"/>
          <w:lang w:eastAsia="zh-CN"/>
        </w:rPr>
        <w:t>SHL—smartphone sensors, 8 locomotion/transportation classes, with challenges designed for time/position/user independence; (ii) DaLiAc—four body‑worn IMUs (wrist/chest/hip/ankle), 13 daily‑life activities at 204.8 Hz; and (iii) RealWorld (RWHAR)—smartphone data from 15 subjects across seven body positions, ideal for placement variability (Wang et al., 2021; Leutheuser et al., 2013; Sztyler &amp; Stuckenschmidt, 2016).</w:t>
      </w:r>
      <w:r>
        <w:rPr>
          <w:rFonts w:hint="eastAsia"/>
          <w:spacing w:val="3"/>
          <w:lang w:eastAsia="zh-CN"/>
        </w:rPr>
        <w:t xml:space="preserve"> The intended outcome is not just a model but a clear, auditable configuration that a non‑specialist can adopt with confidence: which model to pick, what uncertainty to expose, and how fast/energy‑efficient it runs on a target phone. </w:t>
      </w:r>
    </w:p>
    <w:p w14:paraId="412B4C04">
      <w:pPr>
        <w:pStyle w:val="2"/>
        <w:spacing w:before="192" w:line="366" w:lineRule="auto"/>
        <w:ind w:right="4"/>
        <w:jc w:val="both"/>
        <w:rPr>
          <w:spacing w:val="3"/>
          <w:lang w:eastAsia="zh-CN"/>
        </w:rPr>
      </w:pPr>
    </w:p>
    <w:p w14:paraId="35101BCE">
      <w:pPr>
        <w:pStyle w:val="2"/>
        <w:spacing w:before="192" w:line="366" w:lineRule="auto"/>
        <w:ind w:right="4"/>
        <w:jc w:val="both"/>
        <w:rPr>
          <w:spacing w:val="3"/>
          <w:lang w:eastAsia="zh-CN"/>
        </w:rPr>
      </w:pPr>
      <w:r>
        <w:rPr>
          <w:spacing w:val="3"/>
          <w:lang w:eastAsia="zh-CN"/>
        </w:rPr>
        <w:t>Research questions</w:t>
      </w:r>
      <w:r>
        <w:rPr>
          <w:rFonts w:hint="eastAsia"/>
          <w:spacing w:val="3"/>
          <w:lang w:eastAsia="zh-CN"/>
        </w:rPr>
        <w:t>: How can IMU-HAR deliver fair, reliable, efficient real-world performance?</w:t>
      </w:r>
    </w:p>
    <w:p w14:paraId="46078C52">
      <w:pPr>
        <w:pStyle w:val="2"/>
        <w:spacing w:before="192" w:line="366" w:lineRule="auto"/>
        <w:ind w:right="4"/>
        <w:jc w:val="both"/>
        <w:rPr>
          <w:spacing w:val="3"/>
          <w:lang w:eastAsia="zh-CN"/>
        </w:rPr>
      </w:pPr>
      <w:r>
        <w:rPr>
          <w:rFonts w:hint="eastAsia"/>
          <w:spacing w:val="3"/>
          <w:lang w:eastAsia="zh-CN"/>
        </w:rPr>
        <w:t>Detailed explanation:</w:t>
      </w:r>
    </w:p>
    <w:p w14:paraId="2A9F0181">
      <w:pPr>
        <w:pStyle w:val="2"/>
        <w:spacing w:before="192" w:line="366" w:lineRule="auto"/>
        <w:ind w:right="4"/>
        <w:jc w:val="both"/>
        <w:rPr>
          <w:spacing w:val="3"/>
          <w:lang w:eastAsia="zh-CN"/>
        </w:rPr>
      </w:pPr>
      <w:r>
        <w:rPr>
          <w:spacing w:val="3"/>
          <w:lang w:eastAsia="zh-CN"/>
        </w:rPr>
        <w:t>RQ1 (Fair model selection). Under subject‑exclusive evaluation on SHL, DaLiAc and RealWorld, which among InceptionTime (1‑D CNN), MultiRocket (fast kernel method), a time‑series Transformer (TST‑style), and a compact STG‑Former is statistically superior? (Fawaz et al., 2020;</w:t>
      </w:r>
      <w:r>
        <w:rPr>
          <w:rFonts w:hint="eastAsia"/>
          <w:spacing w:val="3"/>
          <w:lang w:eastAsia="zh-CN"/>
        </w:rPr>
        <w:t xml:space="preserve"> </w:t>
      </w:r>
      <w:r>
        <w:rPr>
          <w:spacing w:val="3"/>
          <w:lang w:eastAsia="zh-CN"/>
        </w:rPr>
        <w:t>Zerveas et al., 2021; Demšar, 2006).</w:t>
      </w:r>
    </w:p>
    <w:p w14:paraId="310971EE">
      <w:pPr>
        <w:pStyle w:val="2"/>
        <w:spacing w:before="192" w:line="366" w:lineRule="auto"/>
        <w:ind w:right="4"/>
        <w:jc w:val="both"/>
        <w:rPr>
          <w:spacing w:val="3"/>
          <w:lang w:eastAsia="zh-CN"/>
        </w:rPr>
      </w:pPr>
      <w:r>
        <w:rPr>
          <w:spacing w:val="3"/>
          <w:lang w:eastAsia="zh-CN"/>
        </w:rPr>
        <w:t>RQ2 (Reliability). Can we halve Expected Calibration Error (ECE</w:t>
      </w:r>
      <w:r>
        <w:rPr>
          <w:rFonts w:hint="eastAsia"/>
          <w:spacing w:val="3"/>
          <w:lang w:eastAsia="zh-CN"/>
        </w:rPr>
        <w:t>, one number summarising probability–frequency mismatch; lower is better</w:t>
      </w:r>
      <w:r>
        <w:rPr>
          <w:spacing w:val="3"/>
          <w:lang w:eastAsia="zh-CN"/>
        </w:rPr>
        <w:t>) with ≤ 0.5 pp macro‑F1 loss and provide label‑set predictions with 90% coverage using APS(Adaptive Prediction Sets, a conformal method that outputs a set of plausible labels per sample, sized adaptively so that the true label lies in the set at the target rate) conformal prediction? (Silva Filho et al., 2023; Angelopoulos &amp; Bates, 2023).</w:t>
      </w:r>
    </w:p>
    <w:p w14:paraId="5264768D">
      <w:pPr>
        <w:pStyle w:val="2"/>
        <w:spacing w:before="192" w:line="366" w:lineRule="auto"/>
        <w:ind w:right="4"/>
        <w:jc w:val="both"/>
        <w:rPr>
          <w:spacing w:val="3"/>
          <w:lang w:eastAsia="zh-CN"/>
        </w:rPr>
      </w:pPr>
    </w:p>
    <w:p w14:paraId="7324D6D0">
      <w:pPr>
        <w:pStyle w:val="2"/>
        <w:spacing w:before="192" w:line="366" w:lineRule="auto"/>
        <w:ind w:right="4"/>
        <w:jc w:val="both"/>
        <w:rPr>
          <w:spacing w:val="3"/>
          <w:lang w:eastAsia="zh-CN"/>
        </w:rPr>
      </w:pPr>
    </w:p>
    <w:p w14:paraId="6751D05D">
      <w:pPr>
        <w:pStyle w:val="2"/>
        <w:spacing w:before="192" w:line="366" w:lineRule="auto"/>
        <w:ind w:right="4"/>
        <w:jc w:val="both"/>
        <w:rPr>
          <w:spacing w:val="3"/>
          <w:lang w:eastAsia="zh-CN"/>
        </w:rPr>
      </w:pPr>
      <w:r>
        <w:rPr>
          <w:spacing w:val="3"/>
          <w:lang w:eastAsia="zh-CN"/>
        </w:rPr>
        <w:t>RQ3 (Efficiency). Can down‑sampling + INT8 post‑training quantization (PTQ) yield ≥ 2× latency/energy reduction on a Pixel 7 without breaching a 1 pp F1 non‑inferiority margin? (TensorFlow Lite; Android Batterystats/Historian).</w:t>
      </w:r>
    </w:p>
    <w:p w14:paraId="48B361B7">
      <w:pPr>
        <w:pStyle w:val="2"/>
        <w:spacing w:before="192" w:line="366" w:lineRule="auto"/>
        <w:ind w:right="4"/>
        <w:jc w:val="both"/>
        <w:rPr>
          <w:spacing w:val="3"/>
          <w:lang w:eastAsia="zh-CN"/>
        </w:rPr>
      </w:pPr>
      <w:r>
        <w:rPr>
          <w:spacing w:val="3"/>
          <w:lang w:eastAsia="zh-CN"/>
        </w:rPr>
        <w:t>Success criteria</w:t>
      </w:r>
      <w:r>
        <w:rPr>
          <w:rFonts w:hint="eastAsia"/>
          <w:spacing w:val="3"/>
          <w:lang w:eastAsia="zh-CN"/>
        </w:rPr>
        <w:t>:</w:t>
      </w:r>
      <w:r>
        <w:rPr>
          <w:spacing w:val="3"/>
          <w:lang w:eastAsia="zh-CN"/>
        </w:rPr>
        <w:t xml:space="preserve"> Champions will pass Friedman→Nemenyi</w:t>
      </w:r>
      <w:r>
        <w:rPr>
          <w:rFonts w:hint="eastAsia"/>
          <w:spacing w:val="3"/>
          <w:lang w:eastAsia="zh-CN"/>
        </w:rPr>
        <w:t xml:space="preserve"> (A non-parametric way to compare multiple models across multiple datasets)</w:t>
      </w:r>
      <w:r>
        <w:rPr>
          <w:spacing w:val="3"/>
          <w:lang w:eastAsia="zh-CN"/>
        </w:rPr>
        <w:t xml:space="preserve"> and paired Wilcoxon + Holm</w:t>
      </w:r>
      <w:r>
        <w:rPr>
          <w:rFonts w:hint="eastAsia"/>
          <w:spacing w:val="3"/>
          <w:lang w:eastAsia="zh-CN"/>
        </w:rPr>
        <w:t xml:space="preserve"> </w:t>
      </w:r>
      <w:r>
        <w:rPr>
          <w:spacing w:val="3"/>
          <w:lang w:eastAsia="zh-CN"/>
        </w:rPr>
        <w:t>(A non-parametric paired test between models with a multiple-testing control that limits family-wise false positives) with Â12/Cliff’s δ</w:t>
      </w:r>
      <w:r>
        <w:rPr>
          <w:rFonts w:hint="eastAsia"/>
          <w:spacing w:val="3"/>
          <w:lang w:eastAsia="zh-CN"/>
        </w:rPr>
        <w:t xml:space="preserve"> (Magnitudes of difference, not just p-values)</w:t>
      </w:r>
      <w:r>
        <w:rPr>
          <w:spacing w:val="3"/>
          <w:lang w:eastAsia="zh-CN"/>
        </w:rPr>
        <w:t xml:space="preserve"> ≥ medium; calibrated models achieve ECE ↓ ≥ 50% and APS</w:t>
      </w:r>
      <w:r>
        <w:rPr>
          <w:rFonts w:hint="eastAsia"/>
          <w:spacing w:val="3"/>
          <w:lang w:eastAsia="zh-CN"/>
        </w:rPr>
        <w:t xml:space="preserve"> </w:t>
      </w:r>
      <w:r>
        <w:rPr>
          <w:spacing w:val="3"/>
          <w:lang w:eastAsia="zh-CN"/>
        </w:rPr>
        <w:t>coverage 90% ± 5%; only Pareto‑optimal accuracy–latency–energy points are endorsed</w:t>
      </w:r>
      <w:r>
        <w:rPr>
          <w:rFonts w:hint="eastAsia"/>
          <w:spacing w:val="3"/>
          <w:lang w:eastAsia="zh-CN"/>
        </w:rPr>
        <w:t xml:space="preserve"> </w:t>
      </w:r>
      <w:r>
        <w:rPr>
          <w:spacing w:val="3"/>
          <w:lang w:eastAsia="zh-CN"/>
        </w:rPr>
        <w:t>(Silva Filho et al., 2023).</w:t>
      </w:r>
    </w:p>
    <w:p w14:paraId="24B892D5">
      <w:pPr>
        <w:pStyle w:val="2"/>
        <w:spacing w:before="192" w:line="366" w:lineRule="auto"/>
        <w:ind w:right="4"/>
        <w:jc w:val="both"/>
        <w:rPr>
          <w:rFonts w:eastAsia="宋体"/>
          <w:spacing w:val="3"/>
          <w:lang w:eastAsia="zh-CN"/>
        </w:rPr>
      </w:pPr>
    </w:p>
    <w:p w14:paraId="57E5B7B0">
      <w:pPr>
        <w:pStyle w:val="2"/>
        <w:spacing w:before="192" w:line="366" w:lineRule="auto"/>
        <w:ind w:right="4"/>
        <w:jc w:val="both"/>
        <w:rPr>
          <w:rFonts w:eastAsia="宋体"/>
          <w:spacing w:val="3"/>
          <w:lang w:eastAsia="zh-CN"/>
        </w:rPr>
      </w:pPr>
    </w:p>
    <w:p w14:paraId="22C4D1A0">
      <w:pPr>
        <w:pStyle w:val="2"/>
        <w:spacing w:before="192" w:line="366" w:lineRule="auto"/>
        <w:ind w:right="4"/>
        <w:jc w:val="both"/>
        <w:rPr>
          <w:spacing w:val="3"/>
        </w:rPr>
      </w:pPr>
    </w:p>
    <w:p w14:paraId="73AAB62C">
      <w:pPr>
        <w:pStyle w:val="2"/>
        <w:spacing w:before="192" w:line="366" w:lineRule="auto"/>
        <w:ind w:right="4"/>
        <w:jc w:val="both"/>
        <w:rPr>
          <w:spacing w:val="3"/>
        </w:rPr>
      </w:pPr>
    </w:p>
    <w:p w14:paraId="771BA806">
      <w:pPr>
        <w:pStyle w:val="2"/>
        <w:spacing w:before="192" w:line="366" w:lineRule="auto"/>
        <w:ind w:right="4"/>
        <w:jc w:val="both"/>
        <w:rPr>
          <w:spacing w:val="3"/>
        </w:rPr>
      </w:pPr>
    </w:p>
    <w:p w14:paraId="7B09D9B3">
      <w:pPr>
        <w:pStyle w:val="2"/>
        <w:spacing w:before="192" w:line="366" w:lineRule="auto"/>
        <w:ind w:right="4"/>
        <w:jc w:val="both"/>
        <w:rPr>
          <w:spacing w:val="3"/>
        </w:rPr>
      </w:pPr>
    </w:p>
    <w:p w14:paraId="43F19B0B">
      <w:pPr>
        <w:pStyle w:val="2"/>
        <w:spacing w:before="192" w:line="366" w:lineRule="auto"/>
        <w:ind w:right="4"/>
        <w:jc w:val="both"/>
        <w:rPr>
          <w:spacing w:val="3"/>
        </w:rPr>
      </w:pPr>
    </w:p>
    <w:p w14:paraId="26D5C7F2">
      <w:pPr>
        <w:pStyle w:val="2"/>
        <w:spacing w:before="192" w:line="366" w:lineRule="auto"/>
        <w:ind w:right="4"/>
        <w:jc w:val="both"/>
        <w:rPr>
          <w:spacing w:val="3"/>
        </w:rPr>
      </w:pPr>
    </w:p>
    <w:p w14:paraId="7264454F">
      <w:pPr>
        <w:pStyle w:val="2"/>
        <w:spacing w:before="192" w:line="366" w:lineRule="auto"/>
        <w:ind w:right="4"/>
        <w:jc w:val="both"/>
        <w:rPr>
          <w:spacing w:val="3"/>
        </w:rPr>
      </w:pPr>
    </w:p>
    <w:p w14:paraId="0BC3E2F6">
      <w:pPr>
        <w:pStyle w:val="2"/>
        <w:spacing w:before="192" w:line="366" w:lineRule="auto"/>
        <w:ind w:right="4"/>
        <w:jc w:val="both"/>
        <w:rPr>
          <w:spacing w:val="3"/>
        </w:rPr>
      </w:pPr>
    </w:p>
    <w:p w14:paraId="74E6A333">
      <w:pPr>
        <w:pStyle w:val="2"/>
        <w:spacing w:before="192" w:line="366" w:lineRule="auto"/>
        <w:ind w:right="4"/>
        <w:jc w:val="both"/>
        <w:rPr>
          <w:spacing w:val="3"/>
        </w:rPr>
      </w:pPr>
    </w:p>
    <w:p w14:paraId="4F0FBF55">
      <w:pPr>
        <w:pStyle w:val="2"/>
        <w:spacing w:before="192" w:line="366" w:lineRule="auto"/>
        <w:ind w:right="4"/>
        <w:jc w:val="both"/>
        <w:rPr>
          <w:spacing w:val="3"/>
        </w:rPr>
      </w:pPr>
    </w:p>
    <w:p w14:paraId="2A2BF79F">
      <w:pPr>
        <w:pStyle w:val="2"/>
        <w:spacing w:before="192" w:line="366" w:lineRule="auto"/>
        <w:ind w:right="4"/>
        <w:jc w:val="both"/>
        <w:rPr>
          <w:spacing w:val="3"/>
        </w:rPr>
      </w:pPr>
    </w:p>
    <w:p w14:paraId="73C75D22">
      <w:pPr>
        <w:pStyle w:val="2"/>
        <w:spacing w:before="192" w:line="366" w:lineRule="auto"/>
        <w:ind w:right="4"/>
        <w:jc w:val="both"/>
        <w:rPr>
          <w:spacing w:val="3"/>
        </w:rPr>
      </w:pPr>
    </w:p>
    <w:p w14:paraId="424CE167">
      <w:pPr>
        <w:pStyle w:val="2"/>
        <w:spacing w:before="192" w:line="366" w:lineRule="auto"/>
        <w:ind w:right="4"/>
        <w:jc w:val="both"/>
        <w:rPr>
          <w:spacing w:val="3"/>
        </w:rPr>
      </w:pPr>
    </w:p>
    <w:p w14:paraId="1A701698">
      <w:pPr>
        <w:pStyle w:val="2"/>
        <w:spacing w:before="192" w:line="366" w:lineRule="auto"/>
        <w:ind w:right="4"/>
        <w:jc w:val="both"/>
        <w:rPr>
          <w:spacing w:val="3"/>
        </w:rPr>
      </w:pPr>
    </w:p>
    <w:p w14:paraId="591F8774">
      <w:pPr>
        <w:pStyle w:val="2"/>
        <w:spacing w:before="192" w:line="366" w:lineRule="auto"/>
        <w:ind w:right="4"/>
        <w:jc w:val="both"/>
        <w:rPr>
          <w:spacing w:val="3"/>
        </w:rPr>
      </w:pPr>
    </w:p>
    <w:p w14:paraId="299C5CDC">
      <w:pPr>
        <w:pStyle w:val="2"/>
        <w:spacing w:before="192" w:line="366" w:lineRule="auto"/>
        <w:ind w:right="4"/>
        <w:jc w:val="both"/>
        <w:rPr>
          <w:spacing w:val="3"/>
        </w:rPr>
      </w:pPr>
    </w:p>
    <w:p w14:paraId="6EA33717">
      <w:pPr>
        <w:pStyle w:val="2"/>
        <w:spacing w:before="192" w:line="366" w:lineRule="auto"/>
        <w:ind w:right="4"/>
        <w:jc w:val="both"/>
        <w:rPr>
          <w:spacing w:val="3"/>
        </w:rPr>
      </w:pPr>
    </w:p>
    <w:p w14:paraId="06855F07">
      <w:pPr>
        <w:pStyle w:val="2"/>
        <w:numPr>
          <w:ilvl w:val="0"/>
          <w:numId w:val="2"/>
        </w:numPr>
        <w:spacing w:before="201" w:line="186" w:lineRule="auto"/>
        <w:rPr>
          <w:rFonts w:eastAsia="宋体"/>
          <w:color w:val="2E74B5"/>
          <w:spacing w:val="-1"/>
          <w:sz w:val="28"/>
          <w:szCs w:val="28"/>
          <w:lang w:eastAsia="zh-CN"/>
        </w:rPr>
      </w:pPr>
      <w:r>
        <w:rPr>
          <w:rFonts w:hint="eastAsia" w:eastAsia="宋体"/>
          <w:color w:val="2E74B5"/>
          <w:spacing w:val="-1"/>
          <w:sz w:val="28"/>
          <w:szCs w:val="28"/>
          <w:lang w:eastAsia="zh-CN"/>
        </w:rPr>
        <w:t>Intended Users and Requirements</w:t>
      </w:r>
    </w:p>
    <w:p w14:paraId="459B31C9">
      <w:pPr>
        <w:pStyle w:val="2"/>
        <w:spacing w:before="193" w:line="371" w:lineRule="auto"/>
        <w:ind w:right="2"/>
        <w:jc w:val="both"/>
        <w:rPr>
          <w:spacing w:val="4"/>
        </w:rPr>
      </w:pPr>
      <w:r>
        <w:rPr>
          <w:rFonts w:hint="eastAsia"/>
          <w:spacing w:val="4"/>
        </w:rPr>
        <w:t>Who benefits, in plain terms</w:t>
      </w:r>
      <w:r>
        <w:rPr>
          <w:rFonts w:hint="eastAsia" w:eastAsia="宋体"/>
          <w:spacing w:val="4"/>
          <w:lang w:eastAsia="zh-CN"/>
        </w:rPr>
        <w:t xml:space="preserve"> (Table 1)</w:t>
      </w:r>
      <w:r>
        <w:rPr>
          <w:rFonts w:hint="eastAsia"/>
          <w:spacing w:val="4"/>
        </w:rPr>
        <w:t>.</w:t>
      </w:r>
    </w:p>
    <w:p w14:paraId="6DD1C63B">
      <w:pPr>
        <w:pStyle w:val="2"/>
        <w:spacing w:before="193" w:line="371" w:lineRule="auto"/>
        <w:ind w:right="2"/>
        <w:jc w:val="both"/>
        <w:rPr>
          <w:spacing w:val="4"/>
        </w:rPr>
      </w:pPr>
      <w:r>
        <w:rPr>
          <w:rFonts w:hint="eastAsia"/>
          <w:spacing w:val="4"/>
        </w:rPr>
        <w:t>Engineers want a safe default that meets battery/speed budgets. We deliver ranked models under fair tests, plus device‑measured latency/energy and a short list of deployment‑safe configurations. (Demšar, 2006; Android docs).</w:t>
      </w:r>
    </w:p>
    <w:p w14:paraId="23AEB9F3">
      <w:pPr>
        <w:pStyle w:val="2"/>
        <w:spacing w:before="193" w:line="371" w:lineRule="auto"/>
        <w:ind w:right="2"/>
        <w:jc w:val="both"/>
        <w:rPr>
          <w:spacing w:val="4"/>
        </w:rPr>
      </w:pPr>
      <w:r>
        <w:rPr>
          <w:rFonts w:hint="eastAsia"/>
          <w:spacing w:val="4"/>
        </w:rPr>
        <w:t>Clinicians/rehab researchers want to see uncertainty. We provide calibrated probabilities, a reject option (a single threshold for “I’m not confident”), and APS label‑sets with coverage documented. (Geifman &amp; El‑Yaniv, 2019; Angelopoulos &amp; Bates, 2023).</w:t>
      </w:r>
    </w:p>
    <w:p w14:paraId="01206424">
      <w:pPr>
        <w:pStyle w:val="2"/>
        <w:spacing w:before="193" w:line="371" w:lineRule="auto"/>
        <w:ind w:right="2"/>
        <w:jc w:val="both"/>
        <w:rPr>
          <w:spacing w:val="4"/>
        </w:rPr>
      </w:pPr>
      <w:r>
        <w:rPr>
          <w:rFonts w:hint="eastAsia"/>
          <w:spacing w:val="4"/>
        </w:rPr>
        <w:t>HAR researchers want leakage‑free baselines and transparent label mappings across SHL–DaLiAc–RealWorld, with scripts to reproduce and adapt (Napoli et al., 2024; SHL challenge review).</w:t>
      </w:r>
    </w:p>
    <w:p w14:paraId="52AE69C8">
      <w:pPr>
        <w:pStyle w:val="2"/>
        <w:spacing w:before="193" w:line="371" w:lineRule="auto"/>
        <w:ind w:right="2"/>
        <w:jc w:val="both"/>
        <w:rPr>
          <w:spacing w:val="4"/>
        </w:rPr>
      </w:pPr>
    </w:p>
    <w:p w14:paraId="081CFA0C">
      <w:pPr>
        <w:pStyle w:val="2"/>
        <w:spacing w:before="193" w:line="371" w:lineRule="auto"/>
        <w:ind w:right="2" w:firstLine="6"/>
        <w:jc w:val="both"/>
        <w:rPr>
          <w:spacing w:val="4"/>
        </w:rPr>
      </w:pPr>
    </w:p>
    <w:p w14:paraId="5AB15BE0">
      <w:pPr>
        <w:spacing w:line="287" w:lineRule="auto"/>
      </w:pPr>
    </w:p>
    <w:p w14:paraId="611E7F15">
      <w:pPr>
        <w:spacing w:line="287" w:lineRule="auto"/>
      </w:pPr>
    </w:p>
    <w:p w14:paraId="69FE393E">
      <w:pPr>
        <w:spacing w:line="287" w:lineRule="auto"/>
      </w:pPr>
    </w:p>
    <w:p w14:paraId="58E6FFF3">
      <w:pPr>
        <w:spacing w:line="287" w:lineRule="auto"/>
      </w:pPr>
    </w:p>
    <w:p w14:paraId="30F5F3DB">
      <w:pPr>
        <w:spacing w:line="287" w:lineRule="auto"/>
      </w:pPr>
    </w:p>
    <w:p w14:paraId="6698E595">
      <w:pPr>
        <w:spacing w:line="287" w:lineRule="auto"/>
      </w:pPr>
    </w:p>
    <w:p w14:paraId="12AC7AD8">
      <w:pPr>
        <w:spacing w:line="287" w:lineRule="auto"/>
      </w:pPr>
    </w:p>
    <w:p w14:paraId="7DF171A7">
      <w:pPr>
        <w:spacing w:line="287" w:lineRule="auto"/>
      </w:pPr>
    </w:p>
    <w:p w14:paraId="32A214EC">
      <w:pPr>
        <w:pStyle w:val="2"/>
        <w:spacing w:before="194" w:line="368" w:lineRule="auto"/>
        <w:ind w:right="2"/>
        <w:jc w:val="both"/>
        <w:rPr>
          <w:spacing w:val="4"/>
        </w:rPr>
      </w:pPr>
    </w:p>
    <w:p w14:paraId="0F0961F4">
      <w:pPr>
        <w:pStyle w:val="2"/>
        <w:spacing w:before="194" w:line="368" w:lineRule="auto"/>
        <w:ind w:right="2"/>
        <w:jc w:val="both"/>
        <w:rPr>
          <w:spacing w:val="4"/>
        </w:rPr>
      </w:pPr>
    </w:p>
    <w:p w14:paraId="75FF744D">
      <w:pPr>
        <w:pStyle w:val="2"/>
        <w:spacing w:before="194" w:line="368" w:lineRule="auto"/>
        <w:ind w:right="2"/>
        <w:jc w:val="both"/>
        <w:rPr>
          <w:spacing w:val="4"/>
        </w:rPr>
      </w:pPr>
    </w:p>
    <w:p w14:paraId="641DA3AF">
      <w:pPr>
        <w:pStyle w:val="2"/>
        <w:spacing w:before="194" w:line="368" w:lineRule="auto"/>
        <w:ind w:right="2"/>
        <w:jc w:val="both"/>
        <w:rPr>
          <w:spacing w:val="4"/>
        </w:rPr>
      </w:pPr>
    </w:p>
    <w:p w14:paraId="601D5833">
      <w:pPr>
        <w:pStyle w:val="2"/>
        <w:spacing w:before="194" w:line="368" w:lineRule="auto"/>
        <w:ind w:right="2"/>
        <w:jc w:val="both"/>
        <w:rPr>
          <w:spacing w:val="4"/>
        </w:rPr>
      </w:pPr>
    </w:p>
    <w:p w14:paraId="60CD7E62">
      <w:pPr>
        <w:pStyle w:val="2"/>
        <w:spacing w:before="194" w:line="368" w:lineRule="auto"/>
        <w:ind w:right="2"/>
        <w:jc w:val="both"/>
        <w:rPr>
          <w:spacing w:val="4"/>
        </w:rPr>
      </w:pPr>
    </w:p>
    <w:p w14:paraId="467657FB">
      <w:pPr>
        <w:pStyle w:val="2"/>
        <w:spacing w:before="194" w:line="368" w:lineRule="auto"/>
        <w:ind w:right="2"/>
        <w:jc w:val="both"/>
        <w:rPr>
          <w:spacing w:val="4"/>
        </w:rPr>
      </w:pPr>
    </w:p>
    <w:p w14:paraId="451A24FB">
      <w:pPr>
        <w:pStyle w:val="2"/>
        <w:spacing w:before="194" w:line="368" w:lineRule="auto"/>
        <w:ind w:right="2"/>
        <w:jc w:val="both"/>
        <w:rPr>
          <w:spacing w:val="4"/>
        </w:rPr>
      </w:pPr>
    </w:p>
    <w:p w14:paraId="17098123">
      <w:pPr>
        <w:pStyle w:val="2"/>
        <w:spacing w:before="194" w:line="368" w:lineRule="auto"/>
        <w:ind w:right="2"/>
        <w:jc w:val="both"/>
        <w:rPr>
          <w:spacing w:val="4"/>
        </w:rPr>
      </w:pPr>
    </w:p>
    <w:p w14:paraId="62ABC7EC">
      <w:pPr>
        <w:pStyle w:val="2"/>
        <w:spacing w:before="194" w:line="368" w:lineRule="auto"/>
        <w:ind w:right="2"/>
        <w:jc w:val="both"/>
        <w:rPr>
          <w:spacing w:val="4"/>
        </w:rPr>
      </w:pPr>
    </w:p>
    <w:p w14:paraId="73218904">
      <w:pPr>
        <w:pStyle w:val="2"/>
        <w:spacing w:before="194" w:line="368" w:lineRule="auto"/>
        <w:ind w:right="2"/>
        <w:jc w:val="both"/>
        <w:rPr>
          <w:spacing w:val="4"/>
        </w:rPr>
      </w:pPr>
    </w:p>
    <w:p w14:paraId="689247F3">
      <w:pPr>
        <w:pStyle w:val="2"/>
        <w:spacing w:before="194" w:line="368" w:lineRule="auto"/>
        <w:ind w:right="2"/>
        <w:jc w:val="both"/>
        <w:rPr>
          <w:spacing w:val="4"/>
        </w:rPr>
      </w:pPr>
    </w:p>
    <w:p w14:paraId="4EDF2BE3">
      <w:pPr>
        <w:pStyle w:val="2"/>
        <w:numPr>
          <w:ilvl w:val="0"/>
          <w:numId w:val="2"/>
        </w:numPr>
        <w:spacing w:before="201" w:line="186" w:lineRule="auto"/>
        <w:rPr>
          <w:rFonts w:eastAsia="宋体"/>
          <w:color w:val="2E74B5"/>
          <w:spacing w:val="-1"/>
          <w:sz w:val="28"/>
          <w:szCs w:val="28"/>
          <w:lang w:eastAsia="zh-CN"/>
        </w:rPr>
      </w:pPr>
      <w:r>
        <w:rPr>
          <w:rFonts w:hint="eastAsia" w:eastAsia="宋体"/>
          <w:color w:val="2E74B5"/>
          <w:spacing w:val="-1"/>
          <w:sz w:val="28"/>
          <w:szCs w:val="28"/>
          <w:lang w:eastAsia="zh-CN"/>
        </w:rPr>
        <w:t>Systems Requirements, Deliverables, Final Outcome</w:t>
      </w:r>
    </w:p>
    <w:p w14:paraId="62A391E8">
      <w:pPr>
        <w:pStyle w:val="2"/>
        <w:spacing w:before="190" w:line="366" w:lineRule="auto"/>
        <w:ind w:right="1"/>
        <w:jc w:val="both"/>
        <w:rPr>
          <w:spacing w:val="4"/>
        </w:rPr>
      </w:pPr>
      <w:r>
        <w:rPr>
          <w:rFonts w:hint="eastAsia"/>
          <w:spacing w:val="4"/>
        </w:rPr>
        <w:t>Functional requirements.</w:t>
      </w:r>
    </w:p>
    <w:p w14:paraId="38216772">
      <w:pPr>
        <w:pStyle w:val="2"/>
        <w:spacing w:before="190" w:line="366" w:lineRule="auto"/>
        <w:ind w:right="1"/>
        <w:jc w:val="both"/>
        <w:rPr>
          <w:spacing w:val="4"/>
        </w:rPr>
      </w:pPr>
      <w:r>
        <w:rPr>
          <w:rFonts w:hint="eastAsia"/>
          <w:spacing w:val="4"/>
        </w:rPr>
        <w:t xml:space="preserve">Data ingestion </w:t>
      </w:r>
      <w:r>
        <w:rPr>
          <w:rFonts w:hint="eastAsia" w:eastAsia="宋体"/>
          <w:spacing w:val="4"/>
          <w:lang w:eastAsia="zh-CN"/>
        </w:rPr>
        <w:t>and</w:t>
      </w:r>
      <w:r>
        <w:rPr>
          <w:rFonts w:hint="eastAsia"/>
          <w:spacing w:val="4"/>
        </w:rPr>
        <w:t xml:space="preserve"> harmonization. Load SHL, DaLiAc, RealWorld; harmonize axes/units, align overlapping labels, and document non‑invertible mappings. (Wang et al., 2021; Leutheuser et al., 2013; Sztyler &amp; Stuckenschmidt, 2016).</w:t>
      </w:r>
    </w:p>
    <w:p w14:paraId="748A450C">
      <w:pPr>
        <w:pStyle w:val="2"/>
        <w:spacing w:before="190" w:line="366" w:lineRule="auto"/>
        <w:ind w:right="1"/>
        <w:jc w:val="both"/>
        <w:rPr>
          <w:spacing w:val="4"/>
        </w:rPr>
      </w:pPr>
      <w:r>
        <w:rPr>
          <w:rFonts w:hint="eastAsia"/>
          <w:spacing w:val="4"/>
        </w:rPr>
        <w:t>Evaluation. Strict subject‑exclusive splits per dataset; SHL uses leave‑one‑user‑out; a calibration fold is carved from training users (disjoint windows). (Bragança et al., 2022).</w:t>
      </w:r>
    </w:p>
    <w:p w14:paraId="7787C5E2">
      <w:pPr>
        <w:pStyle w:val="2"/>
        <w:spacing w:before="190" w:line="366" w:lineRule="auto"/>
        <w:ind w:right="1"/>
        <w:jc w:val="both"/>
        <w:rPr>
          <w:spacing w:val="4"/>
        </w:rPr>
      </w:pPr>
      <w:r>
        <w:rPr>
          <w:rFonts w:hint="eastAsia"/>
          <w:spacing w:val="4"/>
        </w:rPr>
        <w:t>Models. KNN, RF, InceptionTime, MultiRocket, TST‑style Transformer, compact STG‑Former; report parameters/FLOPs</w:t>
      </w:r>
      <w:r>
        <w:rPr>
          <w:rFonts w:hint="eastAsia" w:eastAsia="宋体"/>
          <w:spacing w:val="4"/>
          <w:lang w:eastAsia="zh-CN"/>
        </w:rPr>
        <w:t xml:space="preserve"> (floating-point operations, compute cost and total trainable weights)</w:t>
      </w:r>
      <w:r>
        <w:rPr>
          <w:rFonts w:hint="eastAsia"/>
          <w:spacing w:val="4"/>
        </w:rPr>
        <w:t xml:space="preserve"> and keep architectures deployment‑feasible. (Fawaz et al., 2020;</w:t>
      </w:r>
      <w:r>
        <w:rPr>
          <w:rFonts w:hint="eastAsia" w:eastAsia="宋体"/>
          <w:spacing w:val="4"/>
          <w:lang w:eastAsia="zh-CN"/>
        </w:rPr>
        <w:t xml:space="preserve"> </w:t>
      </w:r>
      <w:r>
        <w:rPr>
          <w:rFonts w:hint="eastAsia"/>
          <w:spacing w:val="4"/>
        </w:rPr>
        <w:t xml:space="preserve"> Zerveas et al., 2021).</w:t>
      </w:r>
    </w:p>
    <w:p w14:paraId="2EBF57ED">
      <w:pPr>
        <w:pStyle w:val="2"/>
        <w:spacing w:before="190" w:line="366" w:lineRule="auto"/>
        <w:ind w:right="1"/>
        <w:jc w:val="both"/>
        <w:rPr>
          <w:spacing w:val="4"/>
        </w:rPr>
      </w:pPr>
      <w:r>
        <w:rPr>
          <w:rFonts w:hint="eastAsia"/>
          <w:spacing w:val="4"/>
        </w:rPr>
        <w:t>Reliability. Post‑hoc calibration (isotonic</w:t>
      </w:r>
      <w:r>
        <w:rPr>
          <w:rFonts w:hint="eastAsia" w:eastAsia="宋体"/>
          <w:spacing w:val="4"/>
          <w:lang w:eastAsia="zh-CN"/>
        </w:rPr>
        <w:t>, temperature-a post-hoc calibration method that divides logits by a single temperature T&gt;0, adjusting predicted confidences without changing class rankings</w:t>
      </w:r>
      <w:r>
        <w:rPr>
          <w:rFonts w:hint="eastAsia"/>
          <w:spacing w:val="4"/>
        </w:rPr>
        <w:t>); ECE/Brier</w:t>
      </w:r>
      <w:r>
        <w:rPr>
          <w:rFonts w:hint="eastAsia" w:eastAsia="宋体"/>
          <w:spacing w:val="4"/>
          <w:lang w:eastAsia="zh-CN"/>
        </w:rPr>
        <w:t>(Mean-squared error on probabilities)</w:t>
      </w:r>
      <w:r>
        <w:rPr>
          <w:rFonts w:hint="eastAsia"/>
          <w:spacing w:val="4"/>
        </w:rPr>
        <w:t>/NLL</w:t>
      </w:r>
      <w:r>
        <w:rPr>
          <w:rFonts w:hint="eastAsia" w:eastAsia="宋体"/>
          <w:spacing w:val="4"/>
          <w:lang w:eastAsia="zh-CN"/>
        </w:rPr>
        <w:t>(Penalises confident wrong predictions strongly; lower is better)</w:t>
      </w:r>
      <w:r>
        <w:rPr>
          <w:rFonts w:hint="eastAsia"/>
          <w:spacing w:val="4"/>
        </w:rPr>
        <w:t>; selective prediction (single global threshold); APS label‑sets. (Geifman &amp; El‑Yaniv, 2019).</w:t>
      </w:r>
    </w:p>
    <w:p w14:paraId="7D9CFD6E">
      <w:pPr>
        <w:pStyle w:val="2"/>
        <w:spacing w:before="190" w:line="366" w:lineRule="auto"/>
        <w:ind w:right="1"/>
        <w:jc w:val="both"/>
        <w:rPr>
          <w:spacing w:val="4"/>
        </w:rPr>
      </w:pPr>
      <w:r>
        <w:rPr>
          <w:rFonts w:hint="eastAsia"/>
          <w:spacing w:val="4"/>
        </w:rPr>
        <w:t>Efficiency. Sampling‑rate sweeps and INT8 PTQ</w:t>
      </w:r>
      <w:r>
        <w:rPr>
          <w:rFonts w:hint="eastAsia" w:eastAsia="宋体"/>
          <w:spacing w:val="4"/>
          <w:lang w:eastAsia="zh-CN"/>
        </w:rPr>
        <w:t xml:space="preserve"> (convert weights/activations from 32-bit floats to 8-bit integers after training to save memory and speed up inference)</w:t>
      </w:r>
      <w:r>
        <w:rPr>
          <w:rFonts w:hint="eastAsia"/>
          <w:spacing w:val="4"/>
        </w:rPr>
        <w:t>; endorse Pareto‑optimal points by accuracy–latency–energy. (TensorFlow Lite).</w:t>
      </w:r>
    </w:p>
    <w:p w14:paraId="0AB3591A">
      <w:pPr>
        <w:pStyle w:val="2"/>
        <w:spacing w:before="190" w:line="366" w:lineRule="auto"/>
        <w:ind w:right="1"/>
        <w:jc w:val="both"/>
        <w:rPr>
          <w:spacing w:val="4"/>
        </w:rPr>
      </w:pPr>
      <w:r>
        <w:rPr>
          <w:rFonts w:hint="eastAsia"/>
          <w:spacing w:val="4"/>
        </w:rPr>
        <w:t xml:space="preserve">Robustness. OOD </w:t>
      </w:r>
      <w:r>
        <w:rPr>
          <w:rFonts w:hint="eastAsia" w:eastAsia="宋体"/>
          <w:spacing w:val="4"/>
          <w:lang w:eastAsia="zh-CN"/>
        </w:rPr>
        <w:t xml:space="preserve">(Identify test samples that differ from training data. e.g., unseen activities, sensors, or contexts and treat them cautiously) </w:t>
      </w:r>
      <w:r>
        <w:rPr>
          <w:rFonts w:hint="eastAsia"/>
          <w:spacing w:val="4"/>
        </w:rPr>
        <w:t>via max‑softmax and energy‑based detectors with AUROC</w:t>
      </w:r>
      <w:r>
        <w:rPr>
          <w:rFonts w:hint="eastAsia" w:eastAsia="宋体"/>
          <w:spacing w:val="4"/>
          <w:lang w:eastAsia="zh-CN"/>
        </w:rPr>
        <w:t xml:space="preserve"> (Probability that a random positive (OOD) example is scored higher than a random negative (in-distribution) example; 0.5 = chance, 1.0 = perfect)</w:t>
      </w:r>
      <w:r>
        <w:rPr>
          <w:rFonts w:hint="eastAsia"/>
          <w:spacing w:val="4"/>
        </w:rPr>
        <w:t xml:space="preserve"> and TPR@1%FPR</w:t>
      </w:r>
      <w:r>
        <w:rPr>
          <w:rFonts w:hint="eastAsia" w:eastAsia="宋体"/>
          <w:spacing w:val="4"/>
          <w:lang w:eastAsia="zh-CN"/>
        </w:rPr>
        <w:t xml:space="preserve"> (True-positive rate when the false-positive rate is fixed at 1%; a high-precision operating point for safety-critical screens)</w:t>
      </w:r>
      <w:r>
        <w:rPr>
          <w:rFonts w:hint="eastAsia"/>
          <w:spacing w:val="4"/>
        </w:rPr>
        <w:t>. (Hendrycks &amp; Gimpel, 2017; Liu et al., 2020).</w:t>
      </w:r>
    </w:p>
    <w:p w14:paraId="1D6E02E7">
      <w:pPr>
        <w:pStyle w:val="2"/>
        <w:spacing w:before="190" w:line="366" w:lineRule="auto"/>
        <w:ind w:right="1"/>
        <w:jc w:val="both"/>
        <w:rPr>
          <w:spacing w:val="4"/>
        </w:rPr>
      </w:pPr>
      <w:r>
        <w:rPr>
          <w:rFonts w:hint="eastAsia"/>
          <w:spacing w:val="4"/>
        </w:rPr>
        <w:t>Non‑functional. Public datasets; permissive licence; deterministic runs; dataset/model cards; ethics: approved (certificate in appendix). This sectioning and outcome style follows the official brief.</w:t>
      </w:r>
    </w:p>
    <w:p w14:paraId="20722432">
      <w:pPr>
        <w:pStyle w:val="2"/>
        <w:spacing w:before="190" w:line="366" w:lineRule="auto"/>
        <w:ind w:right="1"/>
        <w:jc w:val="both"/>
        <w:rPr>
          <w:spacing w:val="4"/>
        </w:rPr>
      </w:pPr>
      <w:r>
        <w:rPr>
          <w:rFonts w:hint="eastAsia"/>
          <w:spacing w:val="4"/>
        </w:rPr>
        <w:t>Deliverables &amp; gates. We use stage‑gates with hard pass/fail rules (Table 2), a 10‑week plan (</w:t>
      </w:r>
      <w:r>
        <w:rPr>
          <w:rFonts w:hint="eastAsia" w:eastAsia="宋体"/>
          <w:spacing w:val="4"/>
          <w:lang w:eastAsia="zh-CN"/>
        </w:rPr>
        <w:t xml:space="preserve">Figure 1 and </w:t>
      </w:r>
      <w:r>
        <w:rPr>
          <w:rFonts w:hint="eastAsia"/>
          <w:spacing w:val="4"/>
        </w:rPr>
        <w:t>Table 3), risk controls (Table 4), and domain‑shift diagnostics (Table 5). The final outcome is integrated: a single auditable configuration (model + calibration/APS + sampling/INT8) that meets Table 1.</w:t>
      </w:r>
    </w:p>
    <w:p w14:paraId="55E3688E">
      <w:pPr>
        <w:pStyle w:val="2"/>
        <w:spacing w:before="190" w:line="366" w:lineRule="auto"/>
        <w:ind w:right="1"/>
        <w:jc w:val="both"/>
        <w:rPr>
          <w:spacing w:val="4"/>
        </w:rPr>
      </w:pPr>
    </w:p>
    <w:p w14:paraId="102EF9FD">
      <w:pPr>
        <w:pStyle w:val="2"/>
        <w:spacing w:before="190" w:line="366" w:lineRule="auto"/>
        <w:ind w:right="1"/>
        <w:jc w:val="both"/>
        <w:rPr>
          <w:spacing w:val="4"/>
        </w:rPr>
      </w:pPr>
    </w:p>
    <w:p w14:paraId="75390FB0">
      <w:pPr>
        <w:pStyle w:val="2"/>
        <w:spacing w:before="190" w:line="366" w:lineRule="auto"/>
        <w:ind w:right="1"/>
        <w:jc w:val="both"/>
        <w:rPr>
          <w:rFonts w:eastAsia="宋体"/>
          <w:spacing w:val="4"/>
          <w:lang w:eastAsia="zh-CN"/>
        </w:rPr>
      </w:pPr>
    </w:p>
    <w:p w14:paraId="291BB64B">
      <w:pPr>
        <w:pStyle w:val="2"/>
        <w:numPr>
          <w:ilvl w:val="0"/>
          <w:numId w:val="2"/>
        </w:numPr>
        <w:spacing w:before="201" w:line="186" w:lineRule="auto"/>
        <w:rPr>
          <w:rFonts w:eastAsia="宋体"/>
          <w:color w:val="2E74B5"/>
          <w:spacing w:val="-1"/>
          <w:sz w:val="28"/>
          <w:szCs w:val="28"/>
          <w:lang w:eastAsia="zh-CN"/>
        </w:rPr>
      </w:pPr>
      <w:r>
        <w:rPr>
          <w:rFonts w:hint="eastAsia" w:eastAsia="宋体"/>
          <w:color w:val="2E74B5"/>
          <w:spacing w:val="-1"/>
          <w:sz w:val="28"/>
          <w:szCs w:val="28"/>
          <w:lang w:eastAsia="zh-CN"/>
        </w:rPr>
        <w:t>Primary Research Plan (feasibility, power, risk controls)</w:t>
      </w:r>
    </w:p>
    <w:p w14:paraId="272D2FB1">
      <w:pPr>
        <w:pStyle w:val="2"/>
        <w:spacing w:before="192" w:line="366" w:lineRule="auto"/>
        <w:ind w:right="3"/>
        <w:jc w:val="both"/>
      </w:pPr>
      <w:r>
        <w:rPr>
          <w:rFonts w:hint="eastAsia"/>
        </w:rPr>
        <w:t xml:space="preserve">Datasets </w:t>
      </w:r>
      <w:r>
        <w:rPr>
          <w:rFonts w:hint="eastAsia" w:eastAsia="宋体"/>
          <w:lang w:eastAsia="zh-CN"/>
        </w:rPr>
        <w:t>and</w:t>
      </w:r>
      <w:r>
        <w:rPr>
          <w:rFonts w:hint="eastAsia"/>
        </w:rPr>
        <w:t xml:space="preserve"> label taxonomy</w:t>
      </w:r>
      <w:r>
        <w:rPr>
          <w:rFonts w:hint="eastAsia" w:eastAsia="宋体"/>
          <w:lang w:eastAsia="zh-CN"/>
        </w:rPr>
        <w:t xml:space="preserve"> (Table 6)</w:t>
      </w:r>
      <w:r>
        <w:rPr>
          <w:rFonts w:hint="eastAsia"/>
        </w:rPr>
        <w:t>. We expose label differences up front and make them auditable. Because transport classes exist only in SHL (e.g., Bus/Car/Train/Subway), while postures/household activities exist in DaLiAc/RealWorld, we report two metrics in transfer tests: (i) aligned‑only (class intersection); and (ii) all‑class (with non‑overlaps mapped to “other” and clearly flagged). (Napoli et al., 2024; Wang et al., 2021; Leutheuser et al., 2013; Sztyler &amp; Stuckenschmidt, 2016).</w:t>
      </w:r>
    </w:p>
    <w:p w14:paraId="0B8B67FB">
      <w:pPr>
        <w:pStyle w:val="2"/>
        <w:spacing w:before="192" w:line="366" w:lineRule="auto"/>
        <w:ind w:right="3"/>
        <w:jc w:val="both"/>
      </w:pPr>
      <w:r>
        <w:rPr>
          <w:rFonts w:hint="eastAsia"/>
        </w:rPr>
        <w:t>Splits and planned counts (power). Subject‑exclusive is mandatory. SHL uses leave‑one‑user‑out (LOUO) across its three users; RealWorld and DaLiAc use LOSO</w:t>
      </w:r>
      <w:r>
        <w:rPr>
          <w:rFonts w:hint="eastAsia" w:eastAsia="宋体"/>
          <w:lang w:eastAsia="zh-CN"/>
        </w:rPr>
        <w:t xml:space="preserve"> (Each fold holds out one person for testing)</w:t>
      </w:r>
      <w:r>
        <w:rPr>
          <w:rFonts w:hint="eastAsia"/>
        </w:rPr>
        <w:t xml:space="preserve"> with subject‑disjoint calibration. Pilot variance on ≥10 subjects per dataset sets seed counts; if macro‑F1 SD &gt; 1.5 pp, we raise seeds to 10 and simplify the grid. (Bragança et al., 2022)</w:t>
      </w:r>
      <w:r>
        <w:rPr>
          <w:rFonts w:hint="eastAsia" w:eastAsia="宋体"/>
          <w:lang w:eastAsia="zh-CN"/>
        </w:rPr>
        <w:t>(Table 7)</w:t>
      </w:r>
      <w:r>
        <w:rPr>
          <w:rFonts w:hint="eastAsia"/>
        </w:rPr>
        <w:t>.</w:t>
      </w:r>
    </w:p>
    <w:p w14:paraId="7E20B104">
      <w:pPr>
        <w:pStyle w:val="2"/>
        <w:spacing w:before="192" w:line="366" w:lineRule="auto"/>
        <w:ind w:right="3"/>
        <w:jc w:val="both"/>
      </w:pPr>
      <w:r>
        <w:rPr>
          <w:rFonts w:hint="eastAsia"/>
        </w:rPr>
        <w:t>Preprocessing (frozen at Exit‑A). Anti‑alias → decimate with a linear‑phase FIR; document order, transition width and group delay; per‑subject z‑score from training(+calibration) only; window grid 2/3/5 s × {0, 50%} overlap; freeze the most stable setting after the pilot.</w:t>
      </w:r>
    </w:p>
    <w:p w14:paraId="4733E66E">
      <w:pPr>
        <w:pStyle w:val="2"/>
        <w:spacing w:before="192" w:line="366" w:lineRule="auto"/>
        <w:ind w:right="3"/>
        <w:jc w:val="both"/>
      </w:pPr>
      <w:r>
        <w:rPr>
          <w:rFonts w:hint="eastAsia"/>
        </w:rPr>
        <w:t>Models and ablations. Baselines: InceptionTime (multi‑scale 1‑D CNN), MultiRocket (fast kernel features), TST‑style Transformer; classical KNN/RF anchor the space. Our compact STG‑Former forms spectral tokens via depthwise‑separable convolutions and uses gated temporal self‑attention; we ablate the tokeniser and gating. (Fawaz et al., 2020; Zerveas et al., 2021).</w:t>
      </w:r>
    </w:p>
    <w:p w14:paraId="2D1BED18">
      <w:pPr>
        <w:pStyle w:val="2"/>
        <w:spacing w:before="192" w:line="366" w:lineRule="auto"/>
        <w:ind w:right="3"/>
        <w:jc w:val="both"/>
      </w:pPr>
      <w:r>
        <w:rPr>
          <w:rFonts w:hint="eastAsia"/>
        </w:rPr>
        <w:t>Reliability (calibration → selective prediction → APS). We fit temperature and isotonic calibrators on the calibration split and report ECE (15 equal‑mass bins), Brier, and NLL. We then choose one global confidence threshold (on validation subjects) that caps high‑risk false positives; the model can abstain on uncertain windows (Geifman &amp; El‑Yaniv, 2019; Silva Filho et al., 2023). Finally, we compute APS label‑sets at 90% nominal coverage; if coverage on held‑out subjects drops below 85%, we switch to Mondrian APS (class‑conditional) without retraining and always report mean set size to expose the utility–safety trade‑off (Angelopoulos &amp; Bates, 2023).</w:t>
      </w:r>
    </w:p>
    <w:p w14:paraId="2363711C">
      <w:pPr>
        <w:pStyle w:val="2"/>
        <w:spacing w:before="192" w:line="366" w:lineRule="auto"/>
        <w:ind w:right="3"/>
        <w:jc w:val="both"/>
      </w:pPr>
      <w:r>
        <w:rPr>
          <w:rFonts w:hint="eastAsia"/>
        </w:rPr>
        <w:t>Efficiency &amp; compression. We sweep sampling rates (e.g., 100→50→25 Hz), retune strides, and apply INT8 PTQ with class‑stratified calibration samples; if any class loses &gt; 1 pp F1, we run layer‑wise sensitivity and small‑budget distillation. (TensorFlow Lite).</w:t>
      </w:r>
    </w:p>
    <w:p w14:paraId="38F70C46">
      <w:pPr>
        <w:pStyle w:val="2"/>
        <w:spacing w:before="192" w:line="366" w:lineRule="auto"/>
        <w:ind w:right="3"/>
        <w:jc w:val="both"/>
      </w:pPr>
      <w:r>
        <w:rPr>
          <w:rFonts w:hint="eastAsia"/>
        </w:rPr>
        <w:t>On‑device benchmarking (Pixel 7). TFLite</w:t>
      </w:r>
      <w:r>
        <w:rPr>
          <w:rFonts w:hint="eastAsia" w:eastAsia="宋体"/>
          <w:lang w:eastAsia="zh-CN"/>
        </w:rPr>
        <w:t xml:space="preserve"> (TensorFlow Lite is Google’s mobile inference runtime)</w:t>
      </w:r>
      <w:r>
        <w:rPr>
          <w:rFonts w:hint="eastAsia"/>
        </w:rPr>
        <w:t> 2.14; CPU and NNAPI</w:t>
      </w:r>
      <w:r>
        <w:rPr>
          <w:rFonts w:hint="eastAsia" w:eastAsia="宋体"/>
          <w:lang w:eastAsia="zh-CN"/>
        </w:rPr>
        <w:t xml:space="preserve"> (Android</w:t>
      </w:r>
      <w:r>
        <w:rPr>
          <w:rFonts w:eastAsia="宋体"/>
          <w:lang w:eastAsia="zh-CN"/>
        </w:rPr>
        <w:t>’</w:t>
      </w:r>
      <w:r>
        <w:rPr>
          <w:rFonts w:hint="eastAsia" w:eastAsia="宋体"/>
          <w:lang w:eastAsia="zh-CN"/>
        </w:rPr>
        <w:t>s interface to on-device accelerators)</w:t>
      </w:r>
      <w:r>
        <w:rPr>
          <w:rFonts w:hint="eastAsia"/>
        </w:rPr>
        <w:t>; medians over 200 single‑window inferences in airplane mode; fixed brightness; battery 60–90%; trials with &gt; 2 MAD thermal drift discarded. Energy is computed from Batterystats/Historian traces; for each champion configuration we add 10 USB power‑meter trials and require MAE ≤ 10% and r ≥ 0.9 vs OS telemetry (else the meter is the source of truth). (Android Battery Historian)</w:t>
      </w:r>
      <w:r>
        <w:rPr>
          <w:rFonts w:hint="eastAsia" w:eastAsia="宋体"/>
          <w:lang w:eastAsia="zh-CN"/>
        </w:rPr>
        <w:t xml:space="preserve"> (Table 8)</w:t>
      </w:r>
      <w:r>
        <w:rPr>
          <w:rFonts w:hint="eastAsia"/>
        </w:rPr>
        <w:t>.</w:t>
      </w:r>
    </w:p>
    <w:p w14:paraId="789EAFBE">
      <w:pPr>
        <w:pStyle w:val="2"/>
        <w:spacing w:before="192" w:line="366" w:lineRule="auto"/>
        <w:ind w:right="3"/>
        <w:jc w:val="both"/>
      </w:pPr>
    </w:p>
    <w:p w14:paraId="7AC915D0">
      <w:pPr>
        <w:pStyle w:val="2"/>
        <w:spacing w:before="192" w:line="366" w:lineRule="auto"/>
        <w:ind w:right="3"/>
        <w:jc w:val="both"/>
      </w:pPr>
    </w:p>
    <w:p w14:paraId="0F56CE44">
      <w:pPr>
        <w:pStyle w:val="2"/>
        <w:spacing w:before="192" w:line="366" w:lineRule="auto"/>
        <w:ind w:right="3"/>
        <w:jc w:val="both"/>
      </w:pPr>
      <w:r>
        <w:rPr>
          <w:rFonts w:hint="eastAsia"/>
        </w:rPr>
        <w:t>Cross‑dataset transfer &amp; low‑label adaptation. We report zero‑shot transfer on aligned classes across SHL↔DaLiAc↔RealWorld, then 1%/5% fine‑tuning, with F1–label‑rate curves and public mappings/scripts. (Napoli et al., 2024).</w:t>
      </w:r>
    </w:p>
    <w:p w14:paraId="1033CA5E">
      <w:pPr>
        <w:pStyle w:val="2"/>
        <w:spacing w:before="192" w:line="366" w:lineRule="auto"/>
        <w:ind w:right="3"/>
        <w:jc w:val="both"/>
      </w:pPr>
      <w:r>
        <w:rPr>
          <w:rFonts w:hint="eastAsia"/>
        </w:rPr>
        <w:t>OOD &amp; fairness policy. TPR@1%FPR ≥ 60% on OOD detection is targeted; OOD flags route windows directly to reject/APS to protect high‑risk use‑cases; OOD metrics do not influence champion ranking. We slice performance by device/position (where available) and cap slice‑level abstention gap ≤ 10 pp; otherwise we adjust thresholds and justify policy changes. (Hendrycks &amp; Gimpel, 2017; Liu et al., 2020).</w:t>
      </w:r>
    </w:p>
    <w:p w14:paraId="2DE72C73">
      <w:pPr>
        <w:pStyle w:val="2"/>
        <w:spacing w:before="192" w:line="366" w:lineRule="auto"/>
        <w:ind w:right="3"/>
        <w:jc w:val="both"/>
      </w:pPr>
      <w:r>
        <w:rPr>
          <w:rFonts w:hint="eastAsia"/>
        </w:rPr>
        <w:t>Statistics &amp; reproducibility. Per‑subject scores → Friedman with Nemenyi CD plots; corroborated by paired Wilcoxon + Holm; report Â12 and Cliff’s δ; bootstrap CIs for macro‑F1/coverage. Reproducibility: deterministic seeds; lockfile; Docker; commit hash recorded before final test. (Demšar, 2006).</w:t>
      </w:r>
    </w:p>
    <w:p w14:paraId="18A10961">
      <w:pPr>
        <w:pStyle w:val="2"/>
        <w:spacing w:before="192" w:line="366" w:lineRule="auto"/>
        <w:ind w:right="3"/>
        <w:jc w:val="both"/>
      </w:pPr>
    </w:p>
    <w:p w14:paraId="74F17A4B">
      <w:pPr>
        <w:pStyle w:val="2"/>
        <w:spacing w:before="192" w:line="366" w:lineRule="auto"/>
        <w:ind w:right="3"/>
        <w:jc w:val="both"/>
      </w:pPr>
    </w:p>
    <w:p w14:paraId="6EED87F4">
      <w:pPr>
        <w:pStyle w:val="2"/>
        <w:spacing w:before="192" w:line="366" w:lineRule="auto"/>
        <w:ind w:right="3"/>
        <w:jc w:val="both"/>
      </w:pPr>
    </w:p>
    <w:p w14:paraId="29858D75">
      <w:pPr>
        <w:pStyle w:val="2"/>
        <w:spacing w:before="192" w:line="366" w:lineRule="auto"/>
        <w:ind w:right="3"/>
        <w:jc w:val="both"/>
      </w:pPr>
    </w:p>
    <w:p w14:paraId="0390980D">
      <w:pPr>
        <w:pStyle w:val="2"/>
        <w:spacing w:before="192" w:line="366" w:lineRule="auto"/>
        <w:ind w:right="3"/>
        <w:jc w:val="both"/>
      </w:pPr>
    </w:p>
    <w:p w14:paraId="5D25D654">
      <w:pPr>
        <w:pStyle w:val="2"/>
        <w:spacing w:before="192" w:line="366" w:lineRule="auto"/>
        <w:ind w:right="3"/>
        <w:jc w:val="both"/>
      </w:pPr>
    </w:p>
    <w:p w14:paraId="0F9C49C8">
      <w:pPr>
        <w:pStyle w:val="2"/>
        <w:spacing w:before="192" w:line="366" w:lineRule="auto"/>
        <w:ind w:right="3"/>
        <w:jc w:val="both"/>
      </w:pPr>
    </w:p>
    <w:p w14:paraId="79C73B65">
      <w:pPr>
        <w:pStyle w:val="2"/>
        <w:spacing w:before="192" w:line="366" w:lineRule="auto"/>
        <w:ind w:right="3"/>
        <w:jc w:val="both"/>
      </w:pPr>
    </w:p>
    <w:p w14:paraId="6B3E854E">
      <w:pPr>
        <w:pStyle w:val="2"/>
        <w:spacing w:before="192" w:line="366" w:lineRule="auto"/>
        <w:ind w:right="3"/>
        <w:jc w:val="both"/>
      </w:pPr>
    </w:p>
    <w:p w14:paraId="588CE5AA">
      <w:pPr>
        <w:pStyle w:val="2"/>
        <w:spacing w:before="192" w:line="366" w:lineRule="auto"/>
        <w:ind w:right="3"/>
        <w:jc w:val="both"/>
      </w:pPr>
    </w:p>
    <w:p w14:paraId="30538CFD">
      <w:pPr>
        <w:pStyle w:val="2"/>
        <w:spacing w:before="192" w:line="366" w:lineRule="auto"/>
        <w:ind w:right="3"/>
        <w:jc w:val="both"/>
      </w:pPr>
    </w:p>
    <w:p w14:paraId="1054A4C6">
      <w:pPr>
        <w:pStyle w:val="2"/>
        <w:spacing w:before="192" w:line="366" w:lineRule="auto"/>
        <w:ind w:right="3"/>
        <w:jc w:val="both"/>
      </w:pPr>
    </w:p>
    <w:p w14:paraId="1A41F1C2">
      <w:pPr>
        <w:pStyle w:val="2"/>
        <w:spacing w:before="192" w:line="366" w:lineRule="auto"/>
        <w:ind w:right="3"/>
        <w:jc w:val="both"/>
      </w:pPr>
    </w:p>
    <w:p w14:paraId="6EE4714C">
      <w:pPr>
        <w:pStyle w:val="2"/>
        <w:spacing w:before="192" w:line="366" w:lineRule="auto"/>
        <w:ind w:right="3"/>
        <w:jc w:val="both"/>
      </w:pPr>
    </w:p>
    <w:p w14:paraId="4CDB57EF">
      <w:pPr>
        <w:pStyle w:val="2"/>
        <w:spacing w:before="192" w:line="366" w:lineRule="auto"/>
        <w:ind w:right="3"/>
        <w:jc w:val="both"/>
      </w:pPr>
    </w:p>
    <w:p w14:paraId="15C95840">
      <w:pPr>
        <w:pStyle w:val="2"/>
        <w:spacing w:before="192" w:line="366" w:lineRule="auto"/>
        <w:ind w:right="3"/>
        <w:jc w:val="both"/>
      </w:pPr>
    </w:p>
    <w:p w14:paraId="684B3C5B">
      <w:pPr>
        <w:pStyle w:val="2"/>
        <w:spacing w:before="192" w:line="366" w:lineRule="auto"/>
        <w:ind w:right="3"/>
        <w:jc w:val="both"/>
      </w:pPr>
    </w:p>
    <w:p w14:paraId="2957563D">
      <w:pPr>
        <w:pStyle w:val="2"/>
        <w:spacing w:before="192" w:line="366" w:lineRule="auto"/>
        <w:ind w:right="3"/>
        <w:jc w:val="both"/>
      </w:pPr>
    </w:p>
    <w:p w14:paraId="16941A36">
      <w:pPr>
        <w:pStyle w:val="2"/>
        <w:numPr>
          <w:ilvl w:val="0"/>
          <w:numId w:val="2"/>
        </w:numPr>
        <w:spacing w:before="201" w:line="186" w:lineRule="auto"/>
        <w:rPr>
          <w:rFonts w:eastAsia="宋体"/>
          <w:color w:val="2E74B5"/>
          <w:spacing w:val="-1"/>
          <w:sz w:val="28"/>
          <w:szCs w:val="28"/>
          <w:lang w:eastAsia="zh-CN"/>
        </w:rPr>
      </w:pPr>
      <w:r>
        <w:rPr>
          <w:rFonts w:hint="eastAsia" w:eastAsia="宋体"/>
          <w:color w:val="2E74B5"/>
          <w:spacing w:val="-1"/>
          <w:sz w:val="28"/>
          <w:szCs w:val="28"/>
          <w:lang w:eastAsia="zh-CN"/>
        </w:rPr>
        <w:t>Initial / Mini Literature Review</w:t>
      </w:r>
    </w:p>
    <w:p w14:paraId="4ABE37FF">
      <w:pPr>
        <w:pStyle w:val="2"/>
        <w:spacing w:before="192" w:line="366" w:lineRule="auto"/>
        <w:ind w:right="3"/>
        <w:jc w:val="both"/>
      </w:pPr>
      <w:r>
        <w:rPr>
          <w:rFonts w:hint="eastAsia"/>
        </w:rPr>
        <w:t>Validation leakage and why subject‑exclusive is mandatory. Bragança et al. (2022) show that non‑exclusive validation inflates scores and can be diagnosed with explainable methods. We therefore ban random/k‑fold on mixed‑window data, use subject‑exclusive tests, and report statistics per subject before aggregation.</w:t>
      </w:r>
    </w:p>
    <w:p w14:paraId="7E771C2E">
      <w:pPr>
        <w:pStyle w:val="2"/>
        <w:spacing w:before="192" w:line="366" w:lineRule="auto"/>
        <w:ind w:right="3"/>
        <w:jc w:val="both"/>
      </w:pPr>
      <w:r>
        <w:rPr>
          <w:rFonts w:hint="eastAsia"/>
        </w:rPr>
        <w:t>Cross‑dataset generalization is hard, even after harmonization. Napoli et al. (2024) construct DAGHAR, documenting that models trained on one smartphone dataset often degrade on another despite careful preprocessing. We operationalize this with aligned vs all‑class metrics, public mappings, and zero‑shot/low‑label transfer across SHL, DaLiAc and RealWorld.</w:t>
      </w:r>
    </w:p>
    <w:p w14:paraId="3A811C27">
      <w:pPr>
        <w:pStyle w:val="2"/>
        <w:spacing w:before="192" w:line="366" w:lineRule="auto"/>
        <w:ind w:right="3"/>
        <w:jc w:val="both"/>
      </w:pPr>
      <w:r>
        <w:rPr>
          <w:rFonts w:hint="eastAsia"/>
        </w:rPr>
        <w:t>Fast, strong non‑deep baseline. MultiRocket (Tan et al., 2022) reaches state‑of‑the‑art time‑series accuracy at a fraction of training cost, providing a competitive reference to test whether heavier models add value under subject‑exclusive evaluation.</w:t>
      </w:r>
    </w:p>
    <w:p w14:paraId="0621DF5C">
      <w:pPr>
        <w:pStyle w:val="2"/>
        <w:spacing w:before="192" w:line="366" w:lineRule="auto"/>
        <w:ind w:right="3"/>
        <w:jc w:val="both"/>
      </w:pPr>
      <w:r>
        <w:rPr>
          <w:rFonts w:hint="eastAsia"/>
        </w:rPr>
        <w:t>Calibration: look beyond a single number. Silva Filho et al. (2023) caution that ECE alone can mislead under imbalance; they recommend subject‑wise analysis and pairing ECE with proper scoring rules (Brier/NLL). We adopt that recipe and set a minimal F1‑loss constraint for any calibration step.</w:t>
      </w:r>
    </w:p>
    <w:p w14:paraId="5C828212">
      <w:pPr>
        <w:pStyle w:val="2"/>
        <w:spacing w:before="192" w:line="366" w:lineRule="auto"/>
        <w:ind w:right="3"/>
        <w:jc w:val="both"/>
      </w:pPr>
      <w:r>
        <w:rPr>
          <w:rFonts w:hint="eastAsia"/>
        </w:rPr>
        <w:t>Distribution‑free uncertainty via APS. Angelopoulos &amp; Bates (2023) provide a practical, rigorous introduction to conformal prediction for classification; we adopt APS at 90% nominal coverage and switch to Mondrian APS if coverage slips below 85%, always reporting mean set size to reveal the utility–safety trade‑off.</w:t>
      </w:r>
    </w:p>
    <w:p w14:paraId="15C4C87B">
      <w:pPr>
        <w:pStyle w:val="2"/>
        <w:spacing w:before="192" w:line="366" w:lineRule="auto"/>
        <w:ind w:right="3"/>
        <w:jc w:val="both"/>
      </w:pPr>
      <w:r>
        <w:rPr>
          <w:rFonts w:hint="eastAsia"/>
        </w:rPr>
        <w:t>A recent large‑scale lesson on representation and generalization. Yuan et al. (2024, npj Digital Medicine) train self‑supervised HAR representations on 700,000 person‑days of wearable data and show that pretraining + careful finetuning improves cross‑device and cross‑study transfer. This strengthens our choice to (i) prefer subject‑exclusive selection, (ii) treat aligned labels explicitly, and (iii) evaluate zero‑shot/low‑label adaptation across SHL, DaLiAc and RealWorld.</w:t>
      </w:r>
    </w:p>
    <w:p w14:paraId="394BC54A">
      <w:pPr>
        <w:pStyle w:val="2"/>
        <w:spacing w:before="192" w:line="366" w:lineRule="auto"/>
        <w:ind w:right="3"/>
        <w:jc w:val="both"/>
      </w:pPr>
    </w:p>
    <w:p w14:paraId="2ADC80F9">
      <w:pPr>
        <w:pStyle w:val="2"/>
        <w:spacing w:before="192" w:line="366" w:lineRule="auto"/>
        <w:ind w:right="3"/>
        <w:jc w:val="both"/>
      </w:pPr>
    </w:p>
    <w:p w14:paraId="684CA92C">
      <w:pPr>
        <w:pStyle w:val="2"/>
        <w:spacing w:before="192" w:line="366" w:lineRule="auto"/>
        <w:ind w:right="3"/>
        <w:jc w:val="both"/>
      </w:pPr>
    </w:p>
    <w:p w14:paraId="6002D938">
      <w:pPr>
        <w:pStyle w:val="2"/>
        <w:spacing w:before="192" w:line="366" w:lineRule="auto"/>
        <w:ind w:right="3"/>
        <w:jc w:val="both"/>
      </w:pPr>
    </w:p>
    <w:p w14:paraId="68542A2F">
      <w:pPr>
        <w:pStyle w:val="2"/>
        <w:spacing w:before="192" w:line="366" w:lineRule="auto"/>
        <w:ind w:right="3"/>
        <w:jc w:val="both"/>
      </w:pPr>
    </w:p>
    <w:p w14:paraId="7FE33C0A">
      <w:pPr>
        <w:pStyle w:val="2"/>
        <w:spacing w:before="192" w:line="366" w:lineRule="auto"/>
        <w:ind w:right="3"/>
        <w:jc w:val="both"/>
      </w:pPr>
    </w:p>
    <w:p w14:paraId="4B834C36">
      <w:pPr>
        <w:pStyle w:val="2"/>
        <w:spacing w:before="192" w:line="366" w:lineRule="auto"/>
        <w:ind w:right="3"/>
        <w:jc w:val="both"/>
      </w:pPr>
    </w:p>
    <w:p w14:paraId="070F81C5">
      <w:pPr>
        <w:pStyle w:val="2"/>
        <w:spacing w:before="192" w:line="366" w:lineRule="auto"/>
        <w:ind w:right="3"/>
        <w:jc w:val="both"/>
      </w:pPr>
    </w:p>
    <w:p w14:paraId="78F22759">
      <w:pPr>
        <w:pStyle w:val="2"/>
        <w:spacing w:before="192" w:line="366" w:lineRule="auto"/>
        <w:ind w:right="3"/>
        <w:jc w:val="both"/>
      </w:pPr>
    </w:p>
    <w:p w14:paraId="7CDC77CA">
      <w:pPr>
        <w:pStyle w:val="2"/>
        <w:numPr>
          <w:ilvl w:val="0"/>
          <w:numId w:val="2"/>
        </w:numPr>
        <w:spacing w:before="201" w:line="186" w:lineRule="auto"/>
        <w:rPr>
          <w:rFonts w:eastAsia="宋体"/>
          <w:color w:val="2E74B5"/>
          <w:spacing w:val="-1"/>
          <w:sz w:val="28"/>
          <w:szCs w:val="28"/>
          <w:lang w:eastAsia="zh-CN"/>
        </w:rPr>
      </w:pPr>
      <w:r>
        <w:rPr>
          <w:rFonts w:hint="eastAsia" w:eastAsia="宋体"/>
          <w:color w:val="2E74B5"/>
          <w:spacing w:val="-1"/>
          <w:sz w:val="28"/>
          <w:szCs w:val="28"/>
          <w:lang w:eastAsia="zh-CN"/>
        </w:rPr>
        <w:t>Bibliography</w:t>
      </w:r>
    </w:p>
    <w:p w14:paraId="30EC8754">
      <w:pPr>
        <w:pStyle w:val="2"/>
        <w:spacing w:before="196" w:line="344" w:lineRule="auto"/>
        <w:ind w:left="420" w:right="54" w:hanging="420" w:hangingChars="200"/>
        <w:rPr>
          <w:rFonts w:eastAsia="宋体"/>
        </w:rPr>
      </w:pPr>
      <w:r>
        <w:rPr>
          <w:rFonts w:eastAsia="宋体"/>
        </w:rPr>
        <w:t xml:space="preserve">Angelopoulos, A. N., &amp; Bates, S. (2023). Conformal prediction: A gentle introduction. Foundations and Trends® in Machine Learning, 16(4), 494–591. </w:t>
      </w:r>
      <w:r>
        <w:fldChar w:fldCharType="begin"/>
      </w:r>
      <w:r>
        <w:instrText xml:space="preserve"> HYPERLINK "https://doi.org/10.1561/2200000101" </w:instrText>
      </w:r>
      <w:r>
        <w:fldChar w:fldCharType="separate"/>
      </w:r>
      <w:r>
        <w:rPr>
          <w:rStyle w:val="6"/>
          <w:rFonts w:eastAsia="宋体"/>
        </w:rPr>
        <w:t>https://doi.org/10.1561/2200000101</w:t>
      </w:r>
      <w:r>
        <w:rPr>
          <w:rStyle w:val="6"/>
          <w:rFonts w:eastAsia="宋体"/>
        </w:rPr>
        <w:fldChar w:fldCharType="end"/>
      </w:r>
    </w:p>
    <w:p w14:paraId="7D108099">
      <w:pPr>
        <w:pStyle w:val="2"/>
        <w:spacing w:before="196" w:line="344" w:lineRule="auto"/>
        <w:ind w:left="420" w:right="54" w:hanging="420" w:hangingChars="200"/>
        <w:rPr>
          <w:rFonts w:eastAsia="宋体"/>
        </w:rPr>
      </w:pPr>
      <w:r>
        <w:rPr>
          <w:rFonts w:eastAsia="宋体"/>
        </w:rPr>
        <w:t xml:space="preserve">Bragança, H., Colonna, J. G., Oliveira, H. A. B. F., &amp; Souto, E. (2022). How validation methodology influences human activity recognition mobile systems. Sensors, 22(6), 2360. </w:t>
      </w:r>
      <w:r>
        <w:fldChar w:fldCharType="begin"/>
      </w:r>
      <w:r>
        <w:instrText xml:space="preserve"> HYPERLINK "https://doi.org/10.3390/s22062360" </w:instrText>
      </w:r>
      <w:r>
        <w:fldChar w:fldCharType="separate"/>
      </w:r>
      <w:r>
        <w:rPr>
          <w:rStyle w:val="6"/>
          <w:rFonts w:eastAsia="宋体"/>
        </w:rPr>
        <w:t>https://doi.org/10.3390/s22062360</w:t>
      </w:r>
      <w:r>
        <w:rPr>
          <w:rStyle w:val="6"/>
          <w:rFonts w:eastAsia="宋体"/>
        </w:rPr>
        <w:fldChar w:fldCharType="end"/>
      </w:r>
    </w:p>
    <w:p w14:paraId="7D225AAD">
      <w:pPr>
        <w:pStyle w:val="2"/>
        <w:spacing w:before="196" w:line="344" w:lineRule="auto"/>
        <w:ind w:left="420" w:right="54" w:hanging="420" w:hangingChars="200"/>
        <w:rPr>
          <w:rFonts w:eastAsia="宋体"/>
        </w:rPr>
      </w:pPr>
      <w:r>
        <w:rPr>
          <w:rFonts w:eastAsia="宋体"/>
        </w:rPr>
        <w:t xml:space="preserve">Napoli, O., Duarte, D., Alves, P., et al. (2024). A benchmark for domain adaptation and generalization in smartphone‑based human activity recognition. Scientific Data, 11, 1192. </w:t>
      </w:r>
      <w:r>
        <w:fldChar w:fldCharType="begin"/>
      </w:r>
      <w:r>
        <w:instrText xml:space="preserve"> HYPERLINK "https://doi.org/10.1038/s41597-024-03951-4" </w:instrText>
      </w:r>
      <w:r>
        <w:fldChar w:fldCharType="separate"/>
      </w:r>
      <w:r>
        <w:rPr>
          <w:rStyle w:val="6"/>
          <w:rFonts w:eastAsia="宋体"/>
        </w:rPr>
        <w:t>https://doi.org/10.1038/s41597-024-03951-4</w:t>
      </w:r>
      <w:r>
        <w:rPr>
          <w:rStyle w:val="6"/>
          <w:rFonts w:eastAsia="宋体"/>
        </w:rPr>
        <w:fldChar w:fldCharType="end"/>
      </w:r>
    </w:p>
    <w:p w14:paraId="29FD8AAC">
      <w:pPr>
        <w:pStyle w:val="2"/>
        <w:spacing w:before="196" w:line="344" w:lineRule="auto"/>
        <w:ind w:left="420" w:right="54" w:hanging="420" w:hangingChars="200"/>
        <w:rPr>
          <w:rFonts w:eastAsia="宋体"/>
        </w:rPr>
      </w:pPr>
      <w:r>
        <w:rPr>
          <w:rFonts w:eastAsia="宋体"/>
        </w:rPr>
        <w:t xml:space="preserve">Silva Filho, T., Song, H., Perelló‑Nieto, M., Santos‑Rodríguez, R., Kull, M., &amp; Flach, P. (2023). Classifier calibration: A survey on how to assess and improve predicted class probabilities. Machine Learning, 112, 3211–3260. </w:t>
      </w:r>
      <w:r>
        <w:fldChar w:fldCharType="begin"/>
      </w:r>
      <w:r>
        <w:instrText xml:space="preserve"> HYPERLINK "https://doi.org/10.1007/s10994-023-06336-7" </w:instrText>
      </w:r>
      <w:r>
        <w:fldChar w:fldCharType="separate"/>
      </w:r>
      <w:r>
        <w:rPr>
          <w:rStyle w:val="6"/>
          <w:rFonts w:eastAsia="宋体"/>
        </w:rPr>
        <w:t>https://doi.org/10.1007/s10994-023-06336-7</w:t>
      </w:r>
      <w:r>
        <w:rPr>
          <w:rStyle w:val="6"/>
          <w:rFonts w:eastAsia="宋体"/>
        </w:rPr>
        <w:fldChar w:fldCharType="end"/>
      </w:r>
    </w:p>
    <w:p w14:paraId="7EBDAAA4">
      <w:pPr>
        <w:pStyle w:val="2"/>
        <w:spacing w:before="196" w:line="344" w:lineRule="auto"/>
        <w:ind w:left="420" w:right="54" w:hanging="420" w:hangingChars="200"/>
        <w:rPr>
          <w:rFonts w:eastAsia="宋体"/>
        </w:rPr>
      </w:pPr>
      <w:r>
        <w:rPr>
          <w:rFonts w:eastAsia="宋体"/>
        </w:rPr>
        <w:t xml:space="preserve">Tan, C. W., Dempster, A., Bergmeir, C., &amp; Webb, G. I. (2022). MultiRocket: Multiple pooling operators and transformations for fast and effective time series classification. Data Mining and Knowledge Discovery, 36(5), 1623–1646. </w:t>
      </w:r>
      <w:r>
        <w:fldChar w:fldCharType="begin"/>
      </w:r>
      <w:r>
        <w:instrText xml:space="preserve"> HYPERLINK "https://doi.org/10.1007/s10618-022-00844-1" </w:instrText>
      </w:r>
      <w:r>
        <w:fldChar w:fldCharType="separate"/>
      </w:r>
      <w:r>
        <w:rPr>
          <w:rStyle w:val="6"/>
          <w:rFonts w:eastAsia="宋体"/>
        </w:rPr>
        <w:t>https://doi.org/10.1007/s10618-022-00844-1</w:t>
      </w:r>
      <w:r>
        <w:rPr>
          <w:rStyle w:val="6"/>
          <w:rFonts w:eastAsia="宋体"/>
        </w:rPr>
        <w:fldChar w:fldCharType="end"/>
      </w:r>
    </w:p>
    <w:p w14:paraId="4D4864B1">
      <w:pPr>
        <w:pStyle w:val="2"/>
        <w:spacing w:before="196" w:line="344" w:lineRule="auto"/>
        <w:ind w:left="420" w:right="54" w:hanging="420" w:hangingChars="200"/>
        <w:rPr>
          <w:rFonts w:eastAsia="宋体"/>
        </w:rPr>
      </w:pPr>
      <w:r>
        <w:rPr>
          <w:rFonts w:eastAsia="宋体"/>
        </w:rPr>
        <w:t xml:space="preserve">Demšar, J. (2006). Statistical comparisons of classifiers over multiple data sets. Journal of Machine Learning Research, 7, 1–30. </w:t>
      </w:r>
      <w:r>
        <w:fldChar w:fldCharType="begin"/>
      </w:r>
      <w:r>
        <w:instrText xml:space="preserve"> HYPERLINK "https://www.jmlr.org/papers/v7/demsar06a.html" </w:instrText>
      </w:r>
      <w:r>
        <w:fldChar w:fldCharType="separate"/>
      </w:r>
      <w:r>
        <w:rPr>
          <w:rStyle w:val="8"/>
          <w:rFonts w:eastAsia="宋体"/>
        </w:rPr>
        <w:t>https://www.jmlr.org/papers/v7/demsar06a.html</w:t>
      </w:r>
      <w:r>
        <w:rPr>
          <w:rStyle w:val="8"/>
          <w:rFonts w:eastAsia="宋体"/>
        </w:rPr>
        <w:fldChar w:fldCharType="end"/>
      </w:r>
    </w:p>
    <w:p w14:paraId="6D4BB1BD">
      <w:pPr>
        <w:pStyle w:val="2"/>
        <w:spacing w:before="196" w:line="344" w:lineRule="auto"/>
        <w:ind w:left="420" w:right="54" w:hanging="420" w:hangingChars="200"/>
        <w:rPr>
          <w:rFonts w:eastAsia="宋体"/>
        </w:rPr>
      </w:pPr>
      <w:r>
        <w:rPr>
          <w:rFonts w:eastAsia="宋体"/>
        </w:rPr>
        <w:t xml:space="preserve">Fawaz, H. I., Lucas, B., Forestier, G., Pelletier, C., Schmidt, D. F., Weber, J., Webb, G. I., Idoumghar, L., Muller, P.-A., &amp; Petitjean, F. (2020). InceptionTime: Finding AlexNet for time series classification. Data Mining and Knowledge Discovery, 34(6), 1936–1962. </w:t>
      </w:r>
      <w:r>
        <w:fldChar w:fldCharType="begin"/>
      </w:r>
      <w:r>
        <w:instrText xml:space="preserve"> HYPERLINK "https://doi.org/10.1007/s10618-020-00710-y" </w:instrText>
      </w:r>
      <w:r>
        <w:fldChar w:fldCharType="separate"/>
      </w:r>
      <w:r>
        <w:rPr>
          <w:rStyle w:val="8"/>
          <w:rFonts w:eastAsia="宋体"/>
        </w:rPr>
        <w:t>https://doi.org/10.1007/s10618-020-00710-y</w:t>
      </w:r>
      <w:r>
        <w:rPr>
          <w:rStyle w:val="8"/>
          <w:rFonts w:eastAsia="宋体"/>
        </w:rPr>
        <w:fldChar w:fldCharType="end"/>
      </w:r>
    </w:p>
    <w:p w14:paraId="0BEE9EE4">
      <w:pPr>
        <w:pStyle w:val="2"/>
        <w:spacing w:before="196" w:line="344" w:lineRule="auto"/>
        <w:ind w:left="420" w:right="54" w:hanging="420" w:hangingChars="200"/>
        <w:rPr>
          <w:rFonts w:eastAsia="宋体"/>
        </w:rPr>
      </w:pPr>
      <w:r>
        <w:rPr>
          <w:rFonts w:eastAsia="宋体"/>
        </w:rPr>
        <w:t xml:space="preserve">Geifman, Y., &amp; El‑Yaniv, R. (2019). SelectiveNet: A deep neural network with an integrated reject option. In K. Chaudhuri &amp; R. Salakhutdinov (Eds.), Proceedings of the 36th International Conference on Machine Learning (ICML 2019) (Vol. 97, pp. 2151–2159). PMLR. </w:t>
      </w:r>
      <w:r>
        <w:fldChar w:fldCharType="begin"/>
      </w:r>
      <w:r>
        <w:instrText xml:space="preserve"> HYPERLINK "https://proceedings.mlr.press/v97/geifman19a.html" </w:instrText>
      </w:r>
      <w:r>
        <w:fldChar w:fldCharType="separate"/>
      </w:r>
      <w:r>
        <w:rPr>
          <w:rStyle w:val="8"/>
          <w:rFonts w:eastAsia="宋体"/>
        </w:rPr>
        <w:t>https://proceedings.mlr.press/v97/geifman19a.html</w:t>
      </w:r>
      <w:r>
        <w:rPr>
          <w:rStyle w:val="8"/>
          <w:rFonts w:eastAsia="宋体"/>
        </w:rPr>
        <w:fldChar w:fldCharType="end"/>
      </w:r>
    </w:p>
    <w:p w14:paraId="5C5254C9">
      <w:pPr>
        <w:pStyle w:val="2"/>
        <w:spacing w:before="196" w:line="344" w:lineRule="auto"/>
        <w:ind w:left="420" w:right="54" w:hanging="420" w:hangingChars="200"/>
        <w:rPr>
          <w:rFonts w:eastAsia="宋体"/>
        </w:rPr>
      </w:pPr>
      <w:r>
        <w:rPr>
          <w:rFonts w:eastAsia="宋体"/>
        </w:rPr>
        <w:t xml:space="preserve">Hendrycks, D., &amp; Gimpel, K. (2017). A baseline for detecting misclassified and out‑of‑distribution examples in neural networks. In International Conference on Learning Representations (ICLR 2017). </w:t>
      </w:r>
      <w:r>
        <w:fldChar w:fldCharType="begin"/>
      </w:r>
      <w:r>
        <w:instrText xml:space="preserve"> HYPERLINK "https://arxiv.org/abs/1610.02136" </w:instrText>
      </w:r>
      <w:r>
        <w:fldChar w:fldCharType="separate"/>
      </w:r>
      <w:r>
        <w:rPr>
          <w:rStyle w:val="8"/>
          <w:rFonts w:eastAsia="宋体"/>
        </w:rPr>
        <w:t>https://arxiv.org/abs/1610.02136</w:t>
      </w:r>
      <w:r>
        <w:rPr>
          <w:rStyle w:val="8"/>
          <w:rFonts w:eastAsia="宋体"/>
        </w:rPr>
        <w:fldChar w:fldCharType="end"/>
      </w:r>
    </w:p>
    <w:p w14:paraId="5D8B998E">
      <w:pPr>
        <w:pStyle w:val="2"/>
        <w:spacing w:before="196" w:line="344" w:lineRule="auto"/>
        <w:ind w:left="420" w:right="54" w:hanging="420" w:hangingChars="200"/>
        <w:rPr>
          <w:rFonts w:eastAsia="宋体"/>
        </w:rPr>
      </w:pPr>
      <w:r>
        <w:rPr>
          <w:rFonts w:eastAsia="宋体"/>
        </w:rPr>
        <w:t xml:space="preserve">Leutheuser, H., Schuldhaus, D., &amp; Eskofier, B. M. (2013). Hierarchical, multi‑sensor based classification of daily life activities: Comparison with state‑of‑the‑art algorithms using a benchmark dataset. PLOS ONE, 8(10), e75196. </w:t>
      </w:r>
      <w:r>
        <w:fldChar w:fldCharType="begin"/>
      </w:r>
      <w:r>
        <w:instrText xml:space="preserve"> HYPERLINK "https://doi.org/10.1371/journal.pone.0075196" </w:instrText>
      </w:r>
      <w:r>
        <w:fldChar w:fldCharType="separate"/>
      </w:r>
      <w:r>
        <w:rPr>
          <w:rStyle w:val="8"/>
          <w:rFonts w:eastAsia="宋体"/>
        </w:rPr>
        <w:t>https://doi.org/10.1371/journal.pone.0075196</w:t>
      </w:r>
      <w:r>
        <w:rPr>
          <w:rStyle w:val="8"/>
          <w:rFonts w:eastAsia="宋体"/>
        </w:rPr>
        <w:fldChar w:fldCharType="end"/>
      </w:r>
    </w:p>
    <w:p w14:paraId="4F8EC410">
      <w:pPr>
        <w:pStyle w:val="2"/>
        <w:spacing w:before="196" w:line="344" w:lineRule="auto"/>
        <w:ind w:left="420" w:right="54" w:hanging="420" w:hangingChars="200"/>
        <w:rPr>
          <w:rFonts w:eastAsia="宋体"/>
        </w:rPr>
      </w:pPr>
      <w:r>
        <w:rPr>
          <w:rFonts w:eastAsia="宋体"/>
        </w:rPr>
        <w:t xml:space="preserve">Liu, W., Wang, X., Owens, J. D., &amp; Li, Y. (2020). Energy‑based out‑of‑distribution detection. In H. Larochelle, M. Ranzato, R. Hadsell, M. F. Balcan, &amp; H. Lin (Eds.), Advances in Neural Information Processing Systems, 33 (NeurIPS 2020). </w:t>
      </w:r>
      <w:r>
        <w:fldChar w:fldCharType="begin"/>
      </w:r>
      <w:r>
        <w:instrText xml:space="preserve"> HYPERLINK "https://proceedings.neurips.cc/paper/2020/hash/f5496252609c43eb8a3d147ab9b9c006-Abstract.html" </w:instrText>
      </w:r>
      <w:r>
        <w:fldChar w:fldCharType="separate"/>
      </w:r>
      <w:r>
        <w:rPr>
          <w:rStyle w:val="8"/>
          <w:rFonts w:eastAsia="宋体"/>
        </w:rPr>
        <w:t>https://proceedings.neurips.cc/paper/2020/hash/f5496252609c43eb8a3d147ab9b9c006-Abstract.html</w:t>
      </w:r>
      <w:r>
        <w:rPr>
          <w:rStyle w:val="8"/>
          <w:rFonts w:eastAsia="宋体"/>
        </w:rPr>
        <w:fldChar w:fldCharType="end"/>
      </w:r>
    </w:p>
    <w:p w14:paraId="33046DBC">
      <w:pPr>
        <w:pStyle w:val="2"/>
        <w:spacing w:before="196" w:line="344" w:lineRule="auto"/>
        <w:ind w:left="420" w:right="54" w:hanging="420" w:hangingChars="200"/>
        <w:rPr>
          <w:rFonts w:eastAsia="宋体"/>
        </w:rPr>
      </w:pPr>
    </w:p>
    <w:p w14:paraId="4BF2898E">
      <w:pPr>
        <w:pStyle w:val="2"/>
        <w:spacing w:before="196" w:line="344" w:lineRule="auto"/>
        <w:ind w:left="420" w:right="54" w:hanging="420" w:hangingChars="200"/>
        <w:rPr>
          <w:rFonts w:eastAsia="宋体"/>
        </w:rPr>
      </w:pPr>
      <w:r>
        <w:rPr>
          <w:rFonts w:eastAsia="宋体"/>
        </w:rPr>
        <w:t xml:space="preserve">Straczkiewicz, M., James, P., &amp; Onnela, J.‑P. (2021). A systematic review of smartphone‑based human activity recognition methods for health research. npj Digital Medicine, 4, 148. </w:t>
      </w:r>
      <w:r>
        <w:fldChar w:fldCharType="begin"/>
      </w:r>
      <w:r>
        <w:instrText xml:space="preserve"> HYPERLINK "https://doi.org/10.1038/s41746-021-00514-4" </w:instrText>
      </w:r>
      <w:r>
        <w:fldChar w:fldCharType="separate"/>
      </w:r>
      <w:r>
        <w:rPr>
          <w:rStyle w:val="8"/>
          <w:rFonts w:eastAsia="宋体"/>
        </w:rPr>
        <w:t>https://doi.org/10.1038/s41746-021-00514-4</w:t>
      </w:r>
      <w:r>
        <w:rPr>
          <w:rStyle w:val="8"/>
          <w:rFonts w:eastAsia="宋体"/>
        </w:rPr>
        <w:fldChar w:fldCharType="end"/>
      </w:r>
    </w:p>
    <w:p w14:paraId="3293F8A2">
      <w:pPr>
        <w:pStyle w:val="2"/>
        <w:spacing w:before="196" w:line="344" w:lineRule="auto"/>
        <w:ind w:left="420" w:right="54" w:hanging="420" w:hangingChars="200"/>
        <w:rPr>
          <w:rFonts w:eastAsia="宋体"/>
        </w:rPr>
      </w:pPr>
      <w:r>
        <w:rPr>
          <w:rFonts w:eastAsia="宋体"/>
        </w:rPr>
        <w:t xml:space="preserve">TensorFlow. (2022, August 3). Post‑training quantization. </w:t>
      </w:r>
      <w:r>
        <w:fldChar w:fldCharType="begin"/>
      </w:r>
      <w:r>
        <w:instrText xml:space="preserve"> HYPERLINK "https://www.tensorflow.org/model_optimization/guide/quantization/post_training" </w:instrText>
      </w:r>
      <w:r>
        <w:fldChar w:fldCharType="separate"/>
      </w:r>
      <w:r>
        <w:rPr>
          <w:rStyle w:val="8"/>
          <w:rFonts w:eastAsia="宋体"/>
        </w:rPr>
        <w:t>https://www.tensorflow.org/model_optimization/guide/quantization/post_training</w:t>
      </w:r>
      <w:r>
        <w:rPr>
          <w:rStyle w:val="8"/>
          <w:rFonts w:eastAsia="宋体"/>
        </w:rPr>
        <w:fldChar w:fldCharType="end"/>
      </w:r>
    </w:p>
    <w:p w14:paraId="71B635D7">
      <w:pPr>
        <w:pStyle w:val="2"/>
        <w:spacing w:before="196" w:line="344" w:lineRule="auto"/>
        <w:ind w:left="420" w:right="54" w:hanging="420" w:hangingChars="200"/>
        <w:rPr>
          <w:rFonts w:eastAsia="宋体"/>
        </w:rPr>
      </w:pPr>
      <w:r>
        <w:rPr>
          <w:rFonts w:eastAsia="宋体"/>
        </w:rPr>
        <w:t xml:space="preserve">Android Developers. (2024, January 22). Profile battery usage with Batterystats and Battery Historian. </w:t>
      </w:r>
      <w:r>
        <w:fldChar w:fldCharType="begin"/>
      </w:r>
      <w:r>
        <w:instrText xml:space="preserve"> HYPERLINK "https://developer.android.com/topic/performance/power/setup-battery-historian" </w:instrText>
      </w:r>
      <w:r>
        <w:fldChar w:fldCharType="separate"/>
      </w:r>
      <w:r>
        <w:rPr>
          <w:rStyle w:val="8"/>
          <w:rFonts w:eastAsia="宋体"/>
        </w:rPr>
        <w:t>https://developer.android.com/topic/performance/power/setup-battery-historian</w:t>
      </w:r>
      <w:r>
        <w:rPr>
          <w:rStyle w:val="8"/>
          <w:rFonts w:eastAsia="宋体"/>
        </w:rPr>
        <w:fldChar w:fldCharType="end"/>
      </w:r>
    </w:p>
    <w:p w14:paraId="763C74E2">
      <w:pPr>
        <w:pStyle w:val="2"/>
        <w:spacing w:before="196" w:line="344" w:lineRule="auto"/>
        <w:ind w:left="420" w:right="54" w:hanging="420" w:hangingChars="200"/>
        <w:rPr>
          <w:rFonts w:eastAsia="宋体"/>
        </w:rPr>
      </w:pPr>
      <w:r>
        <w:rPr>
          <w:rFonts w:eastAsia="宋体"/>
        </w:rPr>
        <w:t xml:space="preserve">Wang, L., Gjoreski, H., Ciliberto, M., Lago, P., Murao, K., Okita, T., &amp; Roggen, D. (2021). Three‑year review of the 2018–2020 SHL challenge on transportation and locomotion mode recognition from mobile sensors. Frontiers in Computer Science, 3, 713719. </w:t>
      </w:r>
      <w:r>
        <w:fldChar w:fldCharType="begin"/>
      </w:r>
      <w:r>
        <w:instrText xml:space="preserve"> HYPERLINK "https://doi.org/10.3389/fcomp.2021.713719" </w:instrText>
      </w:r>
      <w:r>
        <w:fldChar w:fldCharType="separate"/>
      </w:r>
      <w:r>
        <w:rPr>
          <w:rStyle w:val="8"/>
          <w:rFonts w:eastAsia="宋体"/>
        </w:rPr>
        <w:t>https://doi.org/10.3389/fcomp.2021.713719</w:t>
      </w:r>
      <w:r>
        <w:rPr>
          <w:rStyle w:val="8"/>
          <w:rFonts w:eastAsia="宋体"/>
        </w:rPr>
        <w:fldChar w:fldCharType="end"/>
      </w:r>
    </w:p>
    <w:p w14:paraId="085D0501">
      <w:pPr>
        <w:pStyle w:val="2"/>
        <w:spacing w:before="196" w:line="344" w:lineRule="auto"/>
        <w:ind w:left="420" w:right="54" w:hanging="420" w:hangingChars="200"/>
        <w:rPr>
          <w:rFonts w:eastAsia="宋体"/>
        </w:rPr>
      </w:pPr>
      <w:r>
        <w:rPr>
          <w:rFonts w:eastAsia="宋体"/>
        </w:rPr>
        <w:t xml:space="preserve">Yuan, H., Chan, S., Creagh, A. P., Tong, C., Acquah, A., Clifton, D. A., &amp; Doherty, A. (2024). Self‑supervised learning for human activity recognition using 700,000 person‑days of wearable data. npj Digital Medicine, 7, 91. </w:t>
      </w:r>
      <w:r>
        <w:fldChar w:fldCharType="begin"/>
      </w:r>
      <w:r>
        <w:instrText xml:space="preserve"> HYPERLINK "https://doi.org/10.1038/s41746-024-01062-3" </w:instrText>
      </w:r>
      <w:r>
        <w:fldChar w:fldCharType="separate"/>
      </w:r>
      <w:r>
        <w:rPr>
          <w:rStyle w:val="8"/>
          <w:rFonts w:eastAsia="宋体"/>
        </w:rPr>
        <w:t>https://doi.org/10.1038/s41746-024-01062-3</w:t>
      </w:r>
      <w:r>
        <w:rPr>
          <w:rStyle w:val="8"/>
          <w:rFonts w:eastAsia="宋体"/>
        </w:rPr>
        <w:fldChar w:fldCharType="end"/>
      </w:r>
    </w:p>
    <w:p w14:paraId="7395B76D">
      <w:pPr>
        <w:pStyle w:val="2"/>
        <w:spacing w:before="196" w:line="344" w:lineRule="auto"/>
        <w:ind w:left="420" w:right="54" w:hanging="420" w:hangingChars="200"/>
        <w:rPr>
          <w:rFonts w:eastAsia="宋体"/>
        </w:rPr>
      </w:pPr>
      <w:r>
        <w:rPr>
          <w:rFonts w:eastAsia="宋体"/>
        </w:rPr>
        <w:t xml:space="preserve">Zerveas, G., Jayaraman, S., Patel, D., Bhamidipaty, A., &amp; Eickhoff, C. (2021). A transformer‑based framework for multivariate time series representation learning. In Proceedings of the 27th ACM SIGKDD Conference on Knowledge Discovery &amp; Data Mining (KDD ’21) (pp. 2114–2124). ACM. </w:t>
      </w:r>
      <w:r>
        <w:fldChar w:fldCharType="begin"/>
      </w:r>
      <w:r>
        <w:instrText xml:space="preserve"> HYPERLINK "https://doi.org/10.1145/3447548.3467401" </w:instrText>
      </w:r>
      <w:r>
        <w:fldChar w:fldCharType="separate"/>
      </w:r>
      <w:r>
        <w:rPr>
          <w:rStyle w:val="8"/>
          <w:rFonts w:eastAsia="宋体"/>
        </w:rPr>
        <w:t>https://doi.org/10.1145/3447548.3467401</w:t>
      </w:r>
      <w:r>
        <w:rPr>
          <w:rStyle w:val="8"/>
          <w:rFonts w:eastAsia="宋体"/>
        </w:rPr>
        <w:fldChar w:fldCharType="end"/>
      </w:r>
    </w:p>
    <w:p w14:paraId="51AAB60D">
      <w:pPr>
        <w:pStyle w:val="2"/>
        <w:spacing w:before="196" w:line="344" w:lineRule="auto"/>
        <w:ind w:left="420" w:right="54" w:hanging="420" w:hangingChars="200"/>
        <w:rPr>
          <w:rFonts w:eastAsia="宋体"/>
        </w:rPr>
      </w:pPr>
      <w:r>
        <w:rPr>
          <w:rFonts w:eastAsia="宋体"/>
        </w:rPr>
        <w:t xml:space="preserve">University of Mannheim, Data and Web Science Group. (2016). RealWorld (HAR) dataset. </w:t>
      </w:r>
      <w:r>
        <w:fldChar w:fldCharType="begin"/>
      </w:r>
      <w:r>
        <w:instrText xml:space="preserve"> HYPERLINK "https://www.uni-mannheim.de/dws/research/projects/activity-recognition/dataset/dataset-realworld/" </w:instrText>
      </w:r>
      <w:r>
        <w:fldChar w:fldCharType="separate"/>
      </w:r>
      <w:r>
        <w:rPr>
          <w:rStyle w:val="8"/>
          <w:rFonts w:eastAsia="宋体"/>
        </w:rPr>
        <w:t>https://www.uni-mannheim.de/dws/research/projects/activity-recognition/dataset/dataset-realworld/</w:t>
      </w:r>
      <w:r>
        <w:rPr>
          <w:rStyle w:val="8"/>
          <w:rFonts w:eastAsia="宋体"/>
        </w:rPr>
        <w:fldChar w:fldCharType="end"/>
      </w:r>
    </w:p>
    <w:p w14:paraId="1D16E877">
      <w:pPr>
        <w:pStyle w:val="2"/>
        <w:spacing w:before="196" w:line="344" w:lineRule="auto"/>
        <w:ind w:left="420" w:right="54" w:hanging="420" w:hangingChars="200"/>
        <w:rPr>
          <w:rFonts w:eastAsia="宋体"/>
        </w:rPr>
      </w:pPr>
    </w:p>
    <w:p w14:paraId="12E0EB9C">
      <w:pPr>
        <w:pStyle w:val="2"/>
        <w:spacing w:before="196" w:line="344" w:lineRule="auto"/>
        <w:ind w:right="54"/>
        <w:rPr>
          <w:rFonts w:eastAsia="宋体"/>
        </w:rPr>
      </w:pPr>
    </w:p>
    <w:p w14:paraId="59BB72FF">
      <w:pPr>
        <w:pStyle w:val="2"/>
        <w:spacing w:before="196" w:line="344" w:lineRule="auto"/>
        <w:ind w:left="420" w:right="54" w:hanging="420" w:hangingChars="200"/>
        <w:rPr>
          <w:rFonts w:eastAsia="宋体"/>
        </w:rPr>
      </w:pPr>
    </w:p>
    <w:p w14:paraId="07378ABD">
      <w:pPr>
        <w:pStyle w:val="2"/>
        <w:spacing w:before="196" w:line="344" w:lineRule="auto"/>
        <w:ind w:left="420" w:right="54" w:hanging="420" w:hangingChars="200"/>
        <w:rPr>
          <w:rFonts w:eastAsia="宋体"/>
        </w:rPr>
      </w:pPr>
      <w:r>
        <w:rPr>
          <w:rFonts w:eastAsia="宋体"/>
        </w:rPr>
        <w:t>Project P189135</w:t>
      </w:r>
    </w:p>
    <w:tbl>
      <w:tblPr>
        <w:tblStyle w:val="9"/>
        <w:tblW w:w="8777" w:type="dxa"/>
        <w:tblInd w:w="27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74"/>
        <w:gridCol w:w="8303"/>
      </w:tblGrid>
      <w:tr w14:paraId="482FEC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3" w:hRule="atLeast"/>
        </w:trPr>
        <w:tc>
          <w:tcPr>
            <w:tcW w:w="474" w:type="dxa"/>
          </w:tcPr>
          <w:p w14:paraId="78D22FED">
            <w:pPr>
              <w:spacing w:before="48" w:line="205" w:lineRule="auto"/>
              <w:ind w:left="22"/>
              <w:rPr>
                <w:rFonts w:ascii="Wingdings" w:hAnsi="Wingdings" w:eastAsia="Wingdings" w:cs="Wingdings"/>
                <w:sz w:val="22"/>
                <w:szCs w:val="22"/>
              </w:rPr>
            </w:pPr>
            <w:r>
              <w:rPr>
                <w:rFonts w:ascii="Wingdings" w:hAnsi="Wingdings" w:eastAsia="Wingdings" w:cs="Wingdings"/>
                <w:sz w:val="22"/>
                <w:szCs w:val="22"/>
              </w:rPr>
              <w:sym w:font="Wingdings" w:char="00FE"/>
            </w:r>
          </w:p>
        </w:tc>
        <w:tc>
          <w:tcPr>
            <w:tcW w:w="8303" w:type="dxa"/>
          </w:tcPr>
          <w:p w14:paraId="32858AF0">
            <w:pPr>
              <w:pStyle w:val="11"/>
              <w:spacing w:before="52" w:line="241" w:lineRule="auto"/>
              <w:ind w:left="12" w:right="273" w:firstLine="5"/>
              <w:rPr>
                <w:sz w:val="22"/>
                <w:szCs w:val="22"/>
              </w:rPr>
            </w:pPr>
            <w:r>
              <w:rPr>
                <w:spacing w:val="-1"/>
                <w:sz w:val="22"/>
                <w:szCs w:val="22"/>
              </w:rPr>
              <w:t xml:space="preserve">I submitted my ethics application, </w:t>
            </w:r>
            <w:r>
              <w:rPr>
                <w:spacing w:val="-2"/>
                <w:sz w:val="22"/>
                <w:szCs w:val="22"/>
              </w:rPr>
              <w:t>and</w:t>
            </w:r>
            <w:r>
              <w:rPr>
                <w:spacing w:val="13"/>
                <w:sz w:val="22"/>
                <w:szCs w:val="22"/>
              </w:rPr>
              <w:t xml:space="preserve"> </w:t>
            </w:r>
            <w:r>
              <w:rPr>
                <w:spacing w:val="-2"/>
                <w:sz w:val="22"/>
                <w:szCs w:val="22"/>
              </w:rPr>
              <w:t>my</w:t>
            </w:r>
            <w:r>
              <w:rPr>
                <w:spacing w:val="6"/>
                <w:sz w:val="22"/>
                <w:szCs w:val="22"/>
              </w:rPr>
              <w:t xml:space="preserve"> </w:t>
            </w:r>
            <w:r>
              <w:rPr>
                <w:spacing w:val="-2"/>
                <w:sz w:val="22"/>
                <w:szCs w:val="22"/>
              </w:rPr>
              <w:t>application</w:t>
            </w:r>
            <w:r>
              <w:rPr>
                <w:spacing w:val="15"/>
                <w:w w:val="101"/>
                <w:sz w:val="22"/>
                <w:szCs w:val="22"/>
              </w:rPr>
              <w:t xml:space="preserve"> </w:t>
            </w:r>
            <w:r>
              <w:rPr>
                <w:spacing w:val="-2"/>
                <w:sz w:val="22"/>
                <w:szCs w:val="22"/>
              </w:rPr>
              <w:t>has</w:t>
            </w:r>
            <w:r>
              <w:rPr>
                <w:spacing w:val="15"/>
                <w:sz w:val="22"/>
                <w:szCs w:val="22"/>
              </w:rPr>
              <w:t xml:space="preserve"> </w:t>
            </w:r>
            <w:r>
              <w:rPr>
                <w:spacing w:val="-2"/>
                <w:sz w:val="22"/>
                <w:szCs w:val="22"/>
              </w:rPr>
              <w:t>been</w:t>
            </w:r>
            <w:r>
              <w:rPr>
                <w:spacing w:val="8"/>
                <w:sz w:val="22"/>
                <w:szCs w:val="22"/>
              </w:rPr>
              <w:t xml:space="preserve"> </w:t>
            </w:r>
            <w:r>
              <w:rPr>
                <w:spacing w:val="-2"/>
                <w:sz w:val="22"/>
                <w:szCs w:val="22"/>
              </w:rPr>
              <w:t>approved.</w:t>
            </w:r>
            <w:r>
              <w:rPr>
                <w:spacing w:val="18"/>
                <w:sz w:val="22"/>
                <w:szCs w:val="22"/>
              </w:rPr>
              <w:t xml:space="preserve"> </w:t>
            </w:r>
            <w:r>
              <w:rPr>
                <w:spacing w:val="-2"/>
                <w:sz w:val="22"/>
                <w:szCs w:val="22"/>
              </w:rPr>
              <w:t>I</w:t>
            </w:r>
            <w:r>
              <w:rPr>
                <w:spacing w:val="16"/>
                <w:w w:val="101"/>
                <w:sz w:val="22"/>
                <w:szCs w:val="22"/>
              </w:rPr>
              <w:t xml:space="preserve"> </w:t>
            </w:r>
            <w:r>
              <w:rPr>
                <w:spacing w:val="-2"/>
                <w:sz w:val="22"/>
                <w:szCs w:val="22"/>
              </w:rPr>
              <w:t>include</w:t>
            </w:r>
            <w:r>
              <w:rPr>
                <w:sz w:val="22"/>
                <w:szCs w:val="22"/>
              </w:rPr>
              <w:t xml:space="preserve"> </w:t>
            </w:r>
            <w:r>
              <w:rPr>
                <w:spacing w:val="-1"/>
                <w:sz w:val="22"/>
                <w:szCs w:val="22"/>
              </w:rPr>
              <w:t>my ethics certificate in the</w:t>
            </w:r>
            <w:r>
              <w:rPr>
                <w:spacing w:val="17"/>
                <w:sz w:val="22"/>
                <w:szCs w:val="22"/>
              </w:rPr>
              <w:t xml:space="preserve"> </w:t>
            </w:r>
            <w:r>
              <w:rPr>
                <w:spacing w:val="-1"/>
                <w:sz w:val="22"/>
                <w:szCs w:val="22"/>
              </w:rPr>
              <w:t>appendix</w:t>
            </w:r>
            <w:r>
              <w:rPr>
                <w:spacing w:val="9"/>
                <w:sz w:val="22"/>
                <w:szCs w:val="22"/>
              </w:rPr>
              <w:t xml:space="preserve"> </w:t>
            </w:r>
            <w:r>
              <w:rPr>
                <w:spacing w:val="-1"/>
                <w:sz w:val="22"/>
                <w:szCs w:val="22"/>
              </w:rPr>
              <w:t>as</w:t>
            </w:r>
            <w:r>
              <w:rPr>
                <w:spacing w:val="7"/>
                <w:sz w:val="22"/>
                <w:szCs w:val="22"/>
              </w:rPr>
              <w:t xml:space="preserve"> </w:t>
            </w:r>
            <w:r>
              <w:rPr>
                <w:spacing w:val="-1"/>
                <w:sz w:val="22"/>
                <w:szCs w:val="22"/>
              </w:rPr>
              <w:t>evidence.</w:t>
            </w:r>
          </w:p>
        </w:tc>
      </w:tr>
      <w:tr w14:paraId="2852A0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474" w:type="dxa"/>
          </w:tcPr>
          <w:p w14:paraId="7182B11C">
            <w:pPr>
              <w:spacing w:before="48" w:line="205" w:lineRule="auto"/>
              <w:ind w:left="22"/>
              <w:rPr>
                <w:rFonts w:ascii="Wingdings" w:hAnsi="Wingdings" w:eastAsia="Wingdings" w:cs="Wingdings"/>
                <w:sz w:val="22"/>
                <w:szCs w:val="22"/>
              </w:rPr>
            </w:pPr>
            <w:r>
              <w:rPr>
                <w:rFonts w:ascii="Wingdings" w:hAnsi="Wingdings" w:eastAsia="Wingdings" w:cs="Wingdings"/>
                <w:sz w:val="22"/>
                <w:szCs w:val="22"/>
              </w:rPr>
              <w:sym w:font="Wingdings" w:char="00A8"/>
            </w:r>
          </w:p>
        </w:tc>
        <w:tc>
          <w:tcPr>
            <w:tcW w:w="8303" w:type="dxa"/>
          </w:tcPr>
          <w:p w14:paraId="3DD17A6E">
            <w:pPr>
              <w:pStyle w:val="11"/>
              <w:spacing w:before="49" w:line="197" w:lineRule="auto"/>
              <w:ind w:left="18"/>
              <w:rPr>
                <w:sz w:val="22"/>
                <w:szCs w:val="22"/>
              </w:rPr>
            </w:pPr>
            <w:r>
              <w:rPr>
                <w:spacing w:val="-1"/>
                <w:sz w:val="22"/>
                <w:szCs w:val="22"/>
              </w:rPr>
              <w:t>I submitted my ethics application, and</w:t>
            </w:r>
            <w:r>
              <w:rPr>
                <w:spacing w:val="13"/>
                <w:sz w:val="22"/>
                <w:szCs w:val="22"/>
              </w:rPr>
              <w:t xml:space="preserve"> </w:t>
            </w:r>
            <w:r>
              <w:rPr>
                <w:spacing w:val="-1"/>
                <w:sz w:val="22"/>
                <w:szCs w:val="22"/>
              </w:rPr>
              <w:t>my</w:t>
            </w:r>
            <w:r>
              <w:rPr>
                <w:spacing w:val="7"/>
                <w:sz w:val="22"/>
                <w:szCs w:val="22"/>
              </w:rPr>
              <w:t xml:space="preserve"> </w:t>
            </w:r>
            <w:r>
              <w:rPr>
                <w:spacing w:val="-1"/>
                <w:sz w:val="22"/>
                <w:szCs w:val="22"/>
              </w:rPr>
              <w:t>application</w:t>
            </w:r>
            <w:r>
              <w:rPr>
                <w:spacing w:val="15"/>
                <w:sz w:val="22"/>
                <w:szCs w:val="22"/>
              </w:rPr>
              <w:t xml:space="preserve"> </w:t>
            </w:r>
            <w:r>
              <w:rPr>
                <w:spacing w:val="-1"/>
                <w:sz w:val="22"/>
                <w:szCs w:val="22"/>
              </w:rPr>
              <w:t>is</w:t>
            </w:r>
            <w:r>
              <w:rPr>
                <w:spacing w:val="8"/>
                <w:sz w:val="22"/>
                <w:szCs w:val="22"/>
              </w:rPr>
              <w:t xml:space="preserve"> </w:t>
            </w:r>
            <w:r>
              <w:rPr>
                <w:spacing w:val="-2"/>
                <w:sz w:val="22"/>
                <w:szCs w:val="22"/>
              </w:rPr>
              <w:t>currently</w:t>
            </w:r>
            <w:r>
              <w:rPr>
                <w:spacing w:val="16"/>
                <w:sz w:val="22"/>
                <w:szCs w:val="22"/>
              </w:rPr>
              <w:t xml:space="preserve"> </w:t>
            </w:r>
            <w:r>
              <w:rPr>
                <w:spacing w:val="-2"/>
                <w:sz w:val="22"/>
                <w:szCs w:val="22"/>
              </w:rPr>
              <w:t>under</w:t>
            </w:r>
            <w:r>
              <w:rPr>
                <w:spacing w:val="11"/>
                <w:sz w:val="22"/>
                <w:szCs w:val="22"/>
              </w:rPr>
              <w:t xml:space="preserve"> </w:t>
            </w:r>
            <w:r>
              <w:rPr>
                <w:spacing w:val="-2"/>
                <w:sz w:val="22"/>
                <w:szCs w:val="22"/>
              </w:rPr>
              <w:t>review.</w:t>
            </w:r>
          </w:p>
        </w:tc>
      </w:tr>
      <w:tr w14:paraId="4C71B5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3" w:hRule="atLeast"/>
        </w:trPr>
        <w:tc>
          <w:tcPr>
            <w:tcW w:w="474" w:type="dxa"/>
          </w:tcPr>
          <w:p w14:paraId="04D70257">
            <w:pPr>
              <w:spacing w:before="48" w:line="205" w:lineRule="auto"/>
              <w:ind w:left="22"/>
              <w:rPr>
                <w:rFonts w:ascii="Wingdings" w:hAnsi="Wingdings" w:eastAsia="Wingdings" w:cs="Wingdings"/>
                <w:sz w:val="22"/>
                <w:szCs w:val="22"/>
              </w:rPr>
            </w:pPr>
            <w:r>
              <w:rPr>
                <w:rFonts w:ascii="Wingdings" w:hAnsi="Wingdings" w:eastAsia="Wingdings" w:cs="Wingdings"/>
                <w:sz w:val="22"/>
                <w:szCs w:val="22"/>
              </w:rPr>
              <w:sym w:font="Wingdings" w:char="00A8"/>
            </w:r>
          </w:p>
        </w:tc>
        <w:tc>
          <w:tcPr>
            <w:tcW w:w="8303" w:type="dxa"/>
          </w:tcPr>
          <w:p w14:paraId="478174FC">
            <w:pPr>
              <w:pStyle w:val="11"/>
              <w:spacing w:before="49" w:line="197" w:lineRule="auto"/>
              <w:ind w:left="18"/>
              <w:rPr>
                <w:sz w:val="22"/>
                <w:szCs w:val="22"/>
              </w:rPr>
            </w:pPr>
            <w:r>
              <w:rPr>
                <w:spacing w:val="-1"/>
                <w:sz w:val="22"/>
                <w:szCs w:val="22"/>
              </w:rPr>
              <w:t>I</w:t>
            </w:r>
            <w:r>
              <w:rPr>
                <w:spacing w:val="16"/>
                <w:w w:val="101"/>
                <w:sz w:val="22"/>
                <w:szCs w:val="22"/>
              </w:rPr>
              <w:t xml:space="preserve"> </w:t>
            </w:r>
            <w:r>
              <w:rPr>
                <w:spacing w:val="-1"/>
                <w:sz w:val="22"/>
                <w:szCs w:val="22"/>
              </w:rPr>
              <w:t>have not submitted my</w:t>
            </w:r>
            <w:r>
              <w:rPr>
                <w:spacing w:val="7"/>
                <w:sz w:val="22"/>
                <w:szCs w:val="22"/>
              </w:rPr>
              <w:t xml:space="preserve"> </w:t>
            </w:r>
            <w:r>
              <w:rPr>
                <w:spacing w:val="-1"/>
                <w:sz w:val="22"/>
                <w:szCs w:val="22"/>
              </w:rPr>
              <w:t>ethics</w:t>
            </w:r>
            <w:r>
              <w:rPr>
                <w:spacing w:val="9"/>
                <w:sz w:val="22"/>
                <w:szCs w:val="22"/>
              </w:rPr>
              <w:t xml:space="preserve"> </w:t>
            </w:r>
            <w:r>
              <w:rPr>
                <w:spacing w:val="-2"/>
                <w:sz w:val="22"/>
                <w:szCs w:val="22"/>
              </w:rPr>
              <w:t>application.</w:t>
            </w:r>
          </w:p>
        </w:tc>
      </w:tr>
    </w:tbl>
    <w:p w14:paraId="415CF86C">
      <w:pPr>
        <w:pStyle w:val="2"/>
        <w:spacing w:before="196" w:line="344" w:lineRule="auto"/>
        <w:ind w:right="54"/>
        <w:rPr>
          <w:rFonts w:eastAsia="宋体"/>
        </w:rPr>
      </w:pPr>
    </w:p>
    <w:p w14:paraId="26B33156">
      <w:pPr>
        <w:pStyle w:val="2"/>
        <w:spacing w:before="196" w:line="344" w:lineRule="auto"/>
        <w:ind w:right="54"/>
        <w:rPr>
          <w:rFonts w:eastAsia="宋体"/>
        </w:rPr>
      </w:pPr>
    </w:p>
    <w:p w14:paraId="43786B83">
      <w:pPr>
        <w:pStyle w:val="2"/>
        <w:spacing w:before="196" w:line="344" w:lineRule="auto"/>
        <w:ind w:right="54"/>
        <w:rPr>
          <w:rFonts w:eastAsia="宋体"/>
        </w:rPr>
      </w:pPr>
    </w:p>
    <w:p w14:paraId="7DC14E10">
      <w:pPr>
        <w:pStyle w:val="2"/>
        <w:spacing w:before="196" w:line="344" w:lineRule="auto"/>
        <w:ind w:right="54"/>
        <w:rPr>
          <w:rFonts w:eastAsia="宋体"/>
        </w:rPr>
      </w:pPr>
    </w:p>
    <w:p w14:paraId="7BDCB4F8">
      <w:pPr>
        <w:pStyle w:val="2"/>
        <w:spacing w:before="196" w:line="344" w:lineRule="auto"/>
        <w:ind w:right="54"/>
        <w:rPr>
          <w:rFonts w:eastAsia="宋体"/>
        </w:rPr>
      </w:pPr>
    </w:p>
    <w:p w14:paraId="5D17835B">
      <w:pPr>
        <w:pStyle w:val="2"/>
        <w:spacing w:before="196" w:line="344" w:lineRule="auto"/>
        <w:ind w:left="406" w:right="54" w:hanging="446" w:hangingChars="200"/>
        <w:jc w:val="center"/>
        <w:rPr>
          <w:rFonts w:eastAsia="宋体"/>
          <w:lang w:eastAsia="zh-CN"/>
        </w:rPr>
      </w:pPr>
      <w:r>
        <w:rPr>
          <w:rFonts w:hint="eastAsia" w:eastAsia="宋体"/>
          <w:color w:val="231F20"/>
          <w:spacing w:val="20"/>
          <w:w w:val="102"/>
          <w:sz w:val="18"/>
          <w:szCs w:val="18"/>
          <w:lang w:eastAsia="zh-CN"/>
        </w:rPr>
        <w:t>FIGURE</w:t>
      </w:r>
      <w:r>
        <w:rPr>
          <w:color w:val="231F20"/>
          <w:spacing w:val="20"/>
          <w:w w:val="102"/>
          <w:sz w:val="18"/>
          <w:szCs w:val="18"/>
        </w:rPr>
        <w:t xml:space="preserve"> </w:t>
      </w:r>
      <w:r>
        <w:rPr>
          <w:color w:val="231F20"/>
          <w:spacing w:val="2"/>
          <w:sz w:val="18"/>
          <w:szCs w:val="18"/>
        </w:rPr>
        <w:t>1.</w:t>
      </w:r>
      <w:r>
        <w:rPr>
          <w:color w:val="231F20"/>
          <w:spacing w:val="10"/>
          <w:w w:val="102"/>
          <w:sz w:val="18"/>
          <w:szCs w:val="18"/>
        </w:rPr>
        <w:t xml:space="preserve"> </w:t>
      </w:r>
      <w:r>
        <w:rPr>
          <w:rFonts w:hint="eastAsia" w:eastAsia="宋体"/>
          <w:color w:val="231F20"/>
          <w:spacing w:val="2"/>
          <w:sz w:val="18"/>
          <w:szCs w:val="18"/>
          <w:lang w:eastAsia="zh-CN"/>
        </w:rPr>
        <w:t>Gantt chart</w:t>
      </w:r>
    </w:p>
    <w:p w14:paraId="6A171E3C">
      <w:pPr>
        <w:pStyle w:val="2"/>
        <w:spacing w:before="196" w:line="344" w:lineRule="auto"/>
        <w:ind w:left="420" w:right="54" w:hanging="420" w:hangingChars="200"/>
        <w:jc w:val="both"/>
        <w:rPr>
          <w:color w:val="231F20"/>
          <w:spacing w:val="2"/>
          <w:sz w:val="18"/>
          <w:szCs w:val="18"/>
        </w:rPr>
      </w:pPr>
      <w:r>
        <w:drawing>
          <wp:inline distT="0" distB="0" distL="114300" distR="114300">
            <wp:extent cx="5892165" cy="2419350"/>
            <wp:effectExtent l="0" t="0" r="63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892165" cy="2419350"/>
                    </a:xfrm>
                    <a:prstGeom prst="rect">
                      <a:avLst/>
                    </a:prstGeom>
                    <a:noFill/>
                    <a:ln>
                      <a:noFill/>
                    </a:ln>
                  </pic:spPr>
                </pic:pic>
              </a:graphicData>
            </a:graphic>
          </wp:inline>
        </w:drawing>
      </w:r>
    </w:p>
    <w:p w14:paraId="13EFDE62">
      <w:pPr>
        <w:pStyle w:val="2"/>
        <w:spacing w:before="196" w:line="344" w:lineRule="auto"/>
        <w:ind w:left="364" w:right="54" w:hanging="368" w:hangingChars="200"/>
        <w:jc w:val="center"/>
        <w:rPr>
          <w:color w:val="231F20"/>
          <w:spacing w:val="2"/>
          <w:sz w:val="18"/>
          <w:szCs w:val="18"/>
        </w:rPr>
      </w:pPr>
    </w:p>
    <w:p w14:paraId="74330F5E">
      <w:pPr>
        <w:pStyle w:val="2"/>
        <w:spacing w:before="196" w:line="344" w:lineRule="auto"/>
        <w:ind w:right="54"/>
        <w:jc w:val="both"/>
        <w:rPr>
          <w:color w:val="231F20"/>
          <w:spacing w:val="2"/>
          <w:sz w:val="18"/>
          <w:szCs w:val="18"/>
        </w:rPr>
      </w:pPr>
    </w:p>
    <w:p w14:paraId="65E18B12">
      <w:pPr>
        <w:pStyle w:val="2"/>
        <w:spacing w:before="196" w:line="344" w:lineRule="auto"/>
        <w:ind w:right="54"/>
        <w:jc w:val="both"/>
        <w:rPr>
          <w:color w:val="231F20"/>
          <w:spacing w:val="2"/>
          <w:sz w:val="18"/>
          <w:szCs w:val="18"/>
        </w:rPr>
      </w:pPr>
    </w:p>
    <w:p w14:paraId="18A1308C">
      <w:pPr>
        <w:pStyle w:val="2"/>
        <w:spacing w:before="196" w:line="344" w:lineRule="auto"/>
        <w:ind w:left="364" w:right="54" w:hanging="368" w:hangingChars="200"/>
        <w:jc w:val="center"/>
        <w:rPr>
          <w:color w:val="231F20"/>
          <w:spacing w:val="2"/>
          <w:sz w:val="18"/>
          <w:szCs w:val="18"/>
        </w:rPr>
      </w:pPr>
    </w:p>
    <w:p w14:paraId="7AD019C3">
      <w:pPr>
        <w:pStyle w:val="2"/>
        <w:spacing w:before="196" w:line="344" w:lineRule="auto"/>
        <w:ind w:left="364" w:right="54" w:hanging="368" w:hangingChars="200"/>
        <w:jc w:val="center"/>
        <w:rPr>
          <w:rFonts w:eastAsia="宋体"/>
          <w:sz w:val="18"/>
          <w:szCs w:val="18"/>
        </w:rPr>
      </w:pPr>
      <w:r>
        <w:rPr>
          <w:color w:val="231F20"/>
          <w:spacing w:val="2"/>
          <w:sz w:val="18"/>
          <w:szCs w:val="18"/>
        </w:rPr>
        <w:t>TABLE</w:t>
      </w:r>
      <w:r>
        <w:rPr>
          <w:color w:val="231F20"/>
          <w:spacing w:val="20"/>
          <w:w w:val="102"/>
          <w:sz w:val="18"/>
          <w:szCs w:val="18"/>
        </w:rPr>
        <w:t xml:space="preserve"> </w:t>
      </w:r>
      <w:r>
        <w:rPr>
          <w:color w:val="231F20"/>
          <w:spacing w:val="2"/>
          <w:sz w:val="18"/>
          <w:szCs w:val="18"/>
        </w:rPr>
        <w:t>1.</w:t>
      </w:r>
      <w:r>
        <w:rPr>
          <w:color w:val="231F20"/>
          <w:spacing w:val="10"/>
          <w:w w:val="102"/>
          <w:sz w:val="18"/>
          <w:szCs w:val="18"/>
        </w:rPr>
        <w:t xml:space="preserve"> </w:t>
      </w:r>
      <w:r>
        <w:rPr>
          <w:rFonts w:hint="eastAsia"/>
          <w:color w:val="231F20"/>
          <w:spacing w:val="2"/>
          <w:sz w:val="18"/>
          <w:szCs w:val="18"/>
        </w:rPr>
        <w:t>Acceptance KPIs &amp; ownership</w:t>
      </w:r>
    </w:p>
    <w:tbl>
      <w:tblPr>
        <w:tblStyle w:val="10"/>
        <w:tblpPr w:leftFromText="180" w:rightFromText="180" w:vertAnchor="text" w:horzAnchor="page" w:tblpX="1534" w:tblpY="23"/>
        <w:tblOverlap w:val="never"/>
        <w:tblW w:w="9941" w:type="dxa"/>
        <w:tblInd w:w="0" w:type="dxa"/>
        <w:tblLayout w:type="autofit"/>
        <w:tblCellMar>
          <w:top w:w="43" w:type="dxa"/>
          <w:left w:w="0" w:type="dxa"/>
          <w:bottom w:w="0" w:type="dxa"/>
          <w:right w:w="0" w:type="dxa"/>
        </w:tblCellMar>
      </w:tblPr>
      <w:tblGrid>
        <w:gridCol w:w="2119"/>
        <w:gridCol w:w="4857"/>
        <w:gridCol w:w="2965"/>
      </w:tblGrid>
      <w:tr w14:paraId="0024C54B">
        <w:tblPrEx>
          <w:tblCellMar>
            <w:top w:w="43" w:type="dxa"/>
            <w:left w:w="0" w:type="dxa"/>
            <w:bottom w:w="0" w:type="dxa"/>
            <w:right w:w="0" w:type="dxa"/>
          </w:tblCellMar>
        </w:tblPrEx>
        <w:trPr>
          <w:trHeight w:val="704" w:hRule="atLeast"/>
        </w:trPr>
        <w:tc>
          <w:tcPr>
            <w:tcW w:w="1609" w:type="dxa"/>
            <w:tcBorders>
              <w:top w:val="single" w:color="000000" w:sz="6" w:space="0"/>
              <w:left w:val="nil"/>
              <w:bottom w:val="single" w:color="000000" w:sz="4" w:space="0"/>
              <w:right w:val="nil"/>
            </w:tcBorders>
            <w:vAlign w:val="center"/>
          </w:tcPr>
          <w:p w14:paraId="1C7942CE">
            <w:pPr>
              <w:jc w:val="center"/>
              <w:rPr>
                <w:rFonts w:ascii="Times New Roman" w:hAnsi="Times New Roman" w:eastAsia="宋体" w:cs="Times New Roman"/>
                <w:sz w:val="18"/>
                <w:szCs w:val="18"/>
                <w:lang w:eastAsia="zh-CN"/>
              </w:rPr>
            </w:pPr>
            <w:r>
              <w:rPr>
                <w:rFonts w:ascii="Times New Roman" w:hAnsi="Times New Roman" w:eastAsia="宋体" w:cs="Times New Roman"/>
                <w:b/>
                <w:bCs/>
                <w:sz w:val="18"/>
                <w:szCs w:val="18"/>
                <w:lang w:eastAsia="zh-CN" w:bidi="ar"/>
              </w:rPr>
              <w:t>Dimension</w:t>
            </w:r>
          </w:p>
        </w:tc>
        <w:tc>
          <w:tcPr>
            <w:tcW w:w="3687" w:type="dxa"/>
            <w:tcBorders>
              <w:top w:val="single" w:color="000000" w:sz="6" w:space="0"/>
              <w:left w:val="nil"/>
              <w:bottom w:val="single" w:color="000000" w:sz="4" w:space="0"/>
              <w:right w:val="nil"/>
            </w:tcBorders>
            <w:vAlign w:val="center"/>
          </w:tcPr>
          <w:p w14:paraId="7304A124">
            <w:pPr>
              <w:jc w:val="center"/>
              <w:rPr>
                <w:rFonts w:ascii="Times New Roman" w:hAnsi="Times New Roman" w:eastAsia="宋体" w:cs="Times New Roman"/>
                <w:sz w:val="18"/>
                <w:szCs w:val="18"/>
                <w:lang w:eastAsia="zh-CN"/>
              </w:rPr>
            </w:pPr>
            <w:r>
              <w:rPr>
                <w:rFonts w:ascii="Times New Roman" w:hAnsi="Times New Roman" w:eastAsia="宋体" w:cs="Times New Roman"/>
                <w:b/>
                <w:bCs/>
                <w:sz w:val="18"/>
                <w:szCs w:val="18"/>
                <w:lang w:eastAsia="zh-CN" w:bidi="ar"/>
              </w:rPr>
              <w:t>Target &amp; Rule</w:t>
            </w:r>
          </w:p>
        </w:tc>
        <w:tc>
          <w:tcPr>
            <w:tcW w:w="2251" w:type="dxa"/>
            <w:tcBorders>
              <w:top w:val="single" w:color="000000" w:sz="6" w:space="0"/>
              <w:left w:val="nil"/>
              <w:bottom w:val="single" w:color="000000" w:sz="4" w:space="0"/>
              <w:right w:val="nil"/>
            </w:tcBorders>
            <w:vAlign w:val="center"/>
          </w:tcPr>
          <w:p w14:paraId="13A6C6C9">
            <w:pPr>
              <w:jc w:val="center"/>
              <w:rPr>
                <w:rFonts w:ascii="Times New Roman" w:hAnsi="Times New Roman" w:cs="Times New Roman"/>
                <w:sz w:val="18"/>
                <w:szCs w:val="18"/>
              </w:rPr>
            </w:pPr>
            <w:r>
              <w:rPr>
                <w:rFonts w:ascii="Times New Roman" w:hAnsi="Times New Roman" w:eastAsia="宋体" w:cs="Times New Roman"/>
                <w:b/>
                <w:bCs/>
                <w:sz w:val="18"/>
                <w:szCs w:val="18"/>
                <w:lang w:eastAsia="zh-CN" w:bidi="ar"/>
              </w:rPr>
              <w:t>Owner</w:t>
            </w:r>
          </w:p>
        </w:tc>
      </w:tr>
      <w:tr w14:paraId="69864E2A">
        <w:tblPrEx>
          <w:tblCellMar>
            <w:top w:w="43" w:type="dxa"/>
            <w:left w:w="0" w:type="dxa"/>
            <w:bottom w:w="0" w:type="dxa"/>
            <w:right w:w="0" w:type="dxa"/>
          </w:tblCellMar>
        </w:tblPrEx>
        <w:trPr>
          <w:trHeight w:val="641" w:hRule="atLeast"/>
        </w:trPr>
        <w:tc>
          <w:tcPr>
            <w:tcW w:w="1609" w:type="dxa"/>
            <w:tcBorders>
              <w:top w:val="single" w:color="000000" w:sz="4" w:space="0"/>
              <w:left w:val="nil"/>
              <w:bottom w:val="nil"/>
              <w:right w:val="nil"/>
            </w:tcBorders>
            <w:vAlign w:val="center"/>
          </w:tcPr>
          <w:p w14:paraId="1DB19189">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Platform</w:t>
            </w:r>
          </w:p>
        </w:tc>
        <w:tc>
          <w:tcPr>
            <w:tcW w:w="3687" w:type="dxa"/>
            <w:tcBorders>
              <w:top w:val="single" w:color="000000" w:sz="4" w:space="0"/>
              <w:left w:val="nil"/>
              <w:bottom w:val="nil"/>
              <w:right w:val="nil"/>
            </w:tcBorders>
            <w:vAlign w:val="center"/>
          </w:tcPr>
          <w:p w14:paraId="4028EC98">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Pixel 7 (Android 14), TFLite 2.14; CPU &amp; NNAPI reported</w:t>
            </w:r>
          </w:p>
        </w:tc>
        <w:tc>
          <w:tcPr>
            <w:tcW w:w="2251" w:type="dxa"/>
            <w:tcBorders>
              <w:top w:val="single" w:color="000000" w:sz="4" w:space="0"/>
              <w:left w:val="nil"/>
              <w:bottom w:val="nil"/>
              <w:right w:val="nil"/>
            </w:tcBorders>
            <w:vAlign w:val="center"/>
          </w:tcPr>
          <w:p w14:paraId="7D095171">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Eng. Lead</w:t>
            </w:r>
          </w:p>
        </w:tc>
      </w:tr>
      <w:tr w14:paraId="3BF1ED99">
        <w:tblPrEx>
          <w:tblCellMar>
            <w:top w:w="43" w:type="dxa"/>
            <w:left w:w="0" w:type="dxa"/>
            <w:bottom w:w="0" w:type="dxa"/>
            <w:right w:w="0" w:type="dxa"/>
          </w:tblCellMar>
        </w:tblPrEx>
        <w:trPr>
          <w:trHeight w:val="503" w:hRule="atLeast"/>
        </w:trPr>
        <w:tc>
          <w:tcPr>
            <w:tcW w:w="1609" w:type="dxa"/>
            <w:tcBorders>
              <w:top w:val="nil"/>
              <w:left w:val="nil"/>
              <w:bottom w:val="nil"/>
              <w:right w:val="nil"/>
            </w:tcBorders>
            <w:vAlign w:val="center"/>
          </w:tcPr>
          <w:p w14:paraId="607193AC">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Reliability</w:t>
            </w:r>
          </w:p>
        </w:tc>
        <w:tc>
          <w:tcPr>
            <w:tcW w:w="3687" w:type="dxa"/>
            <w:tcBorders>
              <w:top w:val="nil"/>
              <w:left w:val="nil"/>
              <w:bottom w:val="nil"/>
              <w:right w:val="nil"/>
            </w:tcBorders>
            <w:vAlign w:val="center"/>
          </w:tcPr>
          <w:p w14:paraId="003B1557">
            <w:pPr>
              <w:jc w:val="center"/>
              <w:rPr>
                <w:rFonts w:ascii="Times New Roman" w:hAnsi="Times New Roman" w:cs="Times New Roman"/>
                <w:sz w:val="18"/>
                <w:szCs w:val="18"/>
              </w:rPr>
            </w:pPr>
            <w:r>
              <w:rPr>
                <w:rStyle w:val="5"/>
                <w:rFonts w:ascii="Times New Roman" w:hAnsi="Times New Roman" w:eastAsia="宋体" w:cs="Times New Roman"/>
                <w:sz w:val="18"/>
                <w:szCs w:val="18"/>
                <w:lang w:eastAsia="zh-CN" w:bidi="ar"/>
              </w:rPr>
              <w:t>ECE ↓ ≥ 50%</w:t>
            </w:r>
            <w:r>
              <w:rPr>
                <w:rFonts w:ascii="Times New Roman" w:hAnsi="Times New Roman" w:eastAsia="宋体" w:cs="Times New Roman"/>
                <w:sz w:val="18"/>
                <w:szCs w:val="18"/>
                <w:lang w:eastAsia="zh-CN" w:bidi="ar"/>
              </w:rPr>
              <w:t xml:space="preserve">; </w:t>
            </w:r>
            <w:r>
              <w:rPr>
                <w:rStyle w:val="5"/>
                <w:rFonts w:ascii="Times New Roman" w:hAnsi="Times New Roman" w:eastAsia="宋体" w:cs="Times New Roman"/>
                <w:sz w:val="18"/>
                <w:szCs w:val="18"/>
                <w:lang w:eastAsia="zh-CN" w:bidi="ar"/>
              </w:rPr>
              <w:t>APS 90% ± 5%</w:t>
            </w:r>
            <w:r>
              <w:rPr>
                <w:rFonts w:ascii="Times New Roman" w:hAnsi="Times New Roman" w:eastAsia="宋体" w:cs="Times New Roman"/>
                <w:sz w:val="18"/>
                <w:szCs w:val="18"/>
                <w:lang w:eastAsia="zh-CN" w:bidi="ar"/>
              </w:rPr>
              <w:t xml:space="preserve">; single threshold keeps </w:t>
            </w:r>
            <w:r>
              <w:rPr>
                <w:rStyle w:val="5"/>
                <w:rFonts w:ascii="Times New Roman" w:hAnsi="Times New Roman" w:eastAsia="宋体" w:cs="Times New Roman"/>
                <w:sz w:val="18"/>
                <w:szCs w:val="18"/>
                <w:lang w:eastAsia="zh-CN" w:bidi="ar"/>
              </w:rPr>
              <w:t>high</w:t>
            </w:r>
            <w:r>
              <w:rPr>
                <w:rStyle w:val="5"/>
                <w:rFonts w:ascii="Times New Roman" w:hAnsi="Times New Roman" w:eastAsia="宋体" w:cs="Times New Roman"/>
                <w:sz w:val="18"/>
                <w:szCs w:val="18"/>
                <w:lang w:eastAsia="zh-CN" w:bidi="ar"/>
              </w:rPr>
              <w:noBreakHyphen/>
            </w:r>
            <w:r>
              <w:rPr>
                <w:rStyle w:val="5"/>
                <w:rFonts w:ascii="Times New Roman" w:hAnsi="Times New Roman" w:eastAsia="宋体" w:cs="Times New Roman"/>
                <w:sz w:val="18"/>
                <w:szCs w:val="18"/>
                <w:lang w:eastAsia="zh-CN" w:bidi="ar"/>
              </w:rPr>
              <w:t>risk FP &lt; 2%</w:t>
            </w:r>
            <w:r>
              <w:rPr>
                <w:rFonts w:ascii="Times New Roman" w:hAnsi="Times New Roman" w:eastAsia="宋体" w:cs="Times New Roman"/>
                <w:sz w:val="18"/>
                <w:szCs w:val="18"/>
                <w:lang w:eastAsia="zh-CN" w:bidi="ar"/>
              </w:rPr>
              <w:t xml:space="preserve"> (validation)</w:t>
            </w:r>
          </w:p>
        </w:tc>
        <w:tc>
          <w:tcPr>
            <w:tcW w:w="2251" w:type="dxa"/>
            <w:tcBorders>
              <w:top w:val="nil"/>
              <w:left w:val="nil"/>
              <w:bottom w:val="nil"/>
              <w:right w:val="nil"/>
            </w:tcBorders>
            <w:vAlign w:val="center"/>
          </w:tcPr>
          <w:p w14:paraId="75AE54A3">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Clinical PI</w:t>
            </w:r>
          </w:p>
        </w:tc>
      </w:tr>
      <w:tr w14:paraId="7B0DB32A">
        <w:tblPrEx>
          <w:tblCellMar>
            <w:top w:w="43" w:type="dxa"/>
            <w:left w:w="0" w:type="dxa"/>
            <w:bottom w:w="0" w:type="dxa"/>
            <w:right w:w="0" w:type="dxa"/>
          </w:tblCellMar>
        </w:tblPrEx>
        <w:trPr>
          <w:trHeight w:val="503" w:hRule="atLeast"/>
        </w:trPr>
        <w:tc>
          <w:tcPr>
            <w:tcW w:w="1609" w:type="dxa"/>
            <w:tcBorders>
              <w:top w:val="nil"/>
              <w:left w:val="nil"/>
              <w:bottom w:val="nil"/>
              <w:right w:val="nil"/>
            </w:tcBorders>
            <w:vAlign w:val="center"/>
          </w:tcPr>
          <w:p w14:paraId="4B34DC86">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Efficiency</w:t>
            </w:r>
          </w:p>
        </w:tc>
        <w:tc>
          <w:tcPr>
            <w:tcW w:w="3687" w:type="dxa"/>
            <w:tcBorders>
              <w:top w:val="nil"/>
              <w:left w:val="nil"/>
              <w:bottom w:val="nil"/>
              <w:right w:val="nil"/>
            </w:tcBorders>
            <w:vAlign w:val="center"/>
          </w:tcPr>
          <w:p w14:paraId="45FCE7A2">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 xml:space="preserve">Latency ≤ 50 ms (CPU) or ≤ 20 ms (NNAPI); </w:t>
            </w:r>
            <w:r>
              <w:rPr>
                <w:rStyle w:val="5"/>
                <w:rFonts w:ascii="Times New Roman" w:hAnsi="Times New Roman" w:eastAsia="宋体" w:cs="Times New Roman"/>
                <w:sz w:val="18"/>
                <w:szCs w:val="18"/>
                <w:lang w:eastAsia="zh-CN" w:bidi="ar"/>
              </w:rPr>
              <w:t>≥ 2×</w:t>
            </w:r>
            <w:r>
              <w:rPr>
                <w:rFonts w:ascii="Times New Roman" w:hAnsi="Times New Roman" w:eastAsia="宋体" w:cs="Times New Roman"/>
                <w:sz w:val="18"/>
                <w:szCs w:val="18"/>
                <w:lang w:eastAsia="zh-CN" w:bidi="ar"/>
              </w:rPr>
              <w:t xml:space="preserve"> energy reduction vs FP32</w:t>
            </w:r>
          </w:p>
        </w:tc>
        <w:tc>
          <w:tcPr>
            <w:tcW w:w="2251" w:type="dxa"/>
            <w:tcBorders>
              <w:top w:val="nil"/>
              <w:left w:val="nil"/>
              <w:bottom w:val="nil"/>
              <w:right w:val="nil"/>
            </w:tcBorders>
            <w:vAlign w:val="center"/>
          </w:tcPr>
          <w:p w14:paraId="124EFB5C">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Eng. Lead</w:t>
            </w:r>
          </w:p>
        </w:tc>
      </w:tr>
      <w:tr w14:paraId="079F3429">
        <w:tblPrEx>
          <w:tblCellMar>
            <w:top w:w="43" w:type="dxa"/>
            <w:left w:w="0" w:type="dxa"/>
            <w:bottom w:w="0" w:type="dxa"/>
            <w:right w:w="0" w:type="dxa"/>
          </w:tblCellMar>
        </w:tblPrEx>
        <w:trPr>
          <w:trHeight w:val="598" w:hRule="atLeast"/>
        </w:trPr>
        <w:tc>
          <w:tcPr>
            <w:tcW w:w="1609" w:type="dxa"/>
            <w:tcBorders>
              <w:top w:val="nil"/>
              <w:left w:val="nil"/>
              <w:bottom w:val="nil"/>
              <w:right w:val="nil"/>
            </w:tcBorders>
            <w:vAlign w:val="center"/>
          </w:tcPr>
          <w:p w14:paraId="579F3BAE">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Governance</w:t>
            </w:r>
          </w:p>
        </w:tc>
        <w:tc>
          <w:tcPr>
            <w:tcW w:w="3687" w:type="dxa"/>
            <w:tcBorders>
              <w:top w:val="nil"/>
              <w:left w:val="nil"/>
              <w:bottom w:val="nil"/>
              <w:right w:val="nil"/>
            </w:tcBorders>
            <w:vAlign w:val="center"/>
          </w:tcPr>
          <w:p w14:paraId="12C171EF">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Reject/APS policy documented; manual triage ≤ 30 min</w:t>
            </w:r>
          </w:p>
        </w:tc>
        <w:tc>
          <w:tcPr>
            <w:tcW w:w="2251" w:type="dxa"/>
            <w:tcBorders>
              <w:top w:val="nil"/>
              <w:left w:val="nil"/>
              <w:bottom w:val="nil"/>
              <w:right w:val="nil"/>
            </w:tcBorders>
            <w:vAlign w:val="center"/>
          </w:tcPr>
          <w:p w14:paraId="223C8AA2">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Clinical PI</w:t>
            </w:r>
          </w:p>
        </w:tc>
      </w:tr>
      <w:tr w14:paraId="2DEBCE1F">
        <w:tblPrEx>
          <w:tblCellMar>
            <w:top w:w="43" w:type="dxa"/>
            <w:left w:w="0" w:type="dxa"/>
            <w:bottom w:w="0" w:type="dxa"/>
            <w:right w:w="0" w:type="dxa"/>
          </w:tblCellMar>
        </w:tblPrEx>
        <w:trPr>
          <w:trHeight w:val="598" w:hRule="atLeast"/>
        </w:trPr>
        <w:tc>
          <w:tcPr>
            <w:tcW w:w="1609" w:type="dxa"/>
            <w:tcBorders>
              <w:top w:val="nil"/>
              <w:left w:val="nil"/>
              <w:bottom w:val="nil"/>
              <w:right w:val="nil"/>
            </w:tcBorders>
            <w:vAlign w:val="center"/>
          </w:tcPr>
          <w:p w14:paraId="01A0AB11">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Reproducibility</w:t>
            </w:r>
          </w:p>
        </w:tc>
        <w:tc>
          <w:tcPr>
            <w:tcW w:w="3687" w:type="dxa"/>
            <w:tcBorders>
              <w:top w:val="nil"/>
              <w:left w:val="nil"/>
              <w:bottom w:val="nil"/>
              <w:right w:val="nil"/>
            </w:tcBorders>
            <w:vAlign w:val="center"/>
          </w:tcPr>
          <w:p w14:paraId="0BCF5810">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Seeds; Docker+lockfile; thresholds frozen pre</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test; commit hash recorded</w:t>
            </w:r>
          </w:p>
        </w:tc>
        <w:tc>
          <w:tcPr>
            <w:tcW w:w="2251" w:type="dxa"/>
            <w:tcBorders>
              <w:top w:val="nil"/>
              <w:left w:val="nil"/>
              <w:bottom w:val="nil"/>
              <w:right w:val="nil"/>
            </w:tcBorders>
            <w:vAlign w:val="center"/>
          </w:tcPr>
          <w:p w14:paraId="2C7209B9">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Project Lead</w:t>
            </w:r>
          </w:p>
        </w:tc>
      </w:tr>
    </w:tbl>
    <w:p w14:paraId="4A4F372B">
      <w:pPr>
        <w:pStyle w:val="2"/>
        <w:spacing w:before="196" w:line="344" w:lineRule="auto"/>
        <w:ind w:left="420" w:right="54" w:hanging="420" w:hangingChars="200"/>
        <w:rPr>
          <w:rFonts w:eastAsia="宋体"/>
        </w:rPr>
      </w:pPr>
    </w:p>
    <w:p w14:paraId="5C043BC8">
      <w:pPr>
        <w:pStyle w:val="2"/>
        <w:spacing w:before="196" w:line="344" w:lineRule="auto"/>
        <w:ind w:right="54"/>
        <w:rPr>
          <w:rFonts w:eastAsia="宋体"/>
        </w:rPr>
      </w:pPr>
    </w:p>
    <w:p w14:paraId="29765102">
      <w:pPr>
        <w:pStyle w:val="2"/>
        <w:spacing w:before="196" w:line="344" w:lineRule="auto"/>
        <w:ind w:right="54"/>
        <w:rPr>
          <w:rFonts w:eastAsia="宋体"/>
        </w:rPr>
      </w:pPr>
    </w:p>
    <w:p w14:paraId="3B0E7C0A">
      <w:pPr>
        <w:pStyle w:val="2"/>
        <w:spacing w:before="196" w:line="344" w:lineRule="auto"/>
        <w:ind w:right="54"/>
        <w:rPr>
          <w:rFonts w:eastAsia="宋体"/>
        </w:rPr>
      </w:pPr>
    </w:p>
    <w:p w14:paraId="35B95BF5">
      <w:pPr>
        <w:pStyle w:val="2"/>
        <w:spacing w:before="196" w:line="344" w:lineRule="auto"/>
        <w:ind w:right="54"/>
        <w:rPr>
          <w:rFonts w:eastAsia="宋体"/>
        </w:rPr>
      </w:pPr>
    </w:p>
    <w:p w14:paraId="2309950E">
      <w:pPr>
        <w:pStyle w:val="2"/>
        <w:spacing w:before="196" w:line="344" w:lineRule="auto"/>
        <w:ind w:right="54"/>
        <w:rPr>
          <w:rFonts w:eastAsia="宋体"/>
        </w:rPr>
      </w:pPr>
    </w:p>
    <w:p w14:paraId="41A805C4">
      <w:pPr>
        <w:pStyle w:val="2"/>
        <w:spacing w:before="196" w:line="344" w:lineRule="auto"/>
        <w:ind w:right="54"/>
        <w:rPr>
          <w:rFonts w:eastAsia="宋体"/>
        </w:rPr>
      </w:pPr>
    </w:p>
    <w:p w14:paraId="65F1F536">
      <w:pPr>
        <w:pStyle w:val="2"/>
        <w:spacing w:before="196" w:line="344" w:lineRule="auto"/>
        <w:ind w:left="364" w:right="54" w:hanging="368" w:hangingChars="200"/>
        <w:jc w:val="center"/>
        <w:rPr>
          <w:rFonts w:eastAsia="宋体"/>
        </w:rPr>
      </w:pPr>
      <w:r>
        <w:rPr>
          <w:color w:val="231F20"/>
          <w:spacing w:val="2"/>
          <w:sz w:val="18"/>
          <w:szCs w:val="18"/>
        </w:rPr>
        <w:t>TABLE</w:t>
      </w:r>
      <w:r>
        <w:rPr>
          <w:color w:val="231F20"/>
          <w:spacing w:val="20"/>
          <w:w w:val="102"/>
          <w:sz w:val="18"/>
          <w:szCs w:val="18"/>
        </w:rPr>
        <w:t xml:space="preserve"> </w:t>
      </w:r>
      <w:r>
        <w:rPr>
          <w:rFonts w:hint="eastAsia" w:eastAsia="宋体"/>
          <w:color w:val="231F20"/>
          <w:spacing w:val="20"/>
          <w:w w:val="102"/>
          <w:sz w:val="18"/>
          <w:szCs w:val="18"/>
          <w:lang w:eastAsia="zh-CN"/>
        </w:rPr>
        <w:t>2</w:t>
      </w:r>
      <w:r>
        <w:rPr>
          <w:color w:val="231F20"/>
          <w:spacing w:val="2"/>
          <w:sz w:val="18"/>
          <w:szCs w:val="18"/>
        </w:rPr>
        <w:t>.</w:t>
      </w:r>
      <w:r>
        <w:rPr>
          <w:color w:val="231F20"/>
          <w:spacing w:val="10"/>
          <w:w w:val="102"/>
          <w:sz w:val="18"/>
          <w:szCs w:val="18"/>
        </w:rPr>
        <w:t xml:space="preserve"> </w:t>
      </w:r>
      <w:r>
        <w:rPr>
          <w:rFonts w:hint="eastAsia"/>
          <w:color w:val="231F20"/>
          <w:spacing w:val="2"/>
          <w:sz w:val="18"/>
          <w:szCs w:val="18"/>
        </w:rPr>
        <w:t>Stages, deliverables, and gates (hard pass/fail with failure‑exit)</w:t>
      </w:r>
    </w:p>
    <w:tbl>
      <w:tblPr>
        <w:tblStyle w:val="10"/>
        <w:tblpPr w:leftFromText="180" w:rightFromText="180" w:vertAnchor="text" w:horzAnchor="page" w:tblpX="1534" w:tblpY="23"/>
        <w:tblOverlap w:val="never"/>
        <w:tblW w:w="9941" w:type="dxa"/>
        <w:tblInd w:w="0" w:type="dxa"/>
        <w:tblLayout w:type="autofit"/>
        <w:tblCellMar>
          <w:top w:w="43" w:type="dxa"/>
          <w:left w:w="0" w:type="dxa"/>
          <w:bottom w:w="0" w:type="dxa"/>
          <w:right w:w="0" w:type="dxa"/>
        </w:tblCellMar>
      </w:tblPr>
      <w:tblGrid>
        <w:gridCol w:w="1609"/>
        <w:gridCol w:w="3687"/>
        <w:gridCol w:w="2251"/>
        <w:gridCol w:w="2394"/>
      </w:tblGrid>
      <w:tr w14:paraId="7D3CAD32">
        <w:tblPrEx>
          <w:tblCellMar>
            <w:top w:w="43" w:type="dxa"/>
            <w:left w:w="0" w:type="dxa"/>
            <w:bottom w:w="0" w:type="dxa"/>
            <w:right w:w="0" w:type="dxa"/>
          </w:tblCellMar>
        </w:tblPrEx>
        <w:trPr>
          <w:trHeight w:val="704" w:hRule="atLeast"/>
        </w:trPr>
        <w:tc>
          <w:tcPr>
            <w:tcW w:w="1609" w:type="dxa"/>
            <w:tcBorders>
              <w:top w:val="single" w:color="000000" w:sz="6" w:space="0"/>
              <w:left w:val="nil"/>
              <w:bottom w:val="single" w:color="000000" w:sz="4" w:space="0"/>
              <w:right w:val="nil"/>
            </w:tcBorders>
            <w:vAlign w:val="center"/>
          </w:tcPr>
          <w:p w14:paraId="0E58FDA0">
            <w:pPr>
              <w:jc w:val="center"/>
              <w:rPr>
                <w:rFonts w:ascii="Times New Roman" w:hAnsi="Times New Roman" w:eastAsia="宋体" w:cs="Times New Roman"/>
                <w:sz w:val="18"/>
                <w:szCs w:val="18"/>
                <w:lang w:eastAsia="zh-CN"/>
              </w:rPr>
            </w:pPr>
            <w:r>
              <w:rPr>
                <w:rFonts w:ascii="Times New Roman" w:hAnsi="Times New Roman" w:eastAsia="宋体" w:cs="Times New Roman"/>
                <w:b/>
                <w:bCs/>
                <w:sz w:val="18"/>
                <w:szCs w:val="18"/>
                <w:lang w:eastAsia="zh-CN" w:bidi="ar"/>
              </w:rPr>
              <w:t>Stage</w:t>
            </w:r>
          </w:p>
        </w:tc>
        <w:tc>
          <w:tcPr>
            <w:tcW w:w="3687" w:type="dxa"/>
            <w:tcBorders>
              <w:top w:val="single" w:color="000000" w:sz="6" w:space="0"/>
              <w:left w:val="nil"/>
              <w:bottom w:val="single" w:color="000000" w:sz="4" w:space="0"/>
              <w:right w:val="nil"/>
            </w:tcBorders>
            <w:vAlign w:val="center"/>
          </w:tcPr>
          <w:p w14:paraId="070690E9">
            <w:pPr>
              <w:jc w:val="center"/>
              <w:rPr>
                <w:rFonts w:ascii="Times New Roman" w:hAnsi="Times New Roman" w:eastAsia="宋体" w:cs="Times New Roman"/>
                <w:sz w:val="18"/>
                <w:szCs w:val="18"/>
                <w:lang w:eastAsia="zh-CN"/>
              </w:rPr>
            </w:pPr>
            <w:r>
              <w:rPr>
                <w:rFonts w:ascii="Times New Roman" w:hAnsi="Times New Roman" w:eastAsia="宋体" w:cs="Times New Roman"/>
                <w:b/>
                <w:bCs/>
                <w:sz w:val="18"/>
                <w:szCs w:val="18"/>
                <w:lang w:eastAsia="zh-CN" w:bidi="ar"/>
              </w:rPr>
              <w:t>Deliverable</w:t>
            </w:r>
          </w:p>
        </w:tc>
        <w:tc>
          <w:tcPr>
            <w:tcW w:w="2251" w:type="dxa"/>
            <w:tcBorders>
              <w:top w:val="single" w:color="000000" w:sz="6" w:space="0"/>
              <w:left w:val="nil"/>
              <w:bottom w:val="single" w:color="000000" w:sz="4" w:space="0"/>
              <w:right w:val="nil"/>
            </w:tcBorders>
            <w:vAlign w:val="center"/>
          </w:tcPr>
          <w:p w14:paraId="21F1ED73">
            <w:pPr>
              <w:jc w:val="center"/>
              <w:rPr>
                <w:rFonts w:ascii="Times New Roman" w:hAnsi="Times New Roman" w:cs="Times New Roman"/>
                <w:sz w:val="18"/>
                <w:szCs w:val="18"/>
              </w:rPr>
            </w:pPr>
            <w:r>
              <w:rPr>
                <w:rFonts w:ascii="Times New Roman" w:hAnsi="Times New Roman" w:eastAsia="宋体" w:cs="Times New Roman"/>
                <w:b/>
                <w:bCs/>
                <w:sz w:val="18"/>
                <w:szCs w:val="18"/>
                <w:lang w:eastAsia="zh-CN" w:bidi="ar"/>
              </w:rPr>
              <w:t>Hard criteria</w:t>
            </w:r>
          </w:p>
        </w:tc>
        <w:tc>
          <w:tcPr>
            <w:tcW w:w="2394" w:type="dxa"/>
            <w:tcBorders>
              <w:top w:val="single" w:color="000000" w:sz="6" w:space="0"/>
              <w:left w:val="nil"/>
              <w:bottom w:val="single" w:color="000000" w:sz="4" w:space="0"/>
              <w:right w:val="nil"/>
            </w:tcBorders>
            <w:vAlign w:val="center"/>
          </w:tcPr>
          <w:p w14:paraId="592F0E19">
            <w:pPr>
              <w:jc w:val="center"/>
              <w:rPr>
                <w:rFonts w:ascii="Times New Roman" w:hAnsi="Times New Roman" w:cs="Times New Roman"/>
                <w:b/>
                <w:sz w:val="18"/>
                <w:szCs w:val="18"/>
              </w:rPr>
            </w:pPr>
            <w:r>
              <w:rPr>
                <w:rFonts w:ascii="Times New Roman" w:hAnsi="Times New Roman" w:eastAsia="宋体" w:cs="Times New Roman"/>
                <w:b/>
                <w:bCs/>
                <w:sz w:val="18"/>
                <w:szCs w:val="18"/>
                <w:lang w:eastAsia="zh-CN" w:bidi="ar"/>
              </w:rPr>
              <w:t>Failure</w:t>
            </w:r>
            <w:r>
              <w:rPr>
                <w:rFonts w:ascii="Times New Roman" w:hAnsi="Times New Roman" w:eastAsia="宋体" w:cs="Times New Roman"/>
                <w:b/>
                <w:bCs/>
                <w:sz w:val="18"/>
                <w:szCs w:val="18"/>
                <w:lang w:eastAsia="zh-CN" w:bidi="ar"/>
              </w:rPr>
              <w:noBreakHyphen/>
            </w:r>
            <w:r>
              <w:rPr>
                <w:rFonts w:ascii="Times New Roman" w:hAnsi="Times New Roman" w:eastAsia="宋体" w:cs="Times New Roman"/>
                <w:b/>
                <w:bCs/>
                <w:sz w:val="18"/>
                <w:szCs w:val="18"/>
                <w:lang w:eastAsia="zh-CN" w:bidi="ar"/>
              </w:rPr>
              <w:t>exit</w:t>
            </w:r>
          </w:p>
        </w:tc>
      </w:tr>
      <w:tr w14:paraId="318382D8">
        <w:tblPrEx>
          <w:tblCellMar>
            <w:top w:w="43" w:type="dxa"/>
            <w:left w:w="0" w:type="dxa"/>
            <w:bottom w:w="0" w:type="dxa"/>
            <w:right w:w="0" w:type="dxa"/>
          </w:tblCellMar>
        </w:tblPrEx>
        <w:trPr>
          <w:trHeight w:val="641" w:hRule="atLeast"/>
        </w:trPr>
        <w:tc>
          <w:tcPr>
            <w:tcW w:w="1609" w:type="dxa"/>
            <w:tcBorders>
              <w:top w:val="single" w:color="000000" w:sz="4" w:space="0"/>
              <w:left w:val="nil"/>
              <w:bottom w:val="nil"/>
              <w:right w:val="nil"/>
            </w:tcBorders>
            <w:vAlign w:val="center"/>
          </w:tcPr>
          <w:p w14:paraId="1BCD4862">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Exit</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A</w:t>
            </w:r>
          </w:p>
        </w:tc>
        <w:tc>
          <w:tcPr>
            <w:tcW w:w="3687" w:type="dxa"/>
            <w:tcBorders>
              <w:top w:val="single" w:color="000000" w:sz="4" w:space="0"/>
              <w:left w:val="nil"/>
              <w:bottom w:val="nil"/>
              <w:right w:val="nil"/>
            </w:tcBorders>
            <w:vAlign w:val="center"/>
          </w:tcPr>
          <w:p w14:paraId="2D5E9CC3">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D1 Baseline stability</w:t>
            </w:r>
          </w:p>
        </w:tc>
        <w:tc>
          <w:tcPr>
            <w:tcW w:w="2251" w:type="dxa"/>
            <w:tcBorders>
              <w:top w:val="single" w:color="000000" w:sz="4" w:space="0"/>
              <w:left w:val="nil"/>
              <w:bottom w:val="nil"/>
              <w:right w:val="nil"/>
            </w:tcBorders>
            <w:vAlign w:val="center"/>
          </w:tcPr>
          <w:p w14:paraId="21B0B16B">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Macro</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F1 SD ≤ 1.5 pp/dataset; else 10 seeds + minimal augmentation</w:t>
            </w:r>
          </w:p>
        </w:tc>
        <w:tc>
          <w:tcPr>
            <w:tcW w:w="2394" w:type="dxa"/>
            <w:tcBorders>
              <w:top w:val="single" w:color="000000" w:sz="4" w:space="0"/>
              <w:left w:val="nil"/>
              <w:bottom w:val="nil"/>
              <w:right w:val="nil"/>
            </w:tcBorders>
            <w:vAlign w:val="center"/>
          </w:tcPr>
          <w:p w14:paraId="129321C7">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Prune window grid</w:t>
            </w:r>
          </w:p>
        </w:tc>
      </w:tr>
      <w:tr w14:paraId="7770F449">
        <w:tblPrEx>
          <w:tblCellMar>
            <w:top w:w="43" w:type="dxa"/>
            <w:left w:w="0" w:type="dxa"/>
            <w:bottom w:w="0" w:type="dxa"/>
            <w:right w:w="0" w:type="dxa"/>
          </w:tblCellMar>
        </w:tblPrEx>
        <w:trPr>
          <w:trHeight w:val="503" w:hRule="atLeast"/>
        </w:trPr>
        <w:tc>
          <w:tcPr>
            <w:tcW w:w="1609" w:type="dxa"/>
            <w:tcBorders>
              <w:top w:val="nil"/>
              <w:left w:val="nil"/>
              <w:bottom w:val="nil"/>
              <w:right w:val="nil"/>
            </w:tcBorders>
            <w:vAlign w:val="center"/>
          </w:tcPr>
          <w:p w14:paraId="1D3F711D">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Exit</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B</w:t>
            </w:r>
          </w:p>
        </w:tc>
        <w:tc>
          <w:tcPr>
            <w:tcW w:w="3687" w:type="dxa"/>
            <w:tcBorders>
              <w:top w:val="nil"/>
              <w:left w:val="nil"/>
              <w:bottom w:val="nil"/>
              <w:right w:val="nil"/>
            </w:tcBorders>
            <w:vAlign w:val="center"/>
          </w:tcPr>
          <w:p w14:paraId="25E31471">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D2 Champions</w:t>
            </w:r>
          </w:p>
        </w:tc>
        <w:tc>
          <w:tcPr>
            <w:tcW w:w="2251" w:type="dxa"/>
            <w:tcBorders>
              <w:top w:val="nil"/>
              <w:left w:val="nil"/>
              <w:bottom w:val="nil"/>
              <w:right w:val="nil"/>
            </w:tcBorders>
            <w:vAlign w:val="center"/>
          </w:tcPr>
          <w:p w14:paraId="139401A7">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 xml:space="preserve">Friedman→Nemenyi; Wilcoxon+Holm; </w:t>
            </w:r>
            <w:r>
              <w:rPr>
                <w:rStyle w:val="5"/>
                <w:rFonts w:ascii="Times New Roman" w:hAnsi="Times New Roman" w:eastAsia="宋体" w:cs="Times New Roman"/>
                <w:sz w:val="18"/>
                <w:szCs w:val="18"/>
                <w:lang w:eastAsia="zh-CN" w:bidi="ar"/>
              </w:rPr>
              <w:t>Â12/Cliff’s δ ≥ medium</w:t>
            </w:r>
          </w:p>
        </w:tc>
        <w:tc>
          <w:tcPr>
            <w:tcW w:w="2394" w:type="dxa"/>
            <w:tcBorders>
              <w:top w:val="nil"/>
              <w:left w:val="nil"/>
              <w:bottom w:val="nil"/>
              <w:right w:val="nil"/>
            </w:tcBorders>
            <w:vAlign w:val="center"/>
          </w:tcPr>
          <w:p w14:paraId="30102BE6">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Expand seeds/drop weakest</w:t>
            </w:r>
          </w:p>
        </w:tc>
      </w:tr>
      <w:tr w14:paraId="2678E620">
        <w:tblPrEx>
          <w:tblCellMar>
            <w:top w:w="43" w:type="dxa"/>
            <w:left w:w="0" w:type="dxa"/>
            <w:bottom w:w="0" w:type="dxa"/>
            <w:right w:w="0" w:type="dxa"/>
          </w:tblCellMar>
        </w:tblPrEx>
        <w:trPr>
          <w:trHeight w:val="503" w:hRule="atLeast"/>
        </w:trPr>
        <w:tc>
          <w:tcPr>
            <w:tcW w:w="1609" w:type="dxa"/>
            <w:tcBorders>
              <w:top w:val="nil"/>
              <w:left w:val="nil"/>
              <w:bottom w:val="nil"/>
              <w:right w:val="nil"/>
            </w:tcBorders>
            <w:vAlign w:val="center"/>
          </w:tcPr>
          <w:p w14:paraId="43589DA3">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Exit</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C</w:t>
            </w:r>
          </w:p>
        </w:tc>
        <w:tc>
          <w:tcPr>
            <w:tcW w:w="3687" w:type="dxa"/>
            <w:tcBorders>
              <w:top w:val="nil"/>
              <w:left w:val="nil"/>
              <w:bottom w:val="nil"/>
              <w:right w:val="nil"/>
            </w:tcBorders>
            <w:vAlign w:val="center"/>
          </w:tcPr>
          <w:p w14:paraId="39A45FA4">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D3 Transfer</w:t>
            </w:r>
          </w:p>
        </w:tc>
        <w:tc>
          <w:tcPr>
            <w:tcW w:w="2251" w:type="dxa"/>
            <w:tcBorders>
              <w:top w:val="nil"/>
              <w:left w:val="nil"/>
              <w:bottom w:val="nil"/>
              <w:right w:val="nil"/>
            </w:tcBorders>
            <w:vAlign w:val="center"/>
          </w:tcPr>
          <w:p w14:paraId="71F5DFDB">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Public mappings; SHL↔DaLiAc↔RealWorld zero</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shot + 1%/5% fine</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tune</w:t>
            </w:r>
          </w:p>
        </w:tc>
        <w:tc>
          <w:tcPr>
            <w:tcW w:w="2394" w:type="dxa"/>
            <w:tcBorders>
              <w:top w:val="nil"/>
              <w:left w:val="nil"/>
              <w:bottom w:val="nil"/>
              <w:right w:val="nil"/>
            </w:tcBorders>
            <w:vAlign w:val="center"/>
          </w:tcPr>
          <w:p w14:paraId="0099C721">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If mapping ambiguous, report dual metrics &amp; halt fine</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tune claims</w:t>
            </w:r>
          </w:p>
        </w:tc>
      </w:tr>
      <w:tr w14:paraId="26EDFD36">
        <w:tblPrEx>
          <w:tblCellMar>
            <w:top w:w="43" w:type="dxa"/>
            <w:left w:w="0" w:type="dxa"/>
            <w:bottom w:w="0" w:type="dxa"/>
            <w:right w:w="0" w:type="dxa"/>
          </w:tblCellMar>
        </w:tblPrEx>
        <w:trPr>
          <w:trHeight w:val="598" w:hRule="atLeast"/>
        </w:trPr>
        <w:tc>
          <w:tcPr>
            <w:tcW w:w="1609" w:type="dxa"/>
            <w:tcBorders>
              <w:top w:val="nil"/>
              <w:left w:val="nil"/>
              <w:bottom w:val="nil"/>
              <w:right w:val="nil"/>
            </w:tcBorders>
            <w:vAlign w:val="center"/>
          </w:tcPr>
          <w:p w14:paraId="072128C1">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w:t>
            </w:r>
          </w:p>
        </w:tc>
        <w:tc>
          <w:tcPr>
            <w:tcW w:w="3687" w:type="dxa"/>
            <w:tcBorders>
              <w:top w:val="nil"/>
              <w:left w:val="nil"/>
              <w:bottom w:val="nil"/>
              <w:right w:val="nil"/>
            </w:tcBorders>
            <w:vAlign w:val="center"/>
          </w:tcPr>
          <w:p w14:paraId="1E252BE6">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D4 Calibration</w:t>
            </w:r>
          </w:p>
        </w:tc>
        <w:tc>
          <w:tcPr>
            <w:tcW w:w="2251" w:type="dxa"/>
            <w:tcBorders>
              <w:top w:val="nil"/>
              <w:left w:val="nil"/>
              <w:bottom w:val="nil"/>
              <w:right w:val="nil"/>
            </w:tcBorders>
            <w:vAlign w:val="center"/>
          </w:tcPr>
          <w:p w14:paraId="1311E618">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Temp vs isotonic; ECE/Brier/NLL; threshold; APS policy</w:t>
            </w:r>
          </w:p>
        </w:tc>
        <w:tc>
          <w:tcPr>
            <w:tcW w:w="2394" w:type="dxa"/>
            <w:tcBorders>
              <w:top w:val="nil"/>
              <w:left w:val="nil"/>
              <w:bottom w:val="nil"/>
              <w:right w:val="nil"/>
            </w:tcBorders>
            <w:vAlign w:val="center"/>
          </w:tcPr>
          <w:p w14:paraId="30B4E626">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 xml:space="preserve">If coverage &lt; 85% → </w:t>
            </w:r>
            <w:r>
              <w:rPr>
                <w:rStyle w:val="5"/>
                <w:rFonts w:ascii="Times New Roman" w:hAnsi="Times New Roman" w:eastAsia="宋体" w:cs="Times New Roman"/>
                <w:sz w:val="18"/>
                <w:szCs w:val="18"/>
                <w:lang w:eastAsia="zh-CN" w:bidi="ar"/>
              </w:rPr>
              <w:t>Mondrian APS</w:t>
            </w:r>
          </w:p>
        </w:tc>
      </w:tr>
      <w:tr w14:paraId="422CAFBA">
        <w:tblPrEx>
          <w:tblCellMar>
            <w:top w:w="43" w:type="dxa"/>
            <w:left w:w="0" w:type="dxa"/>
            <w:bottom w:w="0" w:type="dxa"/>
            <w:right w:w="0" w:type="dxa"/>
          </w:tblCellMar>
        </w:tblPrEx>
        <w:trPr>
          <w:trHeight w:val="598" w:hRule="atLeast"/>
        </w:trPr>
        <w:tc>
          <w:tcPr>
            <w:tcW w:w="1609" w:type="dxa"/>
            <w:tcBorders>
              <w:top w:val="nil"/>
              <w:left w:val="nil"/>
              <w:bottom w:val="nil"/>
              <w:right w:val="nil"/>
            </w:tcBorders>
            <w:vAlign w:val="center"/>
          </w:tcPr>
          <w:p w14:paraId="1317C1B2">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w:t>
            </w:r>
          </w:p>
        </w:tc>
        <w:tc>
          <w:tcPr>
            <w:tcW w:w="3687" w:type="dxa"/>
            <w:tcBorders>
              <w:top w:val="nil"/>
              <w:left w:val="nil"/>
              <w:bottom w:val="nil"/>
              <w:right w:val="nil"/>
            </w:tcBorders>
            <w:vAlign w:val="center"/>
          </w:tcPr>
          <w:p w14:paraId="116E86EC">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D5 Energy/INT8</w:t>
            </w:r>
          </w:p>
        </w:tc>
        <w:tc>
          <w:tcPr>
            <w:tcW w:w="2251" w:type="dxa"/>
            <w:tcBorders>
              <w:top w:val="nil"/>
              <w:left w:val="nil"/>
              <w:bottom w:val="nil"/>
              <w:right w:val="nil"/>
            </w:tcBorders>
            <w:vAlign w:val="center"/>
          </w:tcPr>
          <w:p w14:paraId="583ABEDF">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Sampling+PTQ; device latency/energy; Pareto; endorse SC</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3 only</w:t>
            </w:r>
          </w:p>
        </w:tc>
        <w:tc>
          <w:tcPr>
            <w:tcW w:w="2394" w:type="dxa"/>
            <w:tcBorders>
              <w:top w:val="nil"/>
              <w:left w:val="nil"/>
              <w:bottom w:val="nil"/>
              <w:right w:val="nil"/>
            </w:tcBorders>
            <w:vAlign w:val="center"/>
          </w:tcPr>
          <w:p w14:paraId="60B95CDF">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If any class &gt; 1 pp drop: sensitivity + distillation</w:t>
            </w:r>
          </w:p>
        </w:tc>
      </w:tr>
      <w:tr w14:paraId="42C9DB3A">
        <w:tblPrEx>
          <w:tblCellMar>
            <w:top w:w="43" w:type="dxa"/>
            <w:left w:w="0" w:type="dxa"/>
            <w:bottom w:w="0" w:type="dxa"/>
            <w:right w:w="0" w:type="dxa"/>
          </w:tblCellMar>
        </w:tblPrEx>
        <w:trPr>
          <w:trHeight w:val="598" w:hRule="atLeast"/>
        </w:trPr>
        <w:tc>
          <w:tcPr>
            <w:tcW w:w="1609" w:type="dxa"/>
            <w:tcBorders>
              <w:top w:val="nil"/>
              <w:left w:val="nil"/>
              <w:bottom w:val="nil"/>
              <w:right w:val="nil"/>
            </w:tcBorders>
            <w:vAlign w:val="center"/>
          </w:tcPr>
          <w:p w14:paraId="475E4ECF">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w:t>
            </w:r>
          </w:p>
        </w:tc>
        <w:tc>
          <w:tcPr>
            <w:tcW w:w="3687" w:type="dxa"/>
            <w:tcBorders>
              <w:top w:val="nil"/>
              <w:left w:val="nil"/>
              <w:bottom w:val="nil"/>
              <w:right w:val="nil"/>
            </w:tcBorders>
            <w:vAlign w:val="center"/>
          </w:tcPr>
          <w:p w14:paraId="080225AF">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D6 Robustness</w:t>
            </w:r>
          </w:p>
        </w:tc>
        <w:tc>
          <w:tcPr>
            <w:tcW w:w="2251" w:type="dxa"/>
            <w:tcBorders>
              <w:top w:val="nil"/>
              <w:left w:val="nil"/>
              <w:bottom w:val="nil"/>
              <w:right w:val="nil"/>
            </w:tcBorders>
            <w:vAlign w:val="center"/>
          </w:tcPr>
          <w:p w14:paraId="556C4CD1">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OOD AUROC &amp; TPR@1%FPR ≥ 60%</w:t>
            </w:r>
          </w:p>
        </w:tc>
        <w:tc>
          <w:tcPr>
            <w:tcW w:w="2394" w:type="dxa"/>
            <w:tcBorders>
              <w:top w:val="nil"/>
              <w:left w:val="nil"/>
              <w:bottom w:val="nil"/>
              <w:right w:val="nil"/>
            </w:tcBorders>
            <w:vAlign w:val="center"/>
          </w:tcPr>
          <w:p w14:paraId="36CBC824">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Switch to energy</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based scoring; document abstain</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rate</w:t>
            </w:r>
          </w:p>
        </w:tc>
      </w:tr>
      <w:tr w14:paraId="7844A229">
        <w:tblPrEx>
          <w:tblCellMar>
            <w:top w:w="43" w:type="dxa"/>
            <w:left w:w="0" w:type="dxa"/>
            <w:bottom w:w="0" w:type="dxa"/>
            <w:right w:w="0" w:type="dxa"/>
          </w:tblCellMar>
        </w:tblPrEx>
        <w:trPr>
          <w:trHeight w:val="598" w:hRule="atLeast"/>
        </w:trPr>
        <w:tc>
          <w:tcPr>
            <w:tcW w:w="1609" w:type="dxa"/>
            <w:tcBorders>
              <w:top w:val="nil"/>
              <w:left w:val="nil"/>
              <w:bottom w:val="nil"/>
              <w:right w:val="nil"/>
            </w:tcBorders>
            <w:vAlign w:val="center"/>
          </w:tcPr>
          <w:p w14:paraId="54EC2B38">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Release</w:t>
            </w:r>
          </w:p>
        </w:tc>
        <w:tc>
          <w:tcPr>
            <w:tcW w:w="3687" w:type="dxa"/>
            <w:tcBorders>
              <w:top w:val="nil"/>
              <w:left w:val="nil"/>
              <w:bottom w:val="nil"/>
              <w:right w:val="nil"/>
            </w:tcBorders>
            <w:vAlign w:val="center"/>
          </w:tcPr>
          <w:p w14:paraId="0342D372">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D7 Repro bundle</w:t>
            </w:r>
          </w:p>
        </w:tc>
        <w:tc>
          <w:tcPr>
            <w:tcW w:w="2251" w:type="dxa"/>
            <w:tcBorders>
              <w:top w:val="nil"/>
              <w:left w:val="nil"/>
              <w:bottom w:val="nil"/>
              <w:right w:val="nil"/>
            </w:tcBorders>
            <w:vAlign w:val="center"/>
          </w:tcPr>
          <w:p w14:paraId="35B6768F">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Code/configs/logs; cards; deployment card (Owner/Approver/SLA)</w:t>
            </w:r>
          </w:p>
        </w:tc>
        <w:tc>
          <w:tcPr>
            <w:tcW w:w="2394" w:type="dxa"/>
            <w:tcBorders>
              <w:top w:val="nil"/>
              <w:left w:val="nil"/>
              <w:bottom w:val="nil"/>
              <w:right w:val="nil"/>
            </w:tcBorders>
            <w:vAlign w:val="center"/>
          </w:tcPr>
          <w:p w14:paraId="33EF23FE">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w:t>
            </w:r>
          </w:p>
        </w:tc>
      </w:tr>
    </w:tbl>
    <w:p w14:paraId="7C0DE565">
      <w:pPr>
        <w:pStyle w:val="2"/>
        <w:spacing w:before="196" w:line="344" w:lineRule="auto"/>
        <w:ind w:right="54"/>
        <w:rPr>
          <w:rFonts w:eastAsia="宋体"/>
        </w:rPr>
      </w:pPr>
    </w:p>
    <w:p w14:paraId="3C26401D">
      <w:pPr>
        <w:pStyle w:val="2"/>
        <w:spacing w:before="196" w:line="344" w:lineRule="auto"/>
        <w:ind w:right="54"/>
        <w:rPr>
          <w:rFonts w:eastAsia="宋体"/>
        </w:rPr>
      </w:pPr>
    </w:p>
    <w:p w14:paraId="22766C15">
      <w:pPr>
        <w:pStyle w:val="2"/>
        <w:spacing w:before="196" w:line="344" w:lineRule="auto"/>
        <w:ind w:left="364" w:right="54" w:hanging="368" w:hangingChars="200"/>
        <w:jc w:val="center"/>
        <w:rPr>
          <w:rFonts w:eastAsia="宋体"/>
        </w:rPr>
      </w:pPr>
      <w:r>
        <w:rPr>
          <w:color w:val="231F20"/>
          <w:spacing w:val="2"/>
          <w:sz w:val="18"/>
          <w:szCs w:val="18"/>
        </w:rPr>
        <w:t>TABLE</w:t>
      </w:r>
      <w:r>
        <w:rPr>
          <w:color w:val="231F20"/>
          <w:spacing w:val="20"/>
          <w:w w:val="102"/>
          <w:sz w:val="18"/>
          <w:szCs w:val="18"/>
        </w:rPr>
        <w:t xml:space="preserve"> </w:t>
      </w:r>
      <w:r>
        <w:rPr>
          <w:rFonts w:hint="eastAsia" w:eastAsia="宋体"/>
          <w:color w:val="231F20"/>
          <w:spacing w:val="20"/>
          <w:w w:val="102"/>
          <w:sz w:val="18"/>
          <w:szCs w:val="18"/>
          <w:lang w:eastAsia="zh-CN"/>
        </w:rPr>
        <w:t>3</w:t>
      </w:r>
      <w:r>
        <w:rPr>
          <w:color w:val="231F20"/>
          <w:spacing w:val="2"/>
          <w:sz w:val="18"/>
          <w:szCs w:val="18"/>
        </w:rPr>
        <w:t>.</w:t>
      </w:r>
      <w:r>
        <w:rPr>
          <w:color w:val="231F20"/>
          <w:spacing w:val="10"/>
          <w:w w:val="102"/>
          <w:sz w:val="18"/>
          <w:szCs w:val="18"/>
        </w:rPr>
        <w:t xml:space="preserve"> </w:t>
      </w:r>
      <w:r>
        <w:rPr>
          <w:rFonts w:hint="eastAsia"/>
          <w:color w:val="231F20"/>
          <w:spacing w:val="2"/>
          <w:sz w:val="18"/>
          <w:szCs w:val="18"/>
        </w:rPr>
        <w:t>Timeline (Gantt overview)</w:t>
      </w:r>
    </w:p>
    <w:tbl>
      <w:tblPr>
        <w:tblStyle w:val="10"/>
        <w:tblpPr w:leftFromText="180" w:rightFromText="180" w:vertAnchor="text" w:horzAnchor="page" w:tblpX="1534" w:tblpY="23"/>
        <w:tblOverlap w:val="never"/>
        <w:tblW w:w="9941" w:type="dxa"/>
        <w:tblInd w:w="0" w:type="dxa"/>
        <w:tblLayout w:type="autofit"/>
        <w:tblCellMar>
          <w:top w:w="43" w:type="dxa"/>
          <w:left w:w="0" w:type="dxa"/>
          <w:bottom w:w="0" w:type="dxa"/>
          <w:right w:w="0" w:type="dxa"/>
        </w:tblCellMar>
      </w:tblPr>
      <w:tblGrid>
        <w:gridCol w:w="3020"/>
        <w:gridCol w:w="6921"/>
      </w:tblGrid>
      <w:tr w14:paraId="3BEE2671">
        <w:tblPrEx>
          <w:tblCellMar>
            <w:top w:w="43" w:type="dxa"/>
            <w:left w:w="0" w:type="dxa"/>
            <w:bottom w:w="0" w:type="dxa"/>
            <w:right w:w="0" w:type="dxa"/>
          </w:tblCellMar>
        </w:tblPrEx>
        <w:trPr>
          <w:trHeight w:val="704" w:hRule="atLeast"/>
        </w:trPr>
        <w:tc>
          <w:tcPr>
            <w:tcW w:w="1609" w:type="dxa"/>
            <w:tcBorders>
              <w:top w:val="single" w:color="000000" w:sz="6" w:space="0"/>
              <w:left w:val="nil"/>
              <w:bottom w:val="single" w:color="000000" w:sz="4" w:space="0"/>
              <w:right w:val="nil"/>
            </w:tcBorders>
            <w:vAlign w:val="center"/>
          </w:tcPr>
          <w:p w14:paraId="341D2969">
            <w:pPr>
              <w:jc w:val="center"/>
              <w:rPr>
                <w:rFonts w:ascii="Times New Roman" w:hAnsi="Times New Roman" w:eastAsia="宋体" w:cs="Times New Roman"/>
                <w:sz w:val="18"/>
                <w:szCs w:val="18"/>
                <w:lang w:eastAsia="zh-CN"/>
              </w:rPr>
            </w:pPr>
            <w:r>
              <w:rPr>
                <w:rFonts w:ascii="Times New Roman" w:hAnsi="Times New Roman" w:eastAsia="宋体" w:cs="Times New Roman"/>
                <w:b/>
                <w:bCs/>
                <w:sz w:val="18"/>
                <w:szCs w:val="18"/>
                <w:lang w:eastAsia="zh-CN" w:bidi="ar"/>
              </w:rPr>
              <w:t>Week</w:t>
            </w:r>
          </w:p>
        </w:tc>
        <w:tc>
          <w:tcPr>
            <w:tcW w:w="3687" w:type="dxa"/>
            <w:tcBorders>
              <w:top w:val="single" w:color="000000" w:sz="6" w:space="0"/>
              <w:left w:val="nil"/>
              <w:bottom w:val="single" w:color="000000" w:sz="4" w:space="0"/>
              <w:right w:val="nil"/>
            </w:tcBorders>
            <w:vAlign w:val="center"/>
          </w:tcPr>
          <w:p w14:paraId="5DCA7B6E">
            <w:pPr>
              <w:jc w:val="center"/>
              <w:rPr>
                <w:rFonts w:ascii="Times New Roman" w:hAnsi="Times New Roman" w:eastAsia="宋体" w:cs="Times New Roman"/>
                <w:sz w:val="18"/>
                <w:szCs w:val="18"/>
                <w:lang w:eastAsia="zh-CN"/>
              </w:rPr>
            </w:pPr>
            <w:r>
              <w:rPr>
                <w:rFonts w:ascii="Times New Roman" w:hAnsi="Times New Roman" w:eastAsia="宋体" w:cs="Times New Roman"/>
                <w:b/>
                <w:bCs/>
                <w:sz w:val="18"/>
                <w:szCs w:val="18"/>
                <w:lang w:eastAsia="zh-CN" w:bidi="ar"/>
              </w:rPr>
              <w:t>Milestones</w:t>
            </w:r>
          </w:p>
        </w:tc>
      </w:tr>
      <w:tr w14:paraId="4F6326A5">
        <w:tblPrEx>
          <w:tblCellMar>
            <w:top w:w="43" w:type="dxa"/>
            <w:left w:w="0" w:type="dxa"/>
            <w:bottom w:w="0" w:type="dxa"/>
            <w:right w:w="0" w:type="dxa"/>
          </w:tblCellMar>
        </w:tblPrEx>
        <w:trPr>
          <w:trHeight w:val="641" w:hRule="atLeast"/>
        </w:trPr>
        <w:tc>
          <w:tcPr>
            <w:tcW w:w="1609" w:type="dxa"/>
            <w:tcBorders>
              <w:top w:val="single" w:color="000000" w:sz="4" w:space="0"/>
              <w:left w:val="nil"/>
              <w:bottom w:val="nil"/>
              <w:right w:val="nil"/>
            </w:tcBorders>
            <w:vAlign w:val="center"/>
          </w:tcPr>
          <w:p w14:paraId="3A45A414">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W1–W2</w:t>
            </w:r>
          </w:p>
        </w:tc>
        <w:tc>
          <w:tcPr>
            <w:tcW w:w="3687" w:type="dxa"/>
            <w:tcBorders>
              <w:top w:val="single" w:color="000000" w:sz="4" w:space="0"/>
              <w:left w:val="nil"/>
              <w:bottom w:val="nil"/>
              <w:right w:val="nil"/>
            </w:tcBorders>
            <w:vAlign w:val="center"/>
          </w:tcPr>
          <w:p w14:paraId="1CB463BE">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Data governance; mappings; filters validated; pilot seeds</w:t>
            </w:r>
          </w:p>
        </w:tc>
      </w:tr>
      <w:tr w14:paraId="23DE159E">
        <w:tblPrEx>
          <w:tblCellMar>
            <w:top w:w="43" w:type="dxa"/>
            <w:left w:w="0" w:type="dxa"/>
            <w:bottom w:w="0" w:type="dxa"/>
            <w:right w:w="0" w:type="dxa"/>
          </w:tblCellMar>
        </w:tblPrEx>
        <w:trPr>
          <w:trHeight w:val="503" w:hRule="atLeast"/>
        </w:trPr>
        <w:tc>
          <w:tcPr>
            <w:tcW w:w="1609" w:type="dxa"/>
            <w:tcBorders>
              <w:top w:val="nil"/>
              <w:left w:val="nil"/>
              <w:bottom w:val="nil"/>
              <w:right w:val="nil"/>
            </w:tcBorders>
            <w:vAlign w:val="center"/>
          </w:tcPr>
          <w:p w14:paraId="29CE71BE">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W3</w:t>
            </w:r>
          </w:p>
        </w:tc>
        <w:tc>
          <w:tcPr>
            <w:tcW w:w="3687" w:type="dxa"/>
            <w:tcBorders>
              <w:top w:val="nil"/>
              <w:left w:val="nil"/>
              <w:bottom w:val="nil"/>
              <w:right w:val="nil"/>
            </w:tcBorders>
            <w:vAlign w:val="center"/>
          </w:tcPr>
          <w:p w14:paraId="6FEE4BC7">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Exit</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A (stability) decision</w:t>
            </w:r>
          </w:p>
        </w:tc>
      </w:tr>
      <w:tr w14:paraId="78CDDA03">
        <w:tblPrEx>
          <w:tblCellMar>
            <w:top w:w="43" w:type="dxa"/>
            <w:left w:w="0" w:type="dxa"/>
            <w:bottom w:w="0" w:type="dxa"/>
            <w:right w:w="0" w:type="dxa"/>
          </w:tblCellMar>
        </w:tblPrEx>
        <w:trPr>
          <w:trHeight w:val="503" w:hRule="atLeast"/>
        </w:trPr>
        <w:tc>
          <w:tcPr>
            <w:tcW w:w="1609" w:type="dxa"/>
            <w:tcBorders>
              <w:top w:val="nil"/>
              <w:left w:val="nil"/>
              <w:bottom w:val="nil"/>
              <w:right w:val="nil"/>
            </w:tcBorders>
            <w:vAlign w:val="center"/>
          </w:tcPr>
          <w:p w14:paraId="19F01FD9">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W4</w:t>
            </w:r>
          </w:p>
        </w:tc>
        <w:tc>
          <w:tcPr>
            <w:tcW w:w="3687" w:type="dxa"/>
            <w:tcBorders>
              <w:top w:val="nil"/>
              <w:left w:val="nil"/>
              <w:bottom w:val="nil"/>
              <w:right w:val="nil"/>
            </w:tcBorders>
            <w:vAlign w:val="center"/>
          </w:tcPr>
          <w:p w14:paraId="2C028C51">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Exit</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B (champions) + CD plots</w:t>
            </w:r>
          </w:p>
        </w:tc>
      </w:tr>
      <w:tr w14:paraId="67F6BBF4">
        <w:tblPrEx>
          <w:tblCellMar>
            <w:top w:w="43" w:type="dxa"/>
            <w:left w:w="0" w:type="dxa"/>
            <w:bottom w:w="0" w:type="dxa"/>
            <w:right w:w="0" w:type="dxa"/>
          </w:tblCellMar>
        </w:tblPrEx>
        <w:trPr>
          <w:trHeight w:val="598" w:hRule="atLeast"/>
        </w:trPr>
        <w:tc>
          <w:tcPr>
            <w:tcW w:w="1609" w:type="dxa"/>
            <w:tcBorders>
              <w:top w:val="nil"/>
              <w:left w:val="nil"/>
              <w:bottom w:val="nil"/>
              <w:right w:val="nil"/>
            </w:tcBorders>
            <w:vAlign w:val="center"/>
          </w:tcPr>
          <w:p w14:paraId="0C319616">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W5–W6</w:t>
            </w:r>
          </w:p>
        </w:tc>
        <w:tc>
          <w:tcPr>
            <w:tcW w:w="3687" w:type="dxa"/>
            <w:tcBorders>
              <w:top w:val="nil"/>
              <w:left w:val="nil"/>
              <w:bottom w:val="nil"/>
              <w:right w:val="nil"/>
            </w:tcBorders>
            <w:vAlign w:val="center"/>
          </w:tcPr>
          <w:p w14:paraId="65577A2B">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Exit</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C (transfer); F1–label</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rate curves</w:t>
            </w:r>
          </w:p>
        </w:tc>
      </w:tr>
      <w:tr w14:paraId="1798016F">
        <w:tblPrEx>
          <w:tblCellMar>
            <w:top w:w="43" w:type="dxa"/>
            <w:left w:w="0" w:type="dxa"/>
            <w:bottom w:w="0" w:type="dxa"/>
            <w:right w:w="0" w:type="dxa"/>
          </w:tblCellMar>
        </w:tblPrEx>
        <w:trPr>
          <w:trHeight w:val="598" w:hRule="atLeast"/>
        </w:trPr>
        <w:tc>
          <w:tcPr>
            <w:tcW w:w="1609" w:type="dxa"/>
            <w:tcBorders>
              <w:top w:val="nil"/>
              <w:left w:val="nil"/>
              <w:bottom w:val="nil"/>
              <w:right w:val="nil"/>
            </w:tcBorders>
            <w:vAlign w:val="center"/>
          </w:tcPr>
          <w:p w14:paraId="7F9574E6">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W7</w:t>
            </w:r>
          </w:p>
        </w:tc>
        <w:tc>
          <w:tcPr>
            <w:tcW w:w="3687" w:type="dxa"/>
            <w:tcBorders>
              <w:top w:val="nil"/>
              <w:left w:val="nil"/>
              <w:bottom w:val="nil"/>
              <w:right w:val="nil"/>
            </w:tcBorders>
            <w:vAlign w:val="center"/>
          </w:tcPr>
          <w:p w14:paraId="23B2A606">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Calibration pack + threshold; APS policy</w:t>
            </w:r>
          </w:p>
        </w:tc>
      </w:tr>
      <w:tr w14:paraId="3723C7A2">
        <w:tblPrEx>
          <w:tblCellMar>
            <w:top w:w="43" w:type="dxa"/>
            <w:left w:w="0" w:type="dxa"/>
            <w:bottom w:w="0" w:type="dxa"/>
            <w:right w:w="0" w:type="dxa"/>
          </w:tblCellMar>
        </w:tblPrEx>
        <w:trPr>
          <w:trHeight w:val="598" w:hRule="atLeast"/>
        </w:trPr>
        <w:tc>
          <w:tcPr>
            <w:tcW w:w="1609" w:type="dxa"/>
            <w:tcBorders>
              <w:top w:val="nil"/>
              <w:left w:val="nil"/>
              <w:bottom w:val="nil"/>
              <w:right w:val="nil"/>
            </w:tcBorders>
            <w:vAlign w:val="center"/>
          </w:tcPr>
          <w:p w14:paraId="3D7BBD37">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W8</w:t>
            </w:r>
          </w:p>
        </w:tc>
        <w:tc>
          <w:tcPr>
            <w:tcW w:w="3687" w:type="dxa"/>
            <w:tcBorders>
              <w:top w:val="nil"/>
              <w:left w:val="nil"/>
              <w:bottom w:val="nil"/>
              <w:right w:val="nil"/>
            </w:tcBorders>
            <w:vAlign w:val="center"/>
          </w:tcPr>
          <w:p w14:paraId="4F16C22B">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Energy/Sampling/INT8; external</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meter spot</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checks</w:t>
            </w:r>
          </w:p>
        </w:tc>
      </w:tr>
      <w:tr w14:paraId="040B5CF0">
        <w:tblPrEx>
          <w:tblCellMar>
            <w:top w:w="43" w:type="dxa"/>
            <w:left w:w="0" w:type="dxa"/>
            <w:bottom w:w="0" w:type="dxa"/>
            <w:right w:w="0" w:type="dxa"/>
          </w:tblCellMar>
        </w:tblPrEx>
        <w:trPr>
          <w:trHeight w:val="598" w:hRule="atLeast"/>
        </w:trPr>
        <w:tc>
          <w:tcPr>
            <w:tcW w:w="1609" w:type="dxa"/>
            <w:tcBorders>
              <w:top w:val="nil"/>
              <w:left w:val="nil"/>
              <w:bottom w:val="nil"/>
              <w:right w:val="nil"/>
            </w:tcBorders>
            <w:vAlign w:val="center"/>
          </w:tcPr>
          <w:p w14:paraId="72AE6DC9">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W9</w:t>
            </w:r>
          </w:p>
        </w:tc>
        <w:tc>
          <w:tcPr>
            <w:tcW w:w="3687" w:type="dxa"/>
            <w:tcBorders>
              <w:top w:val="nil"/>
              <w:left w:val="nil"/>
              <w:bottom w:val="nil"/>
              <w:right w:val="nil"/>
            </w:tcBorders>
            <w:vAlign w:val="center"/>
          </w:tcPr>
          <w:p w14:paraId="28B6B35A">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OOD/robustness; selective</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then</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APS tuning; stats packaging</w:t>
            </w:r>
          </w:p>
        </w:tc>
      </w:tr>
      <w:tr w14:paraId="350195A8">
        <w:tblPrEx>
          <w:tblCellMar>
            <w:top w:w="43" w:type="dxa"/>
            <w:left w:w="0" w:type="dxa"/>
            <w:bottom w:w="0" w:type="dxa"/>
            <w:right w:w="0" w:type="dxa"/>
          </w:tblCellMar>
        </w:tblPrEx>
        <w:trPr>
          <w:trHeight w:val="598" w:hRule="atLeast"/>
        </w:trPr>
        <w:tc>
          <w:tcPr>
            <w:tcW w:w="1609" w:type="dxa"/>
            <w:tcBorders>
              <w:top w:val="nil"/>
              <w:left w:val="nil"/>
              <w:bottom w:val="single" w:color="000000" w:sz="6" w:space="0"/>
              <w:right w:val="nil"/>
            </w:tcBorders>
            <w:vAlign w:val="center"/>
          </w:tcPr>
          <w:p w14:paraId="42F9237A">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W10</w:t>
            </w:r>
          </w:p>
        </w:tc>
        <w:tc>
          <w:tcPr>
            <w:tcW w:w="3687" w:type="dxa"/>
            <w:tcBorders>
              <w:top w:val="nil"/>
              <w:left w:val="nil"/>
              <w:bottom w:val="single" w:color="000000" w:sz="6" w:space="0"/>
              <w:right w:val="nil"/>
            </w:tcBorders>
            <w:vAlign w:val="center"/>
          </w:tcPr>
          <w:p w14:paraId="6AD2D350">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Release bundle (cards, logs, lockfile, Docker, commit hash)</w:t>
            </w:r>
          </w:p>
        </w:tc>
      </w:tr>
    </w:tbl>
    <w:p w14:paraId="18D70F99">
      <w:pPr>
        <w:pStyle w:val="2"/>
        <w:spacing w:before="196" w:line="344" w:lineRule="auto"/>
        <w:ind w:right="54"/>
        <w:rPr>
          <w:rFonts w:eastAsia="宋体"/>
        </w:rPr>
      </w:pPr>
    </w:p>
    <w:p w14:paraId="0D7E1197">
      <w:pPr>
        <w:pStyle w:val="2"/>
        <w:spacing w:before="196" w:line="344" w:lineRule="auto"/>
        <w:ind w:right="54"/>
        <w:rPr>
          <w:rFonts w:eastAsia="宋体"/>
        </w:rPr>
      </w:pPr>
    </w:p>
    <w:p w14:paraId="38757964">
      <w:pPr>
        <w:pStyle w:val="2"/>
        <w:spacing w:before="196" w:line="344" w:lineRule="auto"/>
        <w:ind w:left="364" w:right="54" w:hanging="368" w:hangingChars="200"/>
        <w:jc w:val="center"/>
        <w:rPr>
          <w:sz w:val="18"/>
          <w:szCs w:val="18"/>
        </w:rPr>
      </w:pPr>
      <w:r>
        <w:rPr>
          <w:color w:val="231F20"/>
          <w:spacing w:val="2"/>
          <w:sz w:val="18"/>
          <w:szCs w:val="18"/>
        </w:rPr>
        <w:t>TABLE</w:t>
      </w:r>
      <w:r>
        <w:rPr>
          <w:color w:val="231F20"/>
          <w:spacing w:val="20"/>
          <w:w w:val="102"/>
          <w:sz w:val="18"/>
          <w:szCs w:val="18"/>
        </w:rPr>
        <w:t xml:space="preserve"> </w:t>
      </w:r>
      <w:r>
        <w:rPr>
          <w:rFonts w:hint="eastAsia" w:eastAsia="宋体"/>
          <w:color w:val="231F20"/>
          <w:spacing w:val="20"/>
          <w:w w:val="102"/>
          <w:sz w:val="18"/>
          <w:szCs w:val="18"/>
          <w:lang w:eastAsia="zh-CN"/>
        </w:rPr>
        <w:t>4</w:t>
      </w:r>
      <w:r>
        <w:rPr>
          <w:color w:val="231F20"/>
          <w:spacing w:val="2"/>
          <w:sz w:val="18"/>
          <w:szCs w:val="18"/>
        </w:rPr>
        <w:t>.</w:t>
      </w:r>
      <w:r>
        <w:rPr>
          <w:color w:val="231F20"/>
          <w:spacing w:val="10"/>
          <w:w w:val="102"/>
          <w:sz w:val="18"/>
          <w:szCs w:val="18"/>
        </w:rPr>
        <w:t xml:space="preserve"> </w:t>
      </w:r>
      <w:r>
        <w:rPr>
          <w:rFonts w:hint="eastAsia"/>
          <w:color w:val="231F20"/>
          <w:spacing w:val="2"/>
          <w:sz w:val="18"/>
          <w:szCs w:val="18"/>
        </w:rPr>
        <w:t>Risk register</w:t>
      </w:r>
    </w:p>
    <w:tbl>
      <w:tblPr>
        <w:tblStyle w:val="10"/>
        <w:tblpPr w:leftFromText="180" w:rightFromText="180" w:vertAnchor="text" w:horzAnchor="page" w:tblpX="1534" w:tblpY="23"/>
        <w:tblOverlap w:val="never"/>
        <w:tblW w:w="9296" w:type="dxa"/>
        <w:tblInd w:w="0" w:type="dxa"/>
        <w:tblLayout w:type="autofit"/>
        <w:tblCellMar>
          <w:top w:w="43" w:type="dxa"/>
          <w:left w:w="0" w:type="dxa"/>
          <w:bottom w:w="0" w:type="dxa"/>
          <w:right w:w="0" w:type="dxa"/>
        </w:tblCellMar>
      </w:tblPr>
      <w:tblGrid>
        <w:gridCol w:w="1212"/>
        <w:gridCol w:w="2779"/>
        <w:gridCol w:w="1697"/>
        <w:gridCol w:w="1804"/>
        <w:gridCol w:w="1804"/>
      </w:tblGrid>
      <w:tr w14:paraId="1EF6090C">
        <w:tblPrEx>
          <w:tblCellMar>
            <w:top w:w="43" w:type="dxa"/>
            <w:left w:w="0" w:type="dxa"/>
            <w:bottom w:w="0" w:type="dxa"/>
            <w:right w:w="0" w:type="dxa"/>
          </w:tblCellMar>
        </w:tblPrEx>
        <w:trPr>
          <w:trHeight w:val="699" w:hRule="atLeast"/>
        </w:trPr>
        <w:tc>
          <w:tcPr>
            <w:tcW w:w="1212" w:type="dxa"/>
            <w:tcBorders>
              <w:top w:val="single" w:color="000000" w:sz="6" w:space="0"/>
              <w:left w:val="nil"/>
              <w:bottom w:val="single" w:color="000000" w:sz="4" w:space="0"/>
              <w:right w:val="nil"/>
            </w:tcBorders>
            <w:vAlign w:val="center"/>
          </w:tcPr>
          <w:p w14:paraId="0DBEB943">
            <w:pPr>
              <w:jc w:val="center"/>
              <w:rPr>
                <w:rFonts w:ascii="Times New Roman" w:hAnsi="Times New Roman" w:eastAsia="宋体" w:cs="Times New Roman"/>
                <w:sz w:val="18"/>
                <w:szCs w:val="18"/>
                <w:lang w:eastAsia="zh-CN"/>
              </w:rPr>
            </w:pPr>
            <w:r>
              <w:rPr>
                <w:rFonts w:ascii="Times New Roman" w:hAnsi="Times New Roman" w:eastAsia="宋体" w:cs="Times New Roman"/>
                <w:b/>
                <w:bCs/>
                <w:sz w:val="18"/>
                <w:szCs w:val="18"/>
                <w:lang w:eastAsia="zh-CN" w:bidi="ar"/>
              </w:rPr>
              <w:t>Risk</w:t>
            </w:r>
          </w:p>
        </w:tc>
        <w:tc>
          <w:tcPr>
            <w:tcW w:w="2779" w:type="dxa"/>
            <w:tcBorders>
              <w:top w:val="single" w:color="000000" w:sz="6" w:space="0"/>
              <w:left w:val="nil"/>
              <w:bottom w:val="single" w:color="000000" w:sz="4" w:space="0"/>
              <w:right w:val="nil"/>
            </w:tcBorders>
            <w:vAlign w:val="center"/>
          </w:tcPr>
          <w:p w14:paraId="68D60133">
            <w:pPr>
              <w:jc w:val="center"/>
              <w:rPr>
                <w:rFonts w:ascii="Times New Roman" w:hAnsi="Times New Roman" w:eastAsia="宋体" w:cs="Times New Roman"/>
                <w:sz w:val="18"/>
                <w:szCs w:val="18"/>
                <w:lang w:eastAsia="zh-CN"/>
              </w:rPr>
            </w:pPr>
            <w:r>
              <w:rPr>
                <w:rFonts w:ascii="Times New Roman" w:hAnsi="Times New Roman" w:eastAsia="宋体" w:cs="Times New Roman"/>
                <w:b/>
                <w:bCs/>
                <w:sz w:val="18"/>
                <w:szCs w:val="18"/>
                <w:lang w:eastAsia="zh-CN" w:bidi="ar"/>
              </w:rPr>
              <w:t>Trigger</w:t>
            </w:r>
          </w:p>
        </w:tc>
        <w:tc>
          <w:tcPr>
            <w:tcW w:w="1697" w:type="dxa"/>
            <w:tcBorders>
              <w:top w:val="single" w:color="000000" w:sz="6" w:space="0"/>
              <w:left w:val="nil"/>
              <w:bottom w:val="single" w:color="000000" w:sz="4" w:space="0"/>
              <w:right w:val="nil"/>
            </w:tcBorders>
            <w:vAlign w:val="center"/>
          </w:tcPr>
          <w:p w14:paraId="74F8F4C4">
            <w:pPr>
              <w:jc w:val="center"/>
              <w:rPr>
                <w:rFonts w:ascii="Times New Roman" w:hAnsi="Times New Roman" w:cs="Times New Roman"/>
                <w:sz w:val="18"/>
                <w:szCs w:val="18"/>
              </w:rPr>
            </w:pPr>
            <w:r>
              <w:rPr>
                <w:rFonts w:ascii="Times New Roman" w:hAnsi="Times New Roman" w:eastAsia="宋体" w:cs="Times New Roman"/>
                <w:b/>
                <w:bCs/>
                <w:sz w:val="18"/>
                <w:szCs w:val="18"/>
                <w:lang w:eastAsia="zh-CN" w:bidi="ar"/>
              </w:rPr>
              <w:t>Impact</w:t>
            </w:r>
          </w:p>
        </w:tc>
        <w:tc>
          <w:tcPr>
            <w:tcW w:w="1804" w:type="dxa"/>
            <w:tcBorders>
              <w:top w:val="single" w:color="000000" w:sz="6" w:space="0"/>
              <w:left w:val="nil"/>
              <w:bottom w:val="single" w:color="000000" w:sz="4" w:space="0"/>
              <w:right w:val="nil"/>
            </w:tcBorders>
            <w:vAlign w:val="center"/>
          </w:tcPr>
          <w:p w14:paraId="0DD2EAFB">
            <w:pPr>
              <w:jc w:val="center"/>
              <w:rPr>
                <w:rFonts w:ascii="Times New Roman" w:hAnsi="Times New Roman" w:cs="Times New Roman"/>
                <w:b/>
                <w:sz w:val="18"/>
                <w:szCs w:val="18"/>
              </w:rPr>
            </w:pPr>
            <w:r>
              <w:rPr>
                <w:rFonts w:ascii="Times New Roman" w:hAnsi="Times New Roman" w:eastAsia="宋体" w:cs="Times New Roman"/>
                <w:b/>
                <w:bCs/>
                <w:sz w:val="18"/>
                <w:szCs w:val="18"/>
                <w:lang w:eastAsia="zh-CN" w:bidi="ar"/>
              </w:rPr>
              <w:t>Mitigation</w:t>
            </w:r>
          </w:p>
        </w:tc>
        <w:tc>
          <w:tcPr>
            <w:tcW w:w="1804" w:type="dxa"/>
            <w:tcBorders>
              <w:top w:val="single" w:color="000000" w:sz="6" w:space="0"/>
              <w:left w:val="nil"/>
              <w:bottom w:val="single" w:color="000000" w:sz="4" w:space="0"/>
              <w:right w:val="nil"/>
            </w:tcBorders>
            <w:vAlign w:val="center"/>
          </w:tcPr>
          <w:p w14:paraId="6F8D68B0">
            <w:pPr>
              <w:jc w:val="center"/>
              <w:rPr>
                <w:rFonts w:ascii="Times New Roman" w:hAnsi="Times New Roman" w:eastAsia="宋体" w:cs="Times New Roman"/>
                <w:b/>
                <w:bCs/>
                <w:sz w:val="18"/>
                <w:szCs w:val="18"/>
                <w:lang w:eastAsia="zh-CN" w:bidi="ar"/>
              </w:rPr>
            </w:pPr>
            <w:r>
              <w:rPr>
                <w:rFonts w:ascii="Times New Roman" w:hAnsi="Times New Roman" w:eastAsia="宋体" w:cs="Times New Roman"/>
                <w:b/>
                <w:bCs/>
                <w:sz w:val="18"/>
                <w:szCs w:val="18"/>
                <w:lang w:eastAsia="zh-CN" w:bidi="ar"/>
              </w:rPr>
              <w:t>Residual</w:t>
            </w:r>
          </w:p>
        </w:tc>
      </w:tr>
      <w:tr w14:paraId="368AB3AA">
        <w:tblPrEx>
          <w:tblCellMar>
            <w:top w:w="43" w:type="dxa"/>
            <w:left w:w="0" w:type="dxa"/>
            <w:bottom w:w="0" w:type="dxa"/>
            <w:right w:w="0" w:type="dxa"/>
          </w:tblCellMar>
        </w:tblPrEx>
        <w:trPr>
          <w:trHeight w:val="637" w:hRule="atLeast"/>
        </w:trPr>
        <w:tc>
          <w:tcPr>
            <w:tcW w:w="1212" w:type="dxa"/>
            <w:tcBorders>
              <w:top w:val="single" w:color="000000" w:sz="4" w:space="0"/>
              <w:left w:val="nil"/>
              <w:bottom w:val="nil"/>
              <w:right w:val="nil"/>
            </w:tcBorders>
            <w:vAlign w:val="center"/>
          </w:tcPr>
          <w:p w14:paraId="5FC5D46B">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Energy telemetry drift</w:t>
            </w:r>
          </w:p>
        </w:tc>
        <w:tc>
          <w:tcPr>
            <w:tcW w:w="2779" w:type="dxa"/>
            <w:tcBorders>
              <w:top w:val="single" w:color="000000" w:sz="4" w:space="0"/>
              <w:left w:val="nil"/>
              <w:bottom w:val="nil"/>
              <w:right w:val="nil"/>
            </w:tcBorders>
            <w:vAlign w:val="center"/>
          </w:tcPr>
          <w:p w14:paraId="4372FC84">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Thermal throttling/background tasks</w:t>
            </w:r>
          </w:p>
        </w:tc>
        <w:tc>
          <w:tcPr>
            <w:tcW w:w="1697" w:type="dxa"/>
            <w:tcBorders>
              <w:top w:val="single" w:color="000000" w:sz="4" w:space="0"/>
              <w:left w:val="nil"/>
              <w:bottom w:val="nil"/>
              <w:right w:val="nil"/>
            </w:tcBorders>
            <w:vAlign w:val="center"/>
          </w:tcPr>
          <w:p w14:paraId="2D4E2028">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Biased energy</w:t>
            </w:r>
          </w:p>
        </w:tc>
        <w:tc>
          <w:tcPr>
            <w:tcW w:w="1804" w:type="dxa"/>
            <w:tcBorders>
              <w:top w:val="single" w:color="000000" w:sz="4" w:space="0"/>
              <w:left w:val="nil"/>
              <w:bottom w:val="nil"/>
              <w:right w:val="nil"/>
            </w:tcBorders>
            <w:vAlign w:val="center"/>
          </w:tcPr>
          <w:p w14:paraId="29346DF5">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Interleaving; MAD filter; cold/warm runs; USB</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meter spot</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check</w:t>
            </w:r>
          </w:p>
        </w:tc>
        <w:tc>
          <w:tcPr>
            <w:tcW w:w="1804" w:type="dxa"/>
            <w:tcBorders>
              <w:top w:val="single" w:color="000000" w:sz="4" w:space="0"/>
              <w:left w:val="nil"/>
              <w:bottom w:val="nil"/>
              <w:right w:val="nil"/>
            </w:tcBorders>
            <w:vAlign w:val="center"/>
          </w:tcPr>
          <w:p w14:paraId="5B6B1829">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Low–Med</w:t>
            </w:r>
          </w:p>
        </w:tc>
      </w:tr>
      <w:tr w14:paraId="7BA1D6B4">
        <w:tblPrEx>
          <w:tblCellMar>
            <w:top w:w="43" w:type="dxa"/>
            <w:left w:w="0" w:type="dxa"/>
            <w:bottom w:w="0" w:type="dxa"/>
            <w:right w:w="0" w:type="dxa"/>
          </w:tblCellMar>
        </w:tblPrEx>
        <w:trPr>
          <w:trHeight w:val="988" w:hRule="atLeast"/>
        </w:trPr>
        <w:tc>
          <w:tcPr>
            <w:tcW w:w="1212" w:type="dxa"/>
            <w:tcBorders>
              <w:top w:val="nil"/>
              <w:left w:val="nil"/>
              <w:bottom w:val="nil"/>
              <w:right w:val="nil"/>
            </w:tcBorders>
            <w:vAlign w:val="center"/>
          </w:tcPr>
          <w:p w14:paraId="021B4146">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Taxonomy conflicts</w:t>
            </w:r>
          </w:p>
        </w:tc>
        <w:tc>
          <w:tcPr>
            <w:tcW w:w="2779" w:type="dxa"/>
            <w:tcBorders>
              <w:top w:val="nil"/>
              <w:left w:val="nil"/>
              <w:bottom w:val="nil"/>
              <w:right w:val="nil"/>
            </w:tcBorders>
            <w:vAlign w:val="center"/>
          </w:tcPr>
          <w:p w14:paraId="6AA3DCF7">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Non</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invertible mappings</w:t>
            </w:r>
          </w:p>
        </w:tc>
        <w:tc>
          <w:tcPr>
            <w:tcW w:w="1697" w:type="dxa"/>
            <w:tcBorders>
              <w:top w:val="nil"/>
              <w:left w:val="nil"/>
              <w:bottom w:val="nil"/>
              <w:right w:val="nil"/>
            </w:tcBorders>
            <w:vAlign w:val="center"/>
          </w:tcPr>
          <w:p w14:paraId="2B60D4F6">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Misleading transfer claims</w:t>
            </w:r>
          </w:p>
        </w:tc>
        <w:tc>
          <w:tcPr>
            <w:tcW w:w="1804" w:type="dxa"/>
            <w:tcBorders>
              <w:top w:val="nil"/>
              <w:left w:val="nil"/>
              <w:bottom w:val="nil"/>
              <w:right w:val="nil"/>
            </w:tcBorders>
            <w:vAlign w:val="center"/>
          </w:tcPr>
          <w:p w14:paraId="3CD6BB0F">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Dual metrics (aligned vs all</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class) + public scripts</w:t>
            </w:r>
          </w:p>
        </w:tc>
        <w:tc>
          <w:tcPr>
            <w:tcW w:w="1804" w:type="dxa"/>
            <w:tcBorders>
              <w:top w:val="nil"/>
              <w:left w:val="nil"/>
              <w:bottom w:val="nil"/>
              <w:right w:val="nil"/>
            </w:tcBorders>
            <w:vAlign w:val="center"/>
          </w:tcPr>
          <w:p w14:paraId="14D2F230">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Low</w:t>
            </w:r>
          </w:p>
        </w:tc>
      </w:tr>
      <w:tr w14:paraId="3C001BE6">
        <w:tblPrEx>
          <w:tblCellMar>
            <w:top w:w="43" w:type="dxa"/>
            <w:left w:w="0" w:type="dxa"/>
            <w:bottom w:w="0" w:type="dxa"/>
            <w:right w:w="0" w:type="dxa"/>
          </w:tblCellMar>
        </w:tblPrEx>
        <w:trPr>
          <w:trHeight w:val="608" w:hRule="atLeast"/>
        </w:trPr>
        <w:tc>
          <w:tcPr>
            <w:tcW w:w="1212" w:type="dxa"/>
            <w:tcBorders>
              <w:top w:val="nil"/>
              <w:left w:val="nil"/>
              <w:bottom w:val="nil"/>
              <w:right w:val="nil"/>
            </w:tcBorders>
            <w:vAlign w:val="center"/>
          </w:tcPr>
          <w:p w14:paraId="0AB6AB3C">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APS under</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coverage</w:t>
            </w:r>
          </w:p>
        </w:tc>
        <w:tc>
          <w:tcPr>
            <w:tcW w:w="2779" w:type="dxa"/>
            <w:tcBorders>
              <w:top w:val="nil"/>
              <w:left w:val="nil"/>
              <w:bottom w:val="nil"/>
              <w:right w:val="nil"/>
            </w:tcBorders>
            <w:vAlign w:val="center"/>
          </w:tcPr>
          <w:p w14:paraId="1CD3C962">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Coverage &lt; 85%</w:t>
            </w:r>
          </w:p>
        </w:tc>
        <w:tc>
          <w:tcPr>
            <w:tcW w:w="1697" w:type="dxa"/>
            <w:tcBorders>
              <w:top w:val="nil"/>
              <w:left w:val="nil"/>
              <w:bottom w:val="nil"/>
              <w:right w:val="nil"/>
            </w:tcBorders>
            <w:vAlign w:val="center"/>
          </w:tcPr>
          <w:p w14:paraId="03E16B01">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Safety risk</w:t>
            </w:r>
          </w:p>
        </w:tc>
        <w:tc>
          <w:tcPr>
            <w:tcW w:w="1804" w:type="dxa"/>
            <w:tcBorders>
              <w:top w:val="nil"/>
              <w:left w:val="nil"/>
              <w:bottom w:val="nil"/>
              <w:right w:val="nil"/>
            </w:tcBorders>
            <w:vAlign w:val="center"/>
          </w:tcPr>
          <w:p w14:paraId="79D2B3E4">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 xml:space="preserve">Switch to </w:t>
            </w:r>
            <w:r>
              <w:rPr>
                <w:rStyle w:val="5"/>
                <w:rFonts w:ascii="Times New Roman" w:hAnsi="Times New Roman" w:eastAsia="宋体" w:cs="Times New Roman"/>
                <w:sz w:val="18"/>
                <w:szCs w:val="18"/>
                <w:lang w:eastAsia="zh-CN" w:bidi="ar"/>
              </w:rPr>
              <w:t>Mondrian APS</w:t>
            </w:r>
            <w:r>
              <w:rPr>
                <w:rFonts w:ascii="Times New Roman" w:hAnsi="Times New Roman" w:eastAsia="宋体" w:cs="Times New Roman"/>
                <w:sz w:val="18"/>
                <w:szCs w:val="18"/>
                <w:lang w:eastAsia="zh-CN" w:bidi="ar"/>
              </w:rPr>
              <w:t>; widen calibration; report mean set size</w:t>
            </w:r>
          </w:p>
        </w:tc>
        <w:tc>
          <w:tcPr>
            <w:tcW w:w="1804" w:type="dxa"/>
            <w:tcBorders>
              <w:top w:val="nil"/>
              <w:left w:val="nil"/>
              <w:bottom w:val="nil"/>
              <w:right w:val="nil"/>
            </w:tcBorders>
            <w:vAlign w:val="center"/>
          </w:tcPr>
          <w:p w14:paraId="234C2A51">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Low</w:t>
            </w:r>
          </w:p>
        </w:tc>
      </w:tr>
      <w:tr w14:paraId="5E9E7D2F">
        <w:tblPrEx>
          <w:tblCellMar>
            <w:top w:w="43" w:type="dxa"/>
            <w:left w:w="0" w:type="dxa"/>
            <w:bottom w:w="0" w:type="dxa"/>
            <w:right w:w="0" w:type="dxa"/>
          </w:tblCellMar>
        </w:tblPrEx>
        <w:trPr>
          <w:trHeight w:val="608" w:hRule="atLeast"/>
        </w:trPr>
        <w:tc>
          <w:tcPr>
            <w:tcW w:w="1212" w:type="dxa"/>
            <w:tcBorders>
              <w:top w:val="nil"/>
              <w:left w:val="nil"/>
              <w:bottom w:val="nil"/>
              <w:right w:val="nil"/>
            </w:tcBorders>
            <w:vAlign w:val="center"/>
          </w:tcPr>
          <w:p w14:paraId="6B3B226A">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Time overrun</w:t>
            </w:r>
          </w:p>
        </w:tc>
        <w:tc>
          <w:tcPr>
            <w:tcW w:w="2779" w:type="dxa"/>
            <w:tcBorders>
              <w:top w:val="nil"/>
              <w:left w:val="nil"/>
              <w:bottom w:val="nil"/>
              <w:right w:val="nil"/>
            </w:tcBorders>
            <w:vAlign w:val="center"/>
          </w:tcPr>
          <w:p w14:paraId="56A430DF">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Model grid too large</w:t>
            </w:r>
          </w:p>
        </w:tc>
        <w:tc>
          <w:tcPr>
            <w:tcW w:w="1697" w:type="dxa"/>
            <w:tcBorders>
              <w:top w:val="nil"/>
              <w:left w:val="nil"/>
              <w:bottom w:val="nil"/>
              <w:right w:val="nil"/>
            </w:tcBorders>
            <w:vAlign w:val="center"/>
          </w:tcPr>
          <w:p w14:paraId="73F3B84B">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Scope creep</w:t>
            </w:r>
          </w:p>
        </w:tc>
        <w:tc>
          <w:tcPr>
            <w:tcW w:w="1804" w:type="dxa"/>
            <w:tcBorders>
              <w:top w:val="nil"/>
              <w:left w:val="nil"/>
              <w:bottom w:val="nil"/>
              <w:right w:val="nil"/>
            </w:tcBorders>
            <w:vAlign w:val="center"/>
          </w:tcPr>
          <w:p w14:paraId="67F21AEB">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Gate</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based pruning to champions only</w:t>
            </w:r>
          </w:p>
        </w:tc>
        <w:tc>
          <w:tcPr>
            <w:tcW w:w="1804" w:type="dxa"/>
            <w:tcBorders>
              <w:top w:val="nil"/>
              <w:left w:val="nil"/>
              <w:bottom w:val="nil"/>
              <w:right w:val="nil"/>
            </w:tcBorders>
            <w:vAlign w:val="center"/>
          </w:tcPr>
          <w:p w14:paraId="4DFF8502">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Low</w:t>
            </w:r>
          </w:p>
        </w:tc>
      </w:tr>
    </w:tbl>
    <w:p w14:paraId="01355DA7">
      <w:pPr>
        <w:pStyle w:val="2"/>
        <w:spacing w:before="198" w:line="344" w:lineRule="auto"/>
        <w:rPr>
          <w:sz w:val="24"/>
          <w:szCs w:val="24"/>
        </w:rPr>
      </w:pPr>
    </w:p>
    <w:p w14:paraId="77568085">
      <w:pPr>
        <w:pStyle w:val="2"/>
        <w:spacing w:before="196" w:line="344" w:lineRule="auto"/>
        <w:ind w:left="364" w:right="54" w:hanging="368" w:hangingChars="200"/>
        <w:jc w:val="center"/>
        <w:rPr>
          <w:sz w:val="24"/>
          <w:szCs w:val="24"/>
        </w:rPr>
      </w:pPr>
      <w:r>
        <w:rPr>
          <w:color w:val="231F20"/>
          <w:spacing w:val="2"/>
          <w:sz w:val="18"/>
          <w:szCs w:val="18"/>
        </w:rPr>
        <w:t>TABLE</w:t>
      </w:r>
      <w:r>
        <w:rPr>
          <w:color w:val="231F20"/>
          <w:spacing w:val="20"/>
          <w:w w:val="102"/>
          <w:sz w:val="18"/>
          <w:szCs w:val="18"/>
        </w:rPr>
        <w:t xml:space="preserve"> </w:t>
      </w:r>
      <w:r>
        <w:rPr>
          <w:rFonts w:hint="eastAsia" w:eastAsia="宋体"/>
          <w:color w:val="231F20"/>
          <w:spacing w:val="20"/>
          <w:w w:val="102"/>
          <w:sz w:val="18"/>
          <w:szCs w:val="18"/>
          <w:lang w:eastAsia="zh-CN"/>
        </w:rPr>
        <w:t>5</w:t>
      </w:r>
      <w:r>
        <w:rPr>
          <w:color w:val="231F20"/>
          <w:spacing w:val="2"/>
          <w:sz w:val="18"/>
          <w:szCs w:val="18"/>
        </w:rPr>
        <w:t>.</w:t>
      </w:r>
      <w:r>
        <w:rPr>
          <w:color w:val="231F20"/>
          <w:spacing w:val="10"/>
          <w:w w:val="102"/>
          <w:sz w:val="18"/>
          <w:szCs w:val="18"/>
        </w:rPr>
        <w:t xml:space="preserve"> </w:t>
      </w:r>
      <w:r>
        <w:rPr>
          <w:rFonts w:hint="eastAsia"/>
          <w:color w:val="231F20"/>
          <w:spacing w:val="2"/>
          <w:sz w:val="18"/>
          <w:szCs w:val="18"/>
        </w:rPr>
        <w:t>Domain‑shift factors (diagnosis → mitigation)</w:t>
      </w:r>
    </w:p>
    <w:tbl>
      <w:tblPr>
        <w:tblStyle w:val="10"/>
        <w:tblpPr w:leftFromText="180" w:rightFromText="180" w:vertAnchor="text" w:horzAnchor="page" w:tblpX="1534" w:tblpY="23"/>
        <w:tblOverlap w:val="never"/>
        <w:tblW w:w="9941" w:type="dxa"/>
        <w:tblInd w:w="0" w:type="dxa"/>
        <w:tblLayout w:type="autofit"/>
        <w:tblCellMar>
          <w:top w:w="43" w:type="dxa"/>
          <w:left w:w="0" w:type="dxa"/>
          <w:bottom w:w="0" w:type="dxa"/>
          <w:right w:w="0" w:type="dxa"/>
        </w:tblCellMar>
      </w:tblPr>
      <w:tblGrid>
        <w:gridCol w:w="2119"/>
        <w:gridCol w:w="4857"/>
        <w:gridCol w:w="2965"/>
      </w:tblGrid>
      <w:tr w14:paraId="287DEE0B">
        <w:tblPrEx>
          <w:tblCellMar>
            <w:top w:w="43" w:type="dxa"/>
            <w:left w:w="0" w:type="dxa"/>
            <w:bottom w:w="0" w:type="dxa"/>
            <w:right w:w="0" w:type="dxa"/>
          </w:tblCellMar>
        </w:tblPrEx>
        <w:trPr>
          <w:trHeight w:val="704" w:hRule="atLeast"/>
        </w:trPr>
        <w:tc>
          <w:tcPr>
            <w:tcW w:w="2119" w:type="dxa"/>
            <w:tcBorders>
              <w:top w:val="single" w:color="000000" w:sz="6" w:space="0"/>
              <w:left w:val="nil"/>
              <w:bottom w:val="single" w:color="000000" w:sz="4" w:space="0"/>
              <w:right w:val="nil"/>
            </w:tcBorders>
            <w:vAlign w:val="center"/>
          </w:tcPr>
          <w:p w14:paraId="4C8D58A4">
            <w:pPr>
              <w:jc w:val="center"/>
              <w:rPr>
                <w:rFonts w:ascii="Times New Roman" w:hAnsi="Times New Roman" w:eastAsia="宋体" w:cs="Times New Roman"/>
                <w:sz w:val="18"/>
                <w:szCs w:val="18"/>
                <w:lang w:eastAsia="zh-CN"/>
              </w:rPr>
            </w:pPr>
            <w:r>
              <w:rPr>
                <w:rFonts w:ascii="Times New Roman" w:hAnsi="Times New Roman" w:eastAsia="宋体" w:cs="Times New Roman"/>
                <w:b/>
                <w:bCs/>
                <w:sz w:val="18"/>
                <w:szCs w:val="18"/>
                <w:lang w:eastAsia="zh-CN" w:bidi="ar"/>
              </w:rPr>
              <w:t>Factor</w:t>
            </w:r>
          </w:p>
        </w:tc>
        <w:tc>
          <w:tcPr>
            <w:tcW w:w="4857" w:type="dxa"/>
            <w:tcBorders>
              <w:top w:val="single" w:color="000000" w:sz="6" w:space="0"/>
              <w:left w:val="nil"/>
              <w:bottom w:val="single" w:color="000000" w:sz="4" w:space="0"/>
              <w:right w:val="nil"/>
            </w:tcBorders>
            <w:vAlign w:val="center"/>
          </w:tcPr>
          <w:p w14:paraId="658E675D">
            <w:pPr>
              <w:jc w:val="center"/>
              <w:rPr>
                <w:rFonts w:ascii="Times New Roman" w:hAnsi="Times New Roman" w:eastAsia="宋体" w:cs="Times New Roman"/>
                <w:sz w:val="18"/>
                <w:szCs w:val="18"/>
                <w:lang w:eastAsia="zh-CN"/>
              </w:rPr>
            </w:pPr>
            <w:r>
              <w:rPr>
                <w:rFonts w:ascii="Times New Roman" w:hAnsi="Times New Roman" w:eastAsia="宋体" w:cs="Times New Roman"/>
                <w:b/>
                <w:bCs/>
                <w:sz w:val="18"/>
                <w:szCs w:val="18"/>
                <w:lang w:eastAsia="zh-CN" w:bidi="ar"/>
              </w:rPr>
              <w:t>Evidence pattern</w:t>
            </w:r>
          </w:p>
        </w:tc>
        <w:tc>
          <w:tcPr>
            <w:tcW w:w="2965" w:type="dxa"/>
            <w:tcBorders>
              <w:top w:val="single" w:color="000000" w:sz="6" w:space="0"/>
              <w:left w:val="nil"/>
              <w:bottom w:val="single" w:color="000000" w:sz="4" w:space="0"/>
              <w:right w:val="nil"/>
            </w:tcBorders>
            <w:vAlign w:val="center"/>
          </w:tcPr>
          <w:p w14:paraId="2320482F">
            <w:pPr>
              <w:jc w:val="center"/>
              <w:rPr>
                <w:rFonts w:ascii="Times New Roman" w:hAnsi="Times New Roman" w:cs="Times New Roman"/>
                <w:sz w:val="18"/>
                <w:szCs w:val="18"/>
              </w:rPr>
            </w:pPr>
            <w:r>
              <w:rPr>
                <w:rFonts w:ascii="Times New Roman" w:hAnsi="Times New Roman" w:eastAsia="宋体" w:cs="Times New Roman"/>
                <w:b/>
                <w:bCs/>
                <w:sz w:val="18"/>
                <w:szCs w:val="18"/>
                <w:lang w:eastAsia="zh-CN" w:bidi="ar"/>
              </w:rPr>
              <w:t>Mitigation</w:t>
            </w:r>
          </w:p>
        </w:tc>
      </w:tr>
      <w:tr w14:paraId="3DD47ACA">
        <w:tblPrEx>
          <w:tblCellMar>
            <w:top w:w="43" w:type="dxa"/>
            <w:left w:w="0" w:type="dxa"/>
            <w:bottom w:w="0" w:type="dxa"/>
            <w:right w:w="0" w:type="dxa"/>
          </w:tblCellMar>
        </w:tblPrEx>
        <w:trPr>
          <w:trHeight w:val="641" w:hRule="atLeast"/>
        </w:trPr>
        <w:tc>
          <w:tcPr>
            <w:tcW w:w="2119" w:type="dxa"/>
            <w:tcBorders>
              <w:top w:val="single" w:color="000000" w:sz="4" w:space="0"/>
              <w:left w:val="nil"/>
              <w:bottom w:val="nil"/>
              <w:right w:val="nil"/>
            </w:tcBorders>
            <w:vAlign w:val="center"/>
          </w:tcPr>
          <w:p w14:paraId="0221F3F7">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Device/placement</w:t>
            </w:r>
          </w:p>
        </w:tc>
        <w:tc>
          <w:tcPr>
            <w:tcW w:w="4857" w:type="dxa"/>
            <w:tcBorders>
              <w:top w:val="single" w:color="000000" w:sz="4" w:space="0"/>
              <w:left w:val="nil"/>
              <w:bottom w:val="nil"/>
              <w:right w:val="nil"/>
            </w:tcBorders>
            <w:vAlign w:val="center"/>
          </w:tcPr>
          <w:p w14:paraId="6B9907A5">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Phones (SHL/RealWorld) vs body</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IMUs (DaLiAc)</w:t>
            </w:r>
          </w:p>
        </w:tc>
        <w:tc>
          <w:tcPr>
            <w:tcW w:w="2965" w:type="dxa"/>
            <w:tcBorders>
              <w:top w:val="single" w:color="000000" w:sz="4" w:space="0"/>
              <w:left w:val="nil"/>
              <w:bottom w:val="nil"/>
              <w:right w:val="nil"/>
            </w:tcBorders>
            <w:vAlign w:val="center"/>
          </w:tcPr>
          <w:p w14:paraId="68C738A2">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Axis harmonization; per</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subject z</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score; slice reporting. (</w:t>
            </w:r>
            <w:r>
              <w:fldChar w:fldCharType="begin"/>
            </w:r>
            <w:r>
              <w:instrText xml:space="preserve"> HYPERLINK "https://www.frontiersin.org/journals/computer-science/articles/10.3389/fcomp.2021.713719/full?utm_source=chatgpt.com" \o "Three-Year Review of the 2018–2020 SHL Challenge on ..." </w:instrText>
            </w:r>
            <w:r>
              <w:fldChar w:fldCharType="separate"/>
            </w:r>
            <w:r>
              <w:rPr>
                <w:rStyle w:val="8"/>
                <w:rFonts w:ascii="Times New Roman" w:hAnsi="Times New Roman" w:eastAsia="宋体" w:cs="Times New Roman"/>
                <w:sz w:val="18"/>
                <w:szCs w:val="18"/>
              </w:rPr>
              <w:t>Frontiers</w:t>
            </w:r>
            <w:r>
              <w:rPr>
                <w:rStyle w:val="8"/>
                <w:rFonts w:ascii="Times New Roman" w:hAnsi="Times New Roman" w:eastAsia="宋体" w:cs="Times New Roman"/>
                <w:sz w:val="18"/>
                <w:szCs w:val="18"/>
              </w:rPr>
              <w:fldChar w:fldCharType="end"/>
            </w:r>
            <w:r>
              <w:rPr>
                <w:rFonts w:ascii="Times New Roman" w:hAnsi="Times New Roman" w:eastAsia="宋体" w:cs="Times New Roman"/>
                <w:sz w:val="18"/>
                <w:szCs w:val="18"/>
                <w:lang w:eastAsia="zh-CN" w:bidi="ar"/>
              </w:rPr>
              <w:t>)</w:t>
            </w:r>
          </w:p>
        </w:tc>
      </w:tr>
      <w:tr w14:paraId="57919C88">
        <w:tblPrEx>
          <w:tblCellMar>
            <w:top w:w="43" w:type="dxa"/>
            <w:left w:w="0" w:type="dxa"/>
            <w:bottom w:w="0" w:type="dxa"/>
            <w:right w:w="0" w:type="dxa"/>
          </w:tblCellMar>
        </w:tblPrEx>
        <w:trPr>
          <w:trHeight w:val="503" w:hRule="atLeast"/>
        </w:trPr>
        <w:tc>
          <w:tcPr>
            <w:tcW w:w="2119" w:type="dxa"/>
            <w:tcBorders>
              <w:top w:val="nil"/>
              <w:left w:val="nil"/>
              <w:bottom w:val="nil"/>
              <w:right w:val="nil"/>
            </w:tcBorders>
            <w:vAlign w:val="center"/>
          </w:tcPr>
          <w:p w14:paraId="1B776C5B">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Label semantics</w:t>
            </w:r>
          </w:p>
        </w:tc>
        <w:tc>
          <w:tcPr>
            <w:tcW w:w="4857" w:type="dxa"/>
            <w:tcBorders>
              <w:top w:val="nil"/>
              <w:left w:val="nil"/>
              <w:bottom w:val="nil"/>
              <w:right w:val="nil"/>
            </w:tcBorders>
            <w:vAlign w:val="center"/>
          </w:tcPr>
          <w:p w14:paraId="4F8491C9">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Transport vs ADLs/postures</w:t>
            </w:r>
          </w:p>
        </w:tc>
        <w:tc>
          <w:tcPr>
            <w:tcW w:w="2965" w:type="dxa"/>
            <w:tcBorders>
              <w:top w:val="nil"/>
              <w:left w:val="nil"/>
              <w:bottom w:val="nil"/>
              <w:right w:val="nil"/>
            </w:tcBorders>
            <w:vAlign w:val="center"/>
          </w:tcPr>
          <w:p w14:paraId="2BD9A4BC">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 xml:space="preserve">Publish mappings; report </w:t>
            </w:r>
            <w:r>
              <w:rPr>
                <w:rStyle w:val="5"/>
                <w:rFonts w:ascii="Times New Roman" w:hAnsi="Times New Roman" w:eastAsia="宋体" w:cs="Times New Roman"/>
                <w:sz w:val="18"/>
                <w:szCs w:val="18"/>
                <w:lang w:eastAsia="zh-CN" w:bidi="ar"/>
              </w:rPr>
              <w:t>aligned</w:t>
            </w:r>
            <w:r>
              <w:rPr>
                <w:rStyle w:val="5"/>
                <w:rFonts w:ascii="Times New Roman" w:hAnsi="Times New Roman" w:eastAsia="宋体" w:cs="Times New Roman"/>
                <w:sz w:val="18"/>
                <w:szCs w:val="18"/>
                <w:lang w:eastAsia="zh-CN" w:bidi="ar"/>
              </w:rPr>
              <w:noBreakHyphen/>
            </w:r>
            <w:r>
              <w:rPr>
                <w:rStyle w:val="5"/>
                <w:rFonts w:ascii="Times New Roman" w:hAnsi="Times New Roman" w:eastAsia="宋体" w:cs="Times New Roman"/>
                <w:sz w:val="18"/>
                <w:szCs w:val="18"/>
                <w:lang w:eastAsia="zh-CN" w:bidi="ar"/>
              </w:rPr>
              <w:t>only</w:t>
            </w:r>
            <w:r>
              <w:rPr>
                <w:rFonts w:ascii="Times New Roman" w:hAnsi="Times New Roman" w:eastAsia="宋体" w:cs="Times New Roman"/>
                <w:sz w:val="18"/>
                <w:szCs w:val="18"/>
                <w:lang w:eastAsia="zh-CN" w:bidi="ar"/>
              </w:rPr>
              <w:t xml:space="preserve"> and </w:t>
            </w:r>
            <w:r>
              <w:rPr>
                <w:rStyle w:val="5"/>
                <w:rFonts w:ascii="Times New Roman" w:hAnsi="Times New Roman" w:eastAsia="宋体" w:cs="Times New Roman"/>
                <w:sz w:val="18"/>
                <w:szCs w:val="18"/>
                <w:lang w:eastAsia="zh-CN" w:bidi="ar"/>
              </w:rPr>
              <w:t>all</w:t>
            </w:r>
            <w:r>
              <w:rPr>
                <w:rStyle w:val="5"/>
                <w:rFonts w:ascii="Times New Roman" w:hAnsi="Times New Roman" w:eastAsia="宋体" w:cs="Times New Roman"/>
                <w:sz w:val="18"/>
                <w:szCs w:val="18"/>
                <w:lang w:eastAsia="zh-CN" w:bidi="ar"/>
              </w:rPr>
              <w:noBreakHyphen/>
            </w:r>
            <w:r>
              <w:rPr>
                <w:rStyle w:val="5"/>
                <w:rFonts w:ascii="Times New Roman" w:hAnsi="Times New Roman" w:eastAsia="宋体" w:cs="Times New Roman"/>
                <w:sz w:val="18"/>
                <w:szCs w:val="18"/>
                <w:lang w:eastAsia="zh-CN" w:bidi="ar"/>
              </w:rPr>
              <w:t>class</w:t>
            </w:r>
            <w:r>
              <w:rPr>
                <w:rFonts w:ascii="Times New Roman" w:hAnsi="Times New Roman" w:eastAsia="宋体" w:cs="Times New Roman"/>
                <w:sz w:val="18"/>
                <w:szCs w:val="18"/>
                <w:lang w:eastAsia="zh-CN" w:bidi="ar"/>
              </w:rPr>
              <w:t xml:space="preserve"> metrics. (</w:t>
            </w:r>
            <w:r>
              <w:fldChar w:fldCharType="begin"/>
            </w:r>
            <w:r>
              <w:instrText xml:space="preserve"> HYPERLINK "https://www.nature.com/articles/s41597-024-03951-4?utm_source=chatgpt.com" \o "A benchmark for domain adaptation and generalization in ..." </w:instrText>
            </w:r>
            <w:r>
              <w:fldChar w:fldCharType="separate"/>
            </w:r>
            <w:r>
              <w:rPr>
                <w:rStyle w:val="8"/>
                <w:rFonts w:ascii="Times New Roman" w:hAnsi="Times New Roman" w:eastAsia="宋体" w:cs="Times New Roman"/>
                <w:sz w:val="18"/>
                <w:szCs w:val="18"/>
              </w:rPr>
              <w:t>Nature</w:t>
            </w:r>
            <w:r>
              <w:rPr>
                <w:rStyle w:val="8"/>
                <w:rFonts w:ascii="Times New Roman" w:hAnsi="Times New Roman" w:eastAsia="宋体" w:cs="Times New Roman"/>
                <w:sz w:val="18"/>
                <w:szCs w:val="18"/>
              </w:rPr>
              <w:fldChar w:fldCharType="end"/>
            </w:r>
            <w:r>
              <w:rPr>
                <w:rFonts w:ascii="Times New Roman" w:hAnsi="Times New Roman" w:eastAsia="宋体" w:cs="Times New Roman"/>
                <w:sz w:val="18"/>
                <w:szCs w:val="18"/>
                <w:lang w:eastAsia="zh-CN" w:bidi="ar"/>
              </w:rPr>
              <w:t>)</w:t>
            </w:r>
          </w:p>
        </w:tc>
      </w:tr>
      <w:tr w14:paraId="25322615">
        <w:tblPrEx>
          <w:tblCellMar>
            <w:top w:w="43" w:type="dxa"/>
            <w:left w:w="0" w:type="dxa"/>
            <w:bottom w:w="0" w:type="dxa"/>
            <w:right w:w="0" w:type="dxa"/>
          </w:tblCellMar>
        </w:tblPrEx>
        <w:trPr>
          <w:trHeight w:val="503" w:hRule="atLeast"/>
        </w:trPr>
        <w:tc>
          <w:tcPr>
            <w:tcW w:w="2119" w:type="dxa"/>
            <w:tcBorders>
              <w:top w:val="nil"/>
              <w:left w:val="nil"/>
              <w:bottom w:val="nil"/>
              <w:right w:val="nil"/>
            </w:tcBorders>
            <w:vAlign w:val="center"/>
          </w:tcPr>
          <w:p w14:paraId="082EFE41">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Sampling disparity</w:t>
            </w:r>
          </w:p>
        </w:tc>
        <w:tc>
          <w:tcPr>
            <w:tcW w:w="4857" w:type="dxa"/>
            <w:tcBorders>
              <w:top w:val="nil"/>
              <w:left w:val="nil"/>
              <w:bottom w:val="nil"/>
              <w:right w:val="nil"/>
            </w:tcBorders>
            <w:vAlign w:val="center"/>
          </w:tcPr>
          <w:p w14:paraId="0DDCA5DC">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204.8 Hz (DaLiAc) vs smartphone rates</w:t>
            </w:r>
          </w:p>
        </w:tc>
        <w:tc>
          <w:tcPr>
            <w:tcW w:w="2965" w:type="dxa"/>
            <w:tcBorders>
              <w:top w:val="nil"/>
              <w:left w:val="nil"/>
              <w:bottom w:val="nil"/>
              <w:right w:val="nil"/>
            </w:tcBorders>
            <w:vAlign w:val="center"/>
          </w:tcPr>
          <w:p w14:paraId="64D39CC5">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Anti</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alias FIR + decimation; stride retune. (</w:t>
            </w:r>
            <w:r>
              <w:fldChar w:fldCharType="begin"/>
            </w:r>
            <w:r>
              <w:instrText xml:space="preserve"> HYPERLINK "https://journals.plos.org/plosone/article?id=10.1371/journal.pone.0075196&amp;utm_source=chatgpt.com" \o "Hierarchical, Multi-Sensor Based Classification of Daily Life ..." </w:instrText>
            </w:r>
            <w:r>
              <w:fldChar w:fldCharType="separate"/>
            </w:r>
            <w:r>
              <w:rPr>
                <w:rStyle w:val="8"/>
                <w:rFonts w:ascii="Times New Roman" w:hAnsi="Times New Roman" w:eastAsia="宋体" w:cs="Times New Roman"/>
                <w:sz w:val="18"/>
                <w:szCs w:val="18"/>
              </w:rPr>
              <w:t>PLOS</w:t>
            </w:r>
            <w:r>
              <w:rPr>
                <w:rStyle w:val="8"/>
                <w:rFonts w:ascii="Times New Roman" w:hAnsi="Times New Roman" w:eastAsia="宋体" w:cs="Times New Roman"/>
                <w:sz w:val="18"/>
                <w:szCs w:val="18"/>
              </w:rPr>
              <w:fldChar w:fldCharType="end"/>
            </w:r>
            <w:r>
              <w:rPr>
                <w:rFonts w:ascii="Times New Roman" w:hAnsi="Times New Roman" w:eastAsia="宋体" w:cs="Times New Roman"/>
                <w:sz w:val="18"/>
                <w:szCs w:val="18"/>
                <w:lang w:eastAsia="zh-CN" w:bidi="ar"/>
              </w:rPr>
              <w:t>)</w:t>
            </w:r>
          </w:p>
        </w:tc>
      </w:tr>
      <w:tr w14:paraId="3971F5F8">
        <w:tblPrEx>
          <w:tblCellMar>
            <w:top w:w="43" w:type="dxa"/>
            <w:left w:w="0" w:type="dxa"/>
            <w:bottom w:w="0" w:type="dxa"/>
            <w:right w:w="0" w:type="dxa"/>
          </w:tblCellMar>
        </w:tblPrEx>
        <w:trPr>
          <w:trHeight w:val="598" w:hRule="atLeast"/>
        </w:trPr>
        <w:tc>
          <w:tcPr>
            <w:tcW w:w="2119" w:type="dxa"/>
            <w:tcBorders>
              <w:top w:val="nil"/>
              <w:left w:val="nil"/>
              <w:bottom w:val="nil"/>
              <w:right w:val="nil"/>
            </w:tcBorders>
            <w:vAlign w:val="center"/>
          </w:tcPr>
          <w:p w14:paraId="0FEBB86B">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Population heterogeneity</w:t>
            </w:r>
          </w:p>
        </w:tc>
        <w:tc>
          <w:tcPr>
            <w:tcW w:w="4857" w:type="dxa"/>
            <w:tcBorders>
              <w:top w:val="nil"/>
              <w:left w:val="nil"/>
              <w:bottom w:val="nil"/>
              <w:right w:val="nil"/>
            </w:tcBorders>
            <w:vAlign w:val="center"/>
          </w:tcPr>
          <w:p w14:paraId="610E8A9B">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Subject style/pace</w:t>
            </w:r>
          </w:p>
        </w:tc>
        <w:tc>
          <w:tcPr>
            <w:tcW w:w="2965" w:type="dxa"/>
            <w:tcBorders>
              <w:top w:val="nil"/>
              <w:left w:val="nil"/>
              <w:bottom w:val="nil"/>
              <w:right w:val="nil"/>
            </w:tcBorders>
            <w:vAlign w:val="center"/>
          </w:tcPr>
          <w:p w14:paraId="05E83CD2">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Subject</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exclusive splits; effect</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size reporting. (</w:t>
            </w:r>
            <w:r>
              <w:fldChar w:fldCharType="begin"/>
            </w:r>
            <w:r>
              <w:instrText xml:space="preserve"> HYPERLINK "https://www.mdpi.com/1424-8220/22/6/2360?utm_source=chatgpt.com" \o "How Validation Methodology Influences Human Activity ..." </w:instrText>
            </w:r>
            <w:r>
              <w:fldChar w:fldCharType="separate"/>
            </w:r>
            <w:r>
              <w:rPr>
                <w:rStyle w:val="8"/>
                <w:rFonts w:ascii="Times New Roman" w:hAnsi="Times New Roman" w:eastAsia="宋体" w:cs="Times New Roman"/>
                <w:sz w:val="18"/>
                <w:szCs w:val="18"/>
              </w:rPr>
              <w:t>MDPI</w:t>
            </w:r>
            <w:r>
              <w:rPr>
                <w:rStyle w:val="8"/>
                <w:rFonts w:ascii="Times New Roman" w:hAnsi="Times New Roman" w:eastAsia="宋体" w:cs="Times New Roman"/>
                <w:sz w:val="18"/>
                <w:szCs w:val="18"/>
              </w:rPr>
              <w:fldChar w:fldCharType="end"/>
            </w:r>
            <w:r>
              <w:rPr>
                <w:rFonts w:ascii="Times New Roman" w:hAnsi="Times New Roman" w:eastAsia="宋体" w:cs="Times New Roman"/>
                <w:sz w:val="18"/>
                <w:szCs w:val="18"/>
                <w:lang w:eastAsia="zh-CN" w:bidi="ar"/>
              </w:rPr>
              <w:t>)</w:t>
            </w:r>
          </w:p>
        </w:tc>
      </w:tr>
    </w:tbl>
    <w:p w14:paraId="63F5EEFA">
      <w:pPr>
        <w:pStyle w:val="2"/>
        <w:spacing w:before="198" w:line="344" w:lineRule="auto"/>
        <w:rPr>
          <w:sz w:val="24"/>
          <w:szCs w:val="24"/>
        </w:rPr>
      </w:pPr>
    </w:p>
    <w:p w14:paraId="6CDDDC63">
      <w:pPr>
        <w:pStyle w:val="2"/>
        <w:spacing w:before="198" w:line="344" w:lineRule="auto"/>
        <w:jc w:val="center"/>
        <w:rPr>
          <w:sz w:val="24"/>
          <w:szCs w:val="24"/>
        </w:rPr>
      </w:pPr>
      <w:r>
        <w:rPr>
          <w:color w:val="231F20"/>
          <w:spacing w:val="2"/>
          <w:sz w:val="18"/>
          <w:szCs w:val="18"/>
        </w:rPr>
        <w:t>TABLE</w:t>
      </w:r>
      <w:r>
        <w:rPr>
          <w:color w:val="231F20"/>
          <w:spacing w:val="20"/>
          <w:w w:val="102"/>
          <w:sz w:val="18"/>
          <w:szCs w:val="18"/>
        </w:rPr>
        <w:t xml:space="preserve"> </w:t>
      </w:r>
      <w:r>
        <w:rPr>
          <w:rFonts w:hint="eastAsia" w:eastAsia="宋体"/>
          <w:color w:val="231F20"/>
          <w:spacing w:val="20"/>
          <w:w w:val="102"/>
          <w:sz w:val="18"/>
          <w:szCs w:val="18"/>
          <w:lang w:eastAsia="zh-CN"/>
        </w:rPr>
        <w:t>6</w:t>
      </w:r>
      <w:r>
        <w:rPr>
          <w:color w:val="231F20"/>
          <w:spacing w:val="2"/>
          <w:sz w:val="18"/>
          <w:szCs w:val="18"/>
        </w:rPr>
        <w:t>.</w:t>
      </w:r>
      <w:r>
        <w:rPr>
          <w:color w:val="231F20"/>
          <w:spacing w:val="10"/>
          <w:w w:val="102"/>
          <w:sz w:val="18"/>
          <w:szCs w:val="18"/>
        </w:rPr>
        <w:t xml:space="preserve"> </w:t>
      </w:r>
      <w:r>
        <w:rPr>
          <w:rFonts w:hint="eastAsia"/>
          <w:color w:val="231F20"/>
          <w:spacing w:val="2"/>
          <w:sz w:val="18"/>
          <w:szCs w:val="18"/>
        </w:rPr>
        <w:t>Label mapping</w:t>
      </w:r>
    </w:p>
    <w:tbl>
      <w:tblPr>
        <w:tblStyle w:val="10"/>
        <w:tblpPr w:leftFromText="180" w:rightFromText="180" w:vertAnchor="text" w:horzAnchor="page" w:tblpX="1534" w:tblpY="23"/>
        <w:tblOverlap w:val="never"/>
        <w:tblW w:w="9957" w:type="dxa"/>
        <w:tblInd w:w="0" w:type="dxa"/>
        <w:tblLayout w:type="autofit"/>
        <w:tblCellMar>
          <w:top w:w="43" w:type="dxa"/>
          <w:left w:w="0" w:type="dxa"/>
          <w:bottom w:w="0" w:type="dxa"/>
          <w:right w:w="0" w:type="dxa"/>
        </w:tblCellMar>
      </w:tblPr>
      <w:tblGrid>
        <w:gridCol w:w="1791"/>
        <w:gridCol w:w="2531"/>
        <w:gridCol w:w="1948"/>
        <w:gridCol w:w="1363"/>
        <w:gridCol w:w="2324"/>
      </w:tblGrid>
      <w:tr w14:paraId="2AC03F53">
        <w:tblPrEx>
          <w:tblCellMar>
            <w:top w:w="43" w:type="dxa"/>
            <w:left w:w="0" w:type="dxa"/>
            <w:bottom w:w="0" w:type="dxa"/>
            <w:right w:w="0" w:type="dxa"/>
          </w:tblCellMar>
        </w:tblPrEx>
        <w:trPr>
          <w:trHeight w:val="699" w:hRule="atLeast"/>
        </w:trPr>
        <w:tc>
          <w:tcPr>
            <w:tcW w:w="1791" w:type="dxa"/>
            <w:tcBorders>
              <w:top w:val="single" w:color="000000" w:sz="6" w:space="0"/>
              <w:left w:val="nil"/>
              <w:bottom w:val="single" w:color="000000" w:sz="4" w:space="0"/>
              <w:right w:val="nil"/>
            </w:tcBorders>
            <w:vAlign w:val="center"/>
          </w:tcPr>
          <w:p w14:paraId="165CAD91">
            <w:pPr>
              <w:jc w:val="center"/>
              <w:rPr>
                <w:rFonts w:ascii="Times New Roman" w:hAnsi="Times New Roman" w:eastAsia="宋体" w:cs="Times New Roman"/>
                <w:sz w:val="18"/>
                <w:szCs w:val="18"/>
                <w:lang w:eastAsia="zh-CN"/>
              </w:rPr>
            </w:pPr>
            <w:r>
              <w:rPr>
                <w:rFonts w:ascii="Times New Roman" w:hAnsi="Times New Roman" w:eastAsia="宋体" w:cs="Times New Roman"/>
                <w:b/>
                <w:bCs/>
                <w:sz w:val="18"/>
                <w:szCs w:val="18"/>
                <w:lang w:eastAsia="zh-CN" w:bidi="ar"/>
              </w:rPr>
              <w:t>SHL</w:t>
            </w:r>
          </w:p>
        </w:tc>
        <w:tc>
          <w:tcPr>
            <w:tcW w:w="2531" w:type="dxa"/>
            <w:tcBorders>
              <w:top w:val="single" w:color="000000" w:sz="6" w:space="0"/>
              <w:left w:val="nil"/>
              <w:bottom w:val="single" w:color="000000" w:sz="4" w:space="0"/>
              <w:right w:val="nil"/>
            </w:tcBorders>
            <w:vAlign w:val="center"/>
          </w:tcPr>
          <w:p w14:paraId="7C7B40DB">
            <w:pPr>
              <w:jc w:val="center"/>
              <w:rPr>
                <w:rFonts w:ascii="Times New Roman" w:hAnsi="Times New Roman" w:eastAsia="宋体" w:cs="Times New Roman"/>
                <w:sz w:val="18"/>
                <w:szCs w:val="18"/>
                <w:lang w:eastAsia="zh-CN"/>
              </w:rPr>
            </w:pPr>
            <w:r>
              <w:rPr>
                <w:rFonts w:ascii="Times New Roman" w:hAnsi="Times New Roman" w:eastAsia="宋体" w:cs="Times New Roman"/>
                <w:b/>
                <w:bCs/>
                <w:sz w:val="18"/>
                <w:szCs w:val="18"/>
                <w:lang w:eastAsia="zh-CN" w:bidi="ar"/>
              </w:rPr>
              <w:t>DaLiAc</w:t>
            </w:r>
          </w:p>
        </w:tc>
        <w:tc>
          <w:tcPr>
            <w:tcW w:w="1948" w:type="dxa"/>
            <w:tcBorders>
              <w:top w:val="single" w:color="000000" w:sz="6" w:space="0"/>
              <w:left w:val="nil"/>
              <w:bottom w:val="single" w:color="000000" w:sz="4" w:space="0"/>
              <w:right w:val="nil"/>
            </w:tcBorders>
            <w:vAlign w:val="center"/>
          </w:tcPr>
          <w:p w14:paraId="1F73FFB5">
            <w:pPr>
              <w:jc w:val="center"/>
              <w:rPr>
                <w:rFonts w:ascii="Times New Roman" w:hAnsi="Times New Roman" w:cs="Times New Roman"/>
                <w:sz w:val="18"/>
                <w:szCs w:val="18"/>
              </w:rPr>
            </w:pPr>
            <w:r>
              <w:rPr>
                <w:rFonts w:ascii="Times New Roman" w:hAnsi="Times New Roman" w:eastAsia="宋体" w:cs="Times New Roman"/>
                <w:b/>
                <w:bCs/>
                <w:sz w:val="18"/>
                <w:szCs w:val="18"/>
                <w:lang w:eastAsia="zh-CN" w:bidi="ar"/>
              </w:rPr>
              <w:t>RealWorld</w:t>
            </w:r>
          </w:p>
        </w:tc>
        <w:tc>
          <w:tcPr>
            <w:tcW w:w="1363" w:type="dxa"/>
            <w:tcBorders>
              <w:top w:val="single" w:color="000000" w:sz="6" w:space="0"/>
              <w:left w:val="nil"/>
              <w:bottom w:val="single" w:color="000000" w:sz="4" w:space="0"/>
              <w:right w:val="nil"/>
            </w:tcBorders>
            <w:vAlign w:val="center"/>
          </w:tcPr>
          <w:p w14:paraId="402576D4">
            <w:pPr>
              <w:jc w:val="center"/>
              <w:rPr>
                <w:rFonts w:ascii="Times New Roman" w:hAnsi="Times New Roman" w:cs="Times New Roman"/>
                <w:b/>
                <w:sz w:val="18"/>
                <w:szCs w:val="18"/>
              </w:rPr>
            </w:pPr>
            <w:r>
              <w:rPr>
                <w:rFonts w:ascii="Times New Roman" w:hAnsi="Times New Roman" w:eastAsia="宋体" w:cs="Times New Roman"/>
                <w:b/>
                <w:bCs/>
                <w:sz w:val="18"/>
                <w:szCs w:val="18"/>
                <w:lang w:eastAsia="zh-CN" w:bidi="ar"/>
              </w:rPr>
              <w:t>Mapping type</w:t>
            </w:r>
          </w:p>
        </w:tc>
        <w:tc>
          <w:tcPr>
            <w:tcW w:w="2324" w:type="dxa"/>
            <w:tcBorders>
              <w:top w:val="single" w:color="000000" w:sz="6" w:space="0"/>
              <w:left w:val="nil"/>
              <w:bottom w:val="single" w:color="000000" w:sz="4" w:space="0"/>
              <w:right w:val="nil"/>
            </w:tcBorders>
            <w:vAlign w:val="center"/>
          </w:tcPr>
          <w:p w14:paraId="784C8611">
            <w:pPr>
              <w:jc w:val="center"/>
              <w:rPr>
                <w:rFonts w:ascii="Times New Roman" w:hAnsi="Times New Roman" w:eastAsia="宋体" w:cs="Times New Roman"/>
                <w:b/>
                <w:bCs/>
                <w:sz w:val="18"/>
                <w:szCs w:val="18"/>
                <w:lang w:eastAsia="zh-CN" w:bidi="ar"/>
              </w:rPr>
            </w:pPr>
            <w:r>
              <w:rPr>
                <w:rFonts w:ascii="Times New Roman" w:hAnsi="Times New Roman" w:eastAsia="宋体" w:cs="Times New Roman"/>
                <w:b/>
                <w:bCs/>
                <w:sz w:val="18"/>
                <w:szCs w:val="18"/>
                <w:lang w:eastAsia="zh-CN" w:bidi="ar"/>
              </w:rPr>
              <w:t>Note</w:t>
            </w:r>
          </w:p>
        </w:tc>
      </w:tr>
      <w:tr w14:paraId="2C2C58D2">
        <w:tblPrEx>
          <w:tblCellMar>
            <w:top w:w="43" w:type="dxa"/>
            <w:left w:w="0" w:type="dxa"/>
            <w:bottom w:w="0" w:type="dxa"/>
            <w:right w:w="0" w:type="dxa"/>
          </w:tblCellMar>
        </w:tblPrEx>
        <w:trPr>
          <w:trHeight w:val="637" w:hRule="atLeast"/>
        </w:trPr>
        <w:tc>
          <w:tcPr>
            <w:tcW w:w="1791" w:type="dxa"/>
            <w:tcBorders>
              <w:top w:val="single" w:color="000000" w:sz="4" w:space="0"/>
              <w:left w:val="nil"/>
              <w:bottom w:val="nil"/>
              <w:right w:val="nil"/>
            </w:tcBorders>
            <w:vAlign w:val="center"/>
          </w:tcPr>
          <w:p w14:paraId="2C4A2473">
            <w:pPr>
              <w:jc w:val="center"/>
              <w:rPr>
                <w:rFonts w:ascii="Times New Roman" w:hAnsi="Times New Roman" w:cs="Times New Roman"/>
                <w:sz w:val="18"/>
                <w:szCs w:val="18"/>
              </w:rPr>
            </w:pPr>
            <w:r>
              <w:rPr>
                <w:rStyle w:val="5"/>
                <w:rFonts w:ascii="Times New Roman" w:hAnsi="Times New Roman" w:eastAsia="宋体" w:cs="Times New Roman"/>
                <w:sz w:val="18"/>
                <w:szCs w:val="18"/>
                <w:lang w:eastAsia="zh-CN" w:bidi="ar"/>
              </w:rPr>
              <w:t>Walk</w:t>
            </w:r>
          </w:p>
        </w:tc>
        <w:tc>
          <w:tcPr>
            <w:tcW w:w="2531" w:type="dxa"/>
            <w:tcBorders>
              <w:top w:val="single" w:color="000000" w:sz="4" w:space="0"/>
              <w:left w:val="nil"/>
              <w:bottom w:val="nil"/>
              <w:right w:val="nil"/>
            </w:tcBorders>
            <w:vAlign w:val="center"/>
          </w:tcPr>
          <w:p w14:paraId="33652CB1">
            <w:pPr>
              <w:jc w:val="center"/>
              <w:rPr>
                <w:rFonts w:ascii="Times New Roman" w:hAnsi="Times New Roman" w:eastAsia="宋体" w:cs="Times New Roman"/>
                <w:sz w:val="18"/>
                <w:szCs w:val="18"/>
                <w:lang w:eastAsia="zh-CN"/>
              </w:rPr>
            </w:pPr>
            <w:r>
              <w:rPr>
                <w:rStyle w:val="5"/>
                <w:rFonts w:ascii="Times New Roman" w:hAnsi="Times New Roman" w:eastAsia="宋体" w:cs="Times New Roman"/>
                <w:sz w:val="18"/>
                <w:szCs w:val="18"/>
                <w:lang w:eastAsia="zh-CN" w:bidi="ar"/>
              </w:rPr>
              <w:t>Walking</w:t>
            </w:r>
          </w:p>
        </w:tc>
        <w:tc>
          <w:tcPr>
            <w:tcW w:w="1948" w:type="dxa"/>
            <w:tcBorders>
              <w:top w:val="single" w:color="000000" w:sz="4" w:space="0"/>
              <w:left w:val="nil"/>
              <w:bottom w:val="nil"/>
              <w:right w:val="nil"/>
            </w:tcBorders>
            <w:vAlign w:val="center"/>
          </w:tcPr>
          <w:p w14:paraId="4B703EC4">
            <w:pPr>
              <w:jc w:val="center"/>
              <w:rPr>
                <w:rFonts w:ascii="Times New Roman" w:hAnsi="Times New Roman" w:eastAsia="宋体" w:cs="Times New Roman"/>
                <w:sz w:val="18"/>
                <w:szCs w:val="18"/>
                <w:lang w:eastAsia="zh-CN"/>
              </w:rPr>
            </w:pPr>
            <w:r>
              <w:rPr>
                <w:rStyle w:val="5"/>
                <w:rFonts w:ascii="Times New Roman" w:hAnsi="Times New Roman" w:eastAsia="宋体" w:cs="Times New Roman"/>
                <w:sz w:val="18"/>
                <w:szCs w:val="18"/>
                <w:lang w:eastAsia="zh-CN" w:bidi="ar"/>
              </w:rPr>
              <w:t>Walking</w:t>
            </w:r>
          </w:p>
        </w:tc>
        <w:tc>
          <w:tcPr>
            <w:tcW w:w="1363" w:type="dxa"/>
            <w:tcBorders>
              <w:top w:val="single" w:color="000000" w:sz="4" w:space="0"/>
              <w:left w:val="nil"/>
              <w:bottom w:val="nil"/>
              <w:right w:val="nil"/>
            </w:tcBorders>
            <w:vAlign w:val="center"/>
          </w:tcPr>
          <w:p w14:paraId="2C24D572">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1</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1</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1</w:t>
            </w:r>
          </w:p>
        </w:tc>
        <w:tc>
          <w:tcPr>
            <w:tcW w:w="2324" w:type="dxa"/>
            <w:tcBorders>
              <w:top w:val="single" w:color="000000" w:sz="4" w:space="0"/>
              <w:left w:val="nil"/>
              <w:bottom w:val="nil"/>
              <w:right w:val="nil"/>
            </w:tcBorders>
            <w:vAlign w:val="center"/>
          </w:tcPr>
          <w:p w14:paraId="1C1D5401">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Aligned across all three. (</w:t>
            </w:r>
            <w:r>
              <w:fldChar w:fldCharType="begin"/>
            </w:r>
            <w:r>
              <w:instrText xml:space="preserve"> HYPERLINK "https://www.frontiersin.org/journals/computer-science/articles/10.3389/fcomp.2021.713719/full?utm_source=chatgpt.com" \o "Three-Year Review of the 2018–2020 SHL Challenge on ..." </w:instrText>
            </w:r>
            <w:r>
              <w:fldChar w:fldCharType="separate"/>
            </w:r>
            <w:r>
              <w:rPr>
                <w:rStyle w:val="8"/>
                <w:rFonts w:ascii="Times New Roman" w:hAnsi="Times New Roman" w:eastAsia="宋体" w:cs="Times New Roman"/>
                <w:sz w:val="18"/>
                <w:szCs w:val="18"/>
              </w:rPr>
              <w:t>Frontiers</w:t>
            </w:r>
            <w:r>
              <w:rPr>
                <w:rStyle w:val="8"/>
                <w:rFonts w:ascii="Times New Roman" w:hAnsi="Times New Roman" w:eastAsia="宋体" w:cs="Times New Roman"/>
                <w:sz w:val="18"/>
                <w:szCs w:val="18"/>
              </w:rPr>
              <w:fldChar w:fldCharType="end"/>
            </w:r>
            <w:r>
              <w:rPr>
                <w:rFonts w:ascii="Times New Roman" w:hAnsi="Times New Roman" w:eastAsia="宋体" w:cs="Times New Roman"/>
                <w:sz w:val="18"/>
                <w:szCs w:val="18"/>
                <w:lang w:eastAsia="zh-CN" w:bidi="ar"/>
              </w:rPr>
              <w:t>)</w:t>
            </w:r>
          </w:p>
        </w:tc>
      </w:tr>
      <w:tr w14:paraId="66AB97E4">
        <w:tblPrEx>
          <w:tblCellMar>
            <w:top w:w="43" w:type="dxa"/>
            <w:left w:w="0" w:type="dxa"/>
            <w:bottom w:w="0" w:type="dxa"/>
            <w:right w:w="0" w:type="dxa"/>
          </w:tblCellMar>
        </w:tblPrEx>
        <w:trPr>
          <w:trHeight w:val="831" w:hRule="atLeast"/>
        </w:trPr>
        <w:tc>
          <w:tcPr>
            <w:tcW w:w="1791" w:type="dxa"/>
            <w:tcBorders>
              <w:top w:val="nil"/>
              <w:left w:val="nil"/>
              <w:bottom w:val="nil"/>
              <w:right w:val="nil"/>
            </w:tcBorders>
            <w:vAlign w:val="center"/>
          </w:tcPr>
          <w:p w14:paraId="3C583B71">
            <w:pPr>
              <w:jc w:val="center"/>
              <w:rPr>
                <w:rFonts w:ascii="Times New Roman" w:hAnsi="Times New Roman" w:eastAsia="宋体" w:cs="Times New Roman"/>
                <w:sz w:val="18"/>
                <w:szCs w:val="18"/>
                <w:lang w:eastAsia="zh-CN"/>
              </w:rPr>
            </w:pPr>
            <w:r>
              <w:rPr>
                <w:rStyle w:val="5"/>
                <w:rFonts w:ascii="Times New Roman" w:hAnsi="Times New Roman" w:eastAsia="宋体" w:cs="Times New Roman"/>
                <w:sz w:val="18"/>
                <w:szCs w:val="18"/>
                <w:lang w:eastAsia="zh-CN" w:bidi="ar"/>
              </w:rPr>
              <w:t>Run</w:t>
            </w:r>
          </w:p>
        </w:tc>
        <w:tc>
          <w:tcPr>
            <w:tcW w:w="2531" w:type="dxa"/>
            <w:tcBorders>
              <w:top w:val="nil"/>
              <w:left w:val="nil"/>
              <w:bottom w:val="nil"/>
              <w:right w:val="nil"/>
            </w:tcBorders>
            <w:vAlign w:val="center"/>
          </w:tcPr>
          <w:p w14:paraId="1FED3F03">
            <w:pPr>
              <w:jc w:val="center"/>
              <w:rPr>
                <w:rFonts w:ascii="Times New Roman" w:hAnsi="Times New Roman" w:cs="Times New Roman"/>
                <w:sz w:val="18"/>
                <w:szCs w:val="18"/>
              </w:rPr>
            </w:pPr>
            <w:r>
              <w:rPr>
                <w:rStyle w:val="5"/>
                <w:rFonts w:ascii="Times New Roman" w:hAnsi="Times New Roman" w:eastAsia="宋体" w:cs="Times New Roman"/>
                <w:sz w:val="18"/>
                <w:szCs w:val="18"/>
                <w:lang w:eastAsia="zh-CN" w:bidi="ar"/>
              </w:rPr>
              <w:t>Running</w:t>
            </w:r>
          </w:p>
        </w:tc>
        <w:tc>
          <w:tcPr>
            <w:tcW w:w="1948" w:type="dxa"/>
            <w:tcBorders>
              <w:top w:val="nil"/>
              <w:left w:val="nil"/>
              <w:bottom w:val="nil"/>
              <w:right w:val="nil"/>
            </w:tcBorders>
            <w:vAlign w:val="center"/>
          </w:tcPr>
          <w:p w14:paraId="6B970B36">
            <w:pPr>
              <w:jc w:val="center"/>
              <w:rPr>
                <w:rFonts w:ascii="Times New Roman" w:hAnsi="Times New Roman" w:eastAsia="宋体" w:cs="Times New Roman"/>
                <w:sz w:val="18"/>
                <w:szCs w:val="18"/>
                <w:lang w:eastAsia="zh-CN"/>
              </w:rPr>
            </w:pPr>
            <w:r>
              <w:rPr>
                <w:rStyle w:val="5"/>
                <w:rFonts w:ascii="Times New Roman" w:hAnsi="Times New Roman" w:eastAsia="宋体" w:cs="Times New Roman"/>
                <w:sz w:val="18"/>
                <w:szCs w:val="18"/>
                <w:lang w:eastAsia="zh-CN" w:bidi="ar"/>
              </w:rPr>
              <w:t>Running/Jogging</w:t>
            </w:r>
          </w:p>
        </w:tc>
        <w:tc>
          <w:tcPr>
            <w:tcW w:w="1363" w:type="dxa"/>
            <w:tcBorders>
              <w:top w:val="nil"/>
              <w:left w:val="nil"/>
              <w:bottom w:val="nil"/>
              <w:right w:val="nil"/>
            </w:tcBorders>
            <w:vAlign w:val="center"/>
          </w:tcPr>
          <w:p w14:paraId="1C960E81">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1</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1</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1</w:t>
            </w:r>
          </w:p>
        </w:tc>
        <w:tc>
          <w:tcPr>
            <w:tcW w:w="2324" w:type="dxa"/>
            <w:tcBorders>
              <w:top w:val="nil"/>
              <w:left w:val="nil"/>
              <w:bottom w:val="nil"/>
              <w:right w:val="nil"/>
            </w:tcBorders>
            <w:vAlign w:val="center"/>
          </w:tcPr>
          <w:p w14:paraId="43B73651">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Naming variation; merged. (</w:t>
            </w:r>
            <w:r>
              <w:fldChar w:fldCharType="begin"/>
            </w:r>
            <w:r>
              <w:instrText xml:space="preserve"> HYPERLINK "https://www.frontiersin.org/journals/computer-science/articles/10.3389/fcomp.2021.713719/full?utm_source=chatgpt.com" \o "Three-Year Review of the 2018–2020 SHL Challenge on ..." </w:instrText>
            </w:r>
            <w:r>
              <w:fldChar w:fldCharType="separate"/>
            </w:r>
            <w:r>
              <w:rPr>
                <w:rStyle w:val="8"/>
                <w:rFonts w:ascii="Times New Roman" w:hAnsi="Times New Roman" w:eastAsia="宋体" w:cs="Times New Roman"/>
                <w:sz w:val="18"/>
                <w:szCs w:val="18"/>
              </w:rPr>
              <w:t>Frontiers</w:t>
            </w:r>
            <w:r>
              <w:rPr>
                <w:rStyle w:val="8"/>
                <w:rFonts w:ascii="Times New Roman" w:hAnsi="Times New Roman" w:eastAsia="宋体" w:cs="Times New Roman"/>
                <w:sz w:val="18"/>
                <w:szCs w:val="18"/>
              </w:rPr>
              <w:fldChar w:fldCharType="end"/>
            </w:r>
            <w:r>
              <w:rPr>
                <w:rFonts w:ascii="Times New Roman" w:hAnsi="Times New Roman" w:eastAsia="宋体" w:cs="Times New Roman"/>
                <w:sz w:val="18"/>
                <w:szCs w:val="18"/>
                <w:lang w:eastAsia="zh-CN" w:bidi="ar"/>
              </w:rPr>
              <w:t>)</w:t>
            </w:r>
          </w:p>
        </w:tc>
      </w:tr>
      <w:tr w14:paraId="46B3F4B2">
        <w:tblPrEx>
          <w:tblCellMar>
            <w:top w:w="43" w:type="dxa"/>
            <w:left w:w="0" w:type="dxa"/>
            <w:bottom w:w="0" w:type="dxa"/>
            <w:right w:w="0" w:type="dxa"/>
          </w:tblCellMar>
        </w:tblPrEx>
        <w:trPr>
          <w:trHeight w:val="608" w:hRule="atLeast"/>
        </w:trPr>
        <w:tc>
          <w:tcPr>
            <w:tcW w:w="1791" w:type="dxa"/>
            <w:tcBorders>
              <w:top w:val="nil"/>
              <w:left w:val="nil"/>
              <w:bottom w:val="nil"/>
              <w:right w:val="nil"/>
            </w:tcBorders>
            <w:vAlign w:val="center"/>
          </w:tcPr>
          <w:p w14:paraId="5FEEF731">
            <w:pPr>
              <w:jc w:val="center"/>
              <w:rPr>
                <w:rFonts w:ascii="Times New Roman" w:hAnsi="Times New Roman" w:eastAsia="宋体" w:cs="Times New Roman"/>
                <w:sz w:val="18"/>
                <w:szCs w:val="18"/>
                <w:lang w:eastAsia="zh-CN"/>
              </w:rPr>
            </w:pPr>
            <w:r>
              <w:rPr>
                <w:rStyle w:val="5"/>
                <w:rFonts w:ascii="Times New Roman" w:hAnsi="Times New Roman" w:eastAsia="宋体" w:cs="Times New Roman"/>
                <w:sz w:val="18"/>
                <w:szCs w:val="18"/>
                <w:lang w:eastAsia="zh-CN" w:bidi="ar"/>
              </w:rPr>
              <w:t>Bike</w:t>
            </w:r>
          </w:p>
        </w:tc>
        <w:tc>
          <w:tcPr>
            <w:tcW w:w="2531" w:type="dxa"/>
            <w:tcBorders>
              <w:top w:val="nil"/>
              <w:left w:val="nil"/>
              <w:bottom w:val="nil"/>
              <w:right w:val="nil"/>
            </w:tcBorders>
            <w:vAlign w:val="center"/>
          </w:tcPr>
          <w:p w14:paraId="6D8E0C2F">
            <w:pPr>
              <w:jc w:val="center"/>
              <w:rPr>
                <w:rFonts w:ascii="Times New Roman" w:hAnsi="Times New Roman" w:cs="Times New Roman"/>
                <w:sz w:val="18"/>
                <w:szCs w:val="18"/>
              </w:rPr>
            </w:pPr>
            <w:r>
              <w:rPr>
                <w:rStyle w:val="5"/>
                <w:rFonts w:ascii="Times New Roman" w:hAnsi="Times New Roman" w:eastAsia="宋体" w:cs="Times New Roman"/>
                <w:sz w:val="18"/>
                <w:szCs w:val="18"/>
                <w:lang w:eastAsia="zh-CN" w:bidi="ar"/>
              </w:rPr>
              <w:t>Bicycling</w:t>
            </w:r>
          </w:p>
        </w:tc>
        <w:tc>
          <w:tcPr>
            <w:tcW w:w="1948" w:type="dxa"/>
            <w:tcBorders>
              <w:top w:val="nil"/>
              <w:left w:val="nil"/>
              <w:bottom w:val="nil"/>
              <w:right w:val="nil"/>
            </w:tcBorders>
            <w:vAlign w:val="center"/>
          </w:tcPr>
          <w:p w14:paraId="7D764ACD">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w:t>
            </w:r>
          </w:p>
        </w:tc>
        <w:tc>
          <w:tcPr>
            <w:tcW w:w="1363" w:type="dxa"/>
            <w:tcBorders>
              <w:top w:val="nil"/>
              <w:left w:val="nil"/>
              <w:bottom w:val="nil"/>
              <w:right w:val="nil"/>
            </w:tcBorders>
            <w:vAlign w:val="center"/>
          </w:tcPr>
          <w:p w14:paraId="3E2091AF">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1</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1</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NA</w:t>
            </w:r>
          </w:p>
        </w:tc>
        <w:tc>
          <w:tcPr>
            <w:tcW w:w="2324" w:type="dxa"/>
            <w:tcBorders>
              <w:top w:val="nil"/>
              <w:left w:val="nil"/>
              <w:bottom w:val="nil"/>
              <w:right w:val="nil"/>
            </w:tcBorders>
            <w:vAlign w:val="center"/>
          </w:tcPr>
          <w:p w14:paraId="0281C01E">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Pairwise (SHL↔DaLiAc) only. (</w:t>
            </w:r>
            <w:r>
              <w:fldChar w:fldCharType="begin"/>
            </w:r>
            <w:r>
              <w:instrText xml:space="preserve"> HYPERLINK "https://www.frontiersin.org/journals/computer-science/articles/10.3389/fcomp.2021.713719/full?utm_source=chatgpt.com" \o "Three-Year Review of the 2018–2020 SHL Challenge on ..." </w:instrText>
            </w:r>
            <w:r>
              <w:fldChar w:fldCharType="separate"/>
            </w:r>
            <w:r>
              <w:rPr>
                <w:rStyle w:val="8"/>
                <w:rFonts w:ascii="Times New Roman" w:hAnsi="Times New Roman" w:eastAsia="宋体" w:cs="Times New Roman"/>
                <w:sz w:val="18"/>
                <w:szCs w:val="18"/>
              </w:rPr>
              <w:t>Frontiers</w:t>
            </w:r>
            <w:r>
              <w:rPr>
                <w:rStyle w:val="8"/>
                <w:rFonts w:ascii="Times New Roman" w:hAnsi="Times New Roman" w:eastAsia="宋体" w:cs="Times New Roman"/>
                <w:sz w:val="18"/>
                <w:szCs w:val="18"/>
              </w:rPr>
              <w:fldChar w:fldCharType="end"/>
            </w:r>
            <w:r>
              <w:rPr>
                <w:rFonts w:ascii="Times New Roman" w:hAnsi="Times New Roman" w:eastAsia="宋体" w:cs="Times New Roman"/>
                <w:sz w:val="18"/>
                <w:szCs w:val="18"/>
                <w:lang w:eastAsia="zh-CN" w:bidi="ar"/>
              </w:rPr>
              <w:t>)</w:t>
            </w:r>
          </w:p>
        </w:tc>
      </w:tr>
      <w:tr w14:paraId="76B447B3">
        <w:tblPrEx>
          <w:tblCellMar>
            <w:top w:w="43" w:type="dxa"/>
            <w:left w:w="0" w:type="dxa"/>
            <w:bottom w:w="0" w:type="dxa"/>
            <w:right w:w="0" w:type="dxa"/>
          </w:tblCellMar>
        </w:tblPrEx>
        <w:trPr>
          <w:trHeight w:val="608" w:hRule="atLeast"/>
        </w:trPr>
        <w:tc>
          <w:tcPr>
            <w:tcW w:w="1791" w:type="dxa"/>
            <w:tcBorders>
              <w:top w:val="nil"/>
              <w:left w:val="nil"/>
              <w:bottom w:val="nil"/>
              <w:right w:val="nil"/>
            </w:tcBorders>
            <w:vAlign w:val="center"/>
          </w:tcPr>
          <w:p w14:paraId="00BF3A8B">
            <w:pPr>
              <w:jc w:val="center"/>
              <w:rPr>
                <w:rFonts w:ascii="Times New Roman" w:hAnsi="Times New Roman" w:eastAsia="宋体" w:cs="Times New Roman"/>
                <w:sz w:val="18"/>
                <w:szCs w:val="18"/>
                <w:lang w:eastAsia="zh-CN"/>
              </w:rPr>
            </w:pPr>
            <w:r>
              <w:rPr>
                <w:rStyle w:val="5"/>
                <w:rFonts w:ascii="Times New Roman" w:hAnsi="Times New Roman" w:eastAsia="宋体" w:cs="Times New Roman"/>
                <w:sz w:val="18"/>
                <w:szCs w:val="18"/>
                <w:lang w:eastAsia="zh-CN" w:bidi="ar"/>
              </w:rPr>
              <w:t>Still</w:t>
            </w:r>
          </w:p>
        </w:tc>
        <w:tc>
          <w:tcPr>
            <w:tcW w:w="2531" w:type="dxa"/>
            <w:tcBorders>
              <w:top w:val="nil"/>
              <w:left w:val="nil"/>
              <w:bottom w:val="nil"/>
              <w:right w:val="nil"/>
            </w:tcBorders>
            <w:vAlign w:val="center"/>
          </w:tcPr>
          <w:p w14:paraId="4335A3DD">
            <w:pPr>
              <w:jc w:val="center"/>
              <w:rPr>
                <w:rFonts w:ascii="Times New Roman" w:hAnsi="Times New Roman" w:cs="Times New Roman"/>
                <w:sz w:val="18"/>
                <w:szCs w:val="18"/>
              </w:rPr>
            </w:pPr>
            <w:r>
              <w:rPr>
                <w:rStyle w:val="5"/>
                <w:rFonts w:ascii="Times New Roman" w:hAnsi="Times New Roman" w:eastAsia="宋体" w:cs="Times New Roman"/>
                <w:sz w:val="18"/>
                <w:szCs w:val="18"/>
                <w:lang w:eastAsia="zh-CN" w:bidi="ar"/>
              </w:rPr>
              <w:t>Sitting/Standing/Lying</w:t>
            </w:r>
          </w:p>
        </w:tc>
        <w:tc>
          <w:tcPr>
            <w:tcW w:w="1948" w:type="dxa"/>
            <w:tcBorders>
              <w:top w:val="nil"/>
              <w:left w:val="nil"/>
              <w:bottom w:val="nil"/>
              <w:right w:val="nil"/>
            </w:tcBorders>
            <w:vAlign w:val="center"/>
          </w:tcPr>
          <w:p w14:paraId="7BDC260E">
            <w:pPr>
              <w:jc w:val="center"/>
              <w:rPr>
                <w:rFonts w:ascii="Times New Roman" w:hAnsi="Times New Roman" w:eastAsia="宋体" w:cs="Times New Roman"/>
                <w:sz w:val="18"/>
                <w:szCs w:val="18"/>
                <w:lang w:eastAsia="zh-CN"/>
              </w:rPr>
            </w:pPr>
            <w:r>
              <w:rPr>
                <w:rStyle w:val="5"/>
                <w:rFonts w:ascii="Times New Roman" w:hAnsi="Times New Roman" w:eastAsia="宋体" w:cs="Times New Roman"/>
                <w:sz w:val="18"/>
                <w:szCs w:val="18"/>
                <w:lang w:eastAsia="zh-CN" w:bidi="ar"/>
              </w:rPr>
              <w:t>Sitting/Standing/Lying</w:t>
            </w:r>
          </w:p>
        </w:tc>
        <w:tc>
          <w:tcPr>
            <w:tcW w:w="1363" w:type="dxa"/>
            <w:tcBorders>
              <w:top w:val="nil"/>
              <w:left w:val="nil"/>
              <w:bottom w:val="nil"/>
              <w:right w:val="nil"/>
            </w:tcBorders>
            <w:vAlign w:val="center"/>
          </w:tcPr>
          <w:p w14:paraId="47ACEB69">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1</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N</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N</w:t>
            </w:r>
          </w:p>
        </w:tc>
        <w:tc>
          <w:tcPr>
            <w:tcW w:w="2324" w:type="dxa"/>
            <w:tcBorders>
              <w:top w:val="nil"/>
              <w:left w:val="nil"/>
              <w:bottom w:val="nil"/>
              <w:right w:val="nil"/>
            </w:tcBorders>
            <w:vAlign w:val="center"/>
          </w:tcPr>
          <w:p w14:paraId="4FCFEC97">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Non</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invertible; reported as “stationary” in aligned</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only. (</w:t>
            </w:r>
            <w:r>
              <w:fldChar w:fldCharType="begin"/>
            </w:r>
            <w:r>
              <w:instrText xml:space="preserve"> HYPERLINK "https://journals.plos.org/plosone/article?id=10.1371/journal.pone.0075196&amp;utm_source=chatgpt.com" \o "Hierarchical, Multi-Sensor Based Classification of Daily Life ..." </w:instrText>
            </w:r>
            <w:r>
              <w:fldChar w:fldCharType="separate"/>
            </w:r>
            <w:r>
              <w:rPr>
                <w:rStyle w:val="8"/>
                <w:rFonts w:ascii="Times New Roman" w:hAnsi="Times New Roman" w:eastAsia="宋体" w:cs="Times New Roman"/>
                <w:sz w:val="18"/>
                <w:szCs w:val="18"/>
              </w:rPr>
              <w:t>PLOS</w:t>
            </w:r>
            <w:r>
              <w:rPr>
                <w:rStyle w:val="8"/>
                <w:rFonts w:ascii="Times New Roman" w:hAnsi="Times New Roman" w:eastAsia="宋体" w:cs="Times New Roman"/>
                <w:sz w:val="18"/>
                <w:szCs w:val="18"/>
              </w:rPr>
              <w:fldChar w:fldCharType="end"/>
            </w:r>
            <w:r>
              <w:rPr>
                <w:rFonts w:ascii="Times New Roman" w:hAnsi="Times New Roman" w:eastAsia="宋体" w:cs="Times New Roman"/>
                <w:sz w:val="18"/>
                <w:szCs w:val="18"/>
                <w:lang w:eastAsia="zh-CN" w:bidi="ar"/>
              </w:rPr>
              <w:t>)</w:t>
            </w:r>
          </w:p>
        </w:tc>
      </w:tr>
      <w:tr w14:paraId="1FAA8A44">
        <w:tblPrEx>
          <w:tblCellMar>
            <w:top w:w="43" w:type="dxa"/>
            <w:left w:w="0" w:type="dxa"/>
            <w:bottom w:w="0" w:type="dxa"/>
            <w:right w:w="0" w:type="dxa"/>
          </w:tblCellMar>
        </w:tblPrEx>
        <w:trPr>
          <w:trHeight w:val="608" w:hRule="atLeast"/>
        </w:trPr>
        <w:tc>
          <w:tcPr>
            <w:tcW w:w="1791" w:type="dxa"/>
            <w:tcBorders>
              <w:top w:val="nil"/>
              <w:left w:val="nil"/>
              <w:bottom w:val="nil"/>
              <w:right w:val="nil"/>
            </w:tcBorders>
            <w:vAlign w:val="center"/>
          </w:tcPr>
          <w:p w14:paraId="7D2F9EFA">
            <w:pPr>
              <w:jc w:val="center"/>
              <w:rPr>
                <w:rFonts w:ascii="Times New Roman" w:hAnsi="Times New Roman" w:eastAsia="宋体" w:cs="Times New Roman"/>
                <w:sz w:val="18"/>
                <w:szCs w:val="18"/>
                <w:lang w:eastAsia="zh-CN" w:bidi="ar"/>
              </w:rPr>
            </w:pPr>
            <w:r>
              <w:rPr>
                <w:rStyle w:val="5"/>
                <w:rFonts w:ascii="Times New Roman" w:hAnsi="Times New Roman" w:eastAsia="宋体" w:cs="Times New Roman"/>
                <w:sz w:val="18"/>
                <w:szCs w:val="18"/>
                <w:lang w:eastAsia="zh-CN" w:bidi="ar"/>
              </w:rPr>
              <w:t>Bus/Car/Train/Subway</w:t>
            </w:r>
          </w:p>
        </w:tc>
        <w:tc>
          <w:tcPr>
            <w:tcW w:w="2531" w:type="dxa"/>
            <w:tcBorders>
              <w:top w:val="nil"/>
              <w:left w:val="nil"/>
              <w:bottom w:val="nil"/>
              <w:right w:val="nil"/>
            </w:tcBorders>
            <w:vAlign w:val="center"/>
          </w:tcPr>
          <w:p w14:paraId="26F2CDE4">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w:t>
            </w:r>
          </w:p>
        </w:tc>
        <w:tc>
          <w:tcPr>
            <w:tcW w:w="1948" w:type="dxa"/>
            <w:tcBorders>
              <w:top w:val="nil"/>
              <w:left w:val="nil"/>
              <w:bottom w:val="nil"/>
              <w:right w:val="nil"/>
            </w:tcBorders>
            <w:vAlign w:val="center"/>
          </w:tcPr>
          <w:p w14:paraId="4BD15B0D">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w:t>
            </w:r>
          </w:p>
        </w:tc>
        <w:tc>
          <w:tcPr>
            <w:tcW w:w="1363" w:type="dxa"/>
            <w:tcBorders>
              <w:top w:val="nil"/>
              <w:left w:val="nil"/>
              <w:bottom w:val="nil"/>
              <w:right w:val="nil"/>
            </w:tcBorders>
            <w:vAlign w:val="center"/>
          </w:tcPr>
          <w:p w14:paraId="399ED68B">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4</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NA</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NA</w:t>
            </w:r>
          </w:p>
        </w:tc>
        <w:tc>
          <w:tcPr>
            <w:tcW w:w="2324" w:type="dxa"/>
            <w:tcBorders>
              <w:top w:val="nil"/>
              <w:left w:val="nil"/>
              <w:bottom w:val="nil"/>
              <w:right w:val="nil"/>
            </w:tcBorders>
            <w:vAlign w:val="center"/>
          </w:tcPr>
          <w:p w14:paraId="1D995DA7">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SHL</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only transport modes. (</w:t>
            </w:r>
            <w:r>
              <w:fldChar w:fldCharType="begin"/>
            </w:r>
            <w:r>
              <w:instrText xml:space="preserve"> HYPERLINK "https://www.frontiersin.org/journals/computer-science/articles/10.3389/fcomp.2021.713719/full?utm_source=chatgpt.com" \o "Three-Year Review of the 2018–2020 SHL Challenge on ..." </w:instrText>
            </w:r>
            <w:r>
              <w:fldChar w:fldCharType="separate"/>
            </w:r>
            <w:r>
              <w:rPr>
                <w:rStyle w:val="8"/>
                <w:rFonts w:ascii="Times New Roman" w:hAnsi="Times New Roman" w:eastAsia="宋体" w:cs="Times New Roman"/>
                <w:sz w:val="18"/>
                <w:szCs w:val="18"/>
              </w:rPr>
              <w:t>Frontiers</w:t>
            </w:r>
            <w:r>
              <w:rPr>
                <w:rStyle w:val="8"/>
                <w:rFonts w:ascii="Times New Roman" w:hAnsi="Times New Roman" w:eastAsia="宋体" w:cs="Times New Roman"/>
                <w:sz w:val="18"/>
                <w:szCs w:val="18"/>
              </w:rPr>
              <w:fldChar w:fldCharType="end"/>
            </w:r>
            <w:r>
              <w:rPr>
                <w:rFonts w:ascii="Times New Roman" w:hAnsi="Times New Roman" w:eastAsia="宋体" w:cs="Times New Roman"/>
                <w:sz w:val="18"/>
                <w:szCs w:val="18"/>
                <w:lang w:eastAsia="zh-CN" w:bidi="ar"/>
              </w:rPr>
              <w:t>)</w:t>
            </w:r>
          </w:p>
        </w:tc>
      </w:tr>
    </w:tbl>
    <w:p w14:paraId="6C8707D3">
      <w:pPr>
        <w:pStyle w:val="2"/>
        <w:spacing w:before="198" w:line="344" w:lineRule="auto"/>
        <w:rPr>
          <w:sz w:val="24"/>
          <w:szCs w:val="24"/>
        </w:rPr>
      </w:pPr>
    </w:p>
    <w:p w14:paraId="1344218A">
      <w:pPr>
        <w:pStyle w:val="2"/>
        <w:spacing w:before="198" w:line="344" w:lineRule="auto"/>
        <w:jc w:val="center"/>
        <w:rPr>
          <w:color w:val="231F20"/>
          <w:spacing w:val="2"/>
          <w:sz w:val="18"/>
          <w:szCs w:val="18"/>
        </w:rPr>
      </w:pPr>
      <w:r>
        <w:rPr>
          <w:color w:val="231F20"/>
          <w:spacing w:val="2"/>
          <w:sz w:val="18"/>
          <w:szCs w:val="18"/>
        </w:rPr>
        <w:t>TABLE</w:t>
      </w:r>
      <w:r>
        <w:rPr>
          <w:color w:val="231F20"/>
          <w:spacing w:val="20"/>
          <w:w w:val="102"/>
          <w:sz w:val="18"/>
          <w:szCs w:val="18"/>
        </w:rPr>
        <w:t xml:space="preserve"> </w:t>
      </w:r>
      <w:r>
        <w:rPr>
          <w:rFonts w:hint="eastAsia" w:eastAsia="宋体"/>
          <w:color w:val="231F20"/>
          <w:spacing w:val="20"/>
          <w:w w:val="102"/>
          <w:sz w:val="18"/>
          <w:szCs w:val="18"/>
          <w:lang w:eastAsia="zh-CN"/>
        </w:rPr>
        <w:t>7</w:t>
      </w:r>
      <w:r>
        <w:rPr>
          <w:color w:val="231F20"/>
          <w:spacing w:val="2"/>
          <w:sz w:val="18"/>
          <w:szCs w:val="18"/>
        </w:rPr>
        <w:t>.</w:t>
      </w:r>
      <w:r>
        <w:rPr>
          <w:color w:val="231F20"/>
          <w:spacing w:val="10"/>
          <w:w w:val="102"/>
          <w:sz w:val="18"/>
          <w:szCs w:val="18"/>
        </w:rPr>
        <w:t xml:space="preserve"> </w:t>
      </w:r>
      <w:r>
        <w:rPr>
          <w:rFonts w:hint="eastAsia"/>
          <w:color w:val="231F20"/>
          <w:spacing w:val="2"/>
          <w:sz w:val="18"/>
          <w:szCs w:val="18"/>
        </w:rPr>
        <w:t>Planned subject/split design</w:t>
      </w:r>
    </w:p>
    <w:tbl>
      <w:tblPr>
        <w:tblStyle w:val="10"/>
        <w:tblpPr w:leftFromText="180" w:rightFromText="180" w:vertAnchor="text" w:horzAnchor="page" w:tblpX="1534" w:tblpY="23"/>
        <w:tblOverlap w:val="never"/>
        <w:tblW w:w="9365" w:type="dxa"/>
        <w:tblInd w:w="0" w:type="dxa"/>
        <w:tblLayout w:type="autofit"/>
        <w:tblCellMar>
          <w:top w:w="43" w:type="dxa"/>
          <w:left w:w="0" w:type="dxa"/>
          <w:bottom w:w="0" w:type="dxa"/>
          <w:right w:w="0" w:type="dxa"/>
        </w:tblCellMar>
      </w:tblPr>
      <w:tblGrid>
        <w:gridCol w:w="1791"/>
        <w:gridCol w:w="2531"/>
        <w:gridCol w:w="1948"/>
        <w:gridCol w:w="1363"/>
        <w:gridCol w:w="1732"/>
      </w:tblGrid>
      <w:tr w14:paraId="428B2761">
        <w:tblPrEx>
          <w:tblCellMar>
            <w:top w:w="43" w:type="dxa"/>
            <w:left w:w="0" w:type="dxa"/>
            <w:bottom w:w="0" w:type="dxa"/>
            <w:right w:w="0" w:type="dxa"/>
          </w:tblCellMar>
        </w:tblPrEx>
        <w:trPr>
          <w:trHeight w:val="699" w:hRule="atLeast"/>
        </w:trPr>
        <w:tc>
          <w:tcPr>
            <w:tcW w:w="1791" w:type="dxa"/>
            <w:tcBorders>
              <w:top w:val="single" w:color="000000" w:sz="6" w:space="0"/>
              <w:left w:val="nil"/>
              <w:bottom w:val="single" w:color="000000" w:sz="4" w:space="0"/>
              <w:right w:val="nil"/>
            </w:tcBorders>
            <w:vAlign w:val="center"/>
          </w:tcPr>
          <w:p w14:paraId="37C77696">
            <w:pPr>
              <w:jc w:val="center"/>
              <w:rPr>
                <w:rFonts w:ascii="Times New Roman" w:hAnsi="Times New Roman" w:eastAsia="宋体" w:cs="Times New Roman"/>
                <w:sz w:val="18"/>
                <w:szCs w:val="18"/>
                <w:lang w:eastAsia="zh-CN"/>
              </w:rPr>
            </w:pPr>
            <w:r>
              <w:rPr>
                <w:rFonts w:ascii="Times New Roman" w:hAnsi="Times New Roman" w:eastAsia="宋体" w:cs="Times New Roman"/>
                <w:b/>
                <w:bCs/>
                <w:sz w:val="18"/>
                <w:szCs w:val="18"/>
                <w:lang w:eastAsia="zh-CN" w:bidi="ar"/>
              </w:rPr>
              <w:t>Dataset</w:t>
            </w:r>
          </w:p>
        </w:tc>
        <w:tc>
          <w:tcPr>
            <w:tcW w:w="2531" w:type="dxa"/>
            <w:tcBorders>
              <w:top w:val="single" w:color="000000" w:sz="6" w:space="0"/>
              <w:left w:val="nil"/>
              <w:bottom w:val="single" w:color="000000" w:sz="4" w:space="0"/>
              <w:right w:val="nil"/>
            </w:tcBorders>
            <w:vAlign w:val="center"/>
          </w:tcPr>
          <w:p w14:paraId="7A1D2EF5">
            <w:pPr>
              <w:jc w:val="center"/>
              <w:rPr>
                <w:rFonts w:ascii="Times New Roman" w:hAnsi="Times New Roman" w:eastAsia="宋体" w:cs="Times New Roman"/>
                <w:sz w:val="18"/>
                <w:szCs w:val="18"/>
                <w:lang w:eastAsia="zh-CN"/>
              </w:rPr>
            </w:pPr>
            <w:r>
              <w:rPr>
                <w:rFonts w:ascii="Times New Roman" w:hAnsi="Times New Roman" w:eastAsia="宋体" w:cs="Times New Roman"/>
                <w:b/>
                <w:bCs/>
                <w:sz w:val="18"/>
                <w:szCs w:val="18"/>
                <w:lang w:eastAsia="zh-CN" w:bidi="ar"/>
              </w:rPr>
              <w:t>Subjects available</w:t>
            </w:r>
          </w:p>
        </w:tc>
        <w:tc>
          <w:tcPr>
            <w:tcW w:w="1948" w:type="dxa"/>
            <w:tcBorders>
              <w:top w:val="single" w:color="000000" w:sz="6" w:space="0"/>
              <w:left w:val="nil"/>
              <w:bottom w:val="single" w:color="000000" w:sz="4" w:space="0"/>
              <w:right w:val="nil"/>
            </w:tcBorders>
            <w:vAlign w:val="center"/>
          </w:tcPr>
          <w:p w14:paraId="4C9F5E5F">
            <w:pPr>
              <w:jc w:val="center"/>
              <w:rPr>
                <w:rFonts w:ascii="Times New Roman" w:hAnsi="Times New Roman" w:cs="Times New Roman"/>
                <w:sz w:val="18"/>
                <w:szCs w:val="18"/>
              </w:rPr>
            </w:pPr>
            <w:r>
              <w:rPr>
                <w:rFonts w:ascii="Times New Roman" w:hAnsi="Times New Roman" w:eastAsia="宋体" w:cs="Times New Roman"/>
                <w:b/>
                <w:bCs/>
                <w:sz w:val="18"/>
                <w:szCs w:val="18"/>
                <w:lang w:eastAsia="zh-CN" w:bidi="ar"/>
              </w:rPr>
              <w:t>Split plan per fold</w:t>
            </w:r>
          </w:p>
        </w:tc>
        <w:tc>
          <w:tcPr>
            <w:tcW w:w="1363" w:type="dxa"/>
            <w:tcBorders>
              <w:top w:val="single" w:color="000000" w:sz="6" w:space="0"/>
              <w:left w:val="nil"/>
              <w:bottom w:val="single" w:color="000000" w:sz="4" w:space="0"/>
              <w:right w:val="nil"/>
            </w:tcBorders>
            <w:vAlign w:val="center"/>
          </w:tcPr>
          <w:p w14:paraId="18F4359C">
            <w:pPr>
              <w:jc w:val="center"/>
              <w:rPr>
                <w:rFonts w:ascii="Times New Roman" w:hAnsi="Times New Roman" w:cs="Times New Roman"/>
                <w:b/>
                <w:sz w:val="18"/>
                <w:szCs w:val="18"/>
              </w:rPr>
            </w:pPr>
            <w:r>
              <w:rPr>
                <w:rFonts w:ascii="Times New Roman" w:hAnsi="Times New Roman" w:eastAsia="宋体" w:cs="Times New Roman"/>
                <w:b/>
                <w:bCs/>
                <w:sz w:val="18"/>
                <w:szCs w:val="18"/>
                <w:lang w:eastAsia="zh-CN" w:bidi="ar"/>
              </w:rPr>
              <w:t>Calibration policy</w:t>
            </w:r>
          </w:p>
        </w:tc>
        <w:tc>
          <w:tcPr>
            <w:tcW w:w="1732" w:type="dxa"/>
            <w:tcBorders>
              <w:top w:val="single" w:color="000000" w:sz="6" w:space="0"/>
              <w:left w:val="nil"/>
              <w:bottom w:val="single" w:color="000000" w:sz="4" w:space="0"/>
              <w:right w:val="nil"/>
            </w:tcBorders>
            <w:vAlign w:val="center"/>
          </w:tcPr>
          <w:p w14:paraId="6BB96601">
            <w:pPr>
              <w:jc w:val="center"/>
              <w:rPr>
                <w:rFonts w:ascii="Times New Roman" w:hAnsi="Times New Roman" w:eastAsia="宋体" w:cs="Times New Roman"/>
                <w:b/>
                <w:bCs/>
                <w:sz w:val="18"/>
                <w:szCs w:val="18"/>
                <w:lang w:eastAsia="zh-CN" w:bidi="ar"/>
              </w:rPr>
            </w:pPr>
            <w:r>
              <w:rPr>
                <w:rFonts w:ascii="Times New Roman" w:hAnsi="Times New Roman" w:eastAsia="宋体" w:cs="Times New Roman"/>
                <w:b/>
                <w:bCs/>
                <w:sz w:val="18"/>
                <w:szCs w:val="18"/>
                <w:lang w:eastAsia="zh-CN" w:bidi="ar"/>
              </w:rPr>
              <w:t>Rationale</w:t>
            </w:r>
          </w:p>
        </w:tc>
      </w:tr>
      <w:tr w14:paraId="5230C288">
        <w:tblPrEx>
          <w:tblCellMar>
            <w:top w:w="43" w:type="dxa"/>
            <w:left w:w="0" w:type="dxa"/>
            <w:bottom w:w="0" w:type="dxa"/>
            <w:right w:w="0" w:type="dxa"/>
          </w:tblCellMar>
        </w:tblPrEx>
        <w:trPr>
          <w:trHeight w:val="637" w:hRule="atLeast"/>
        </w:trPr>
        <w:tc>
          <w:tcPr>
            <w:tcW w:w="1791" w:type="dxa"/>
            <w:tcBorders>
              <w:top w:val="single" w:color="000000" w:sz="4" w:space="0"/>
              <w:left w:val="nil"/>
              <w:bottom w:val="nil"/>
              <w:right w:val="nil"/>
            </w:tcBorders>
            <w:vAlign w:val="center"/>
          </w:tcPr>
          <w:p w14:paraId="6F72872E">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SHL</w:t>
            </w:r>
          </w:p>
        </w:tc>
        <w:tc>
          <w:tcPr>
            <w:tcW w:w="2531" w:type="dxa"/>
            <w:tcBorders>
              <w:top w:val="single" w:color="000000" w:sz="4" w:space="0"/>
              <w:left w:val="nil"/>
              <w:bottom w:val="nil"/>
              <w:right w:val="nil"/>
            </w:tcBorders>
            <w:vAlign w:val="center"/>
          </w:tcPr>
          <w:p w14:paraId="17B8F2D7">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3 users</w:t>
            </w:r>
          </w:p>
        </w:tc>
        <w:tc>
          <w:tcPr>
            <w:tcW w:w="1948" w:type="dxa"/>
            <w:tcBorders>
              <w:top w:val="single" w:color="000000" w:sz="4" w:space="0"/>
              <w:left w:val="nil"/>
              <w:bottom w:val="nil"/>
              <w:right w:val="nil"/>
            </w:tcBorders>
            <w:vAlign w:val="center"/>
          </w:tcPr>
          <w:p w14:paraId="2D48D0CA">
            <w:pPr>
              <w:jc w:val="center"/>
              <w:rPr>
                <w:rFonts w:ascii="Times New Roman" w:hAnsi="Times New Roman" w:eastAsia="宋体" w:cs="Times New Roman"/>
                <w:sz w:val="18"/>
                <w:szCs w:val="18"/>
                <w:lang w:eastAsia="zh-CN"/>
              </w:rPr>
            </w:pPr>
            <w:r>
              <w:rPr>
                <w:rStyle w:val="5"/>
                <w:rFonts w:ascii="Times New Roman" w:hAnsi="Times New Roman" w:eastAsia="宋体" w:cs="Times New Roman"/>
                <w:sz w:val="18"/>
                <w:szCs w:val="18"/>
                <w:lang w:eastAsia="zh-CN" w:bidi="ar"/>
              </w:rPr>
              <w:t>LOUO</w:t>
            </w:r>
            <w:r>
              <w:rPr>
                <w:rFonts w:ascii="Times New Roman" w:hAnsi="Times New Roman" w:eastAsia="宋体" w:cs="Times New Roman"/>
                <w:sz w:val="18"/>
                <w:szCs w:val="18"/>
                <w:lang w:eastAsia="zh-CN" w:bidi="ar"/>
              </w:rPr>
              <w:t xml:space="preserve"> (1 test, 2 train)</w:t>
            </w:r>
          </w:p>
        </w:tc>
        <w:tc>
          <w:tcPr>
            <w:tcW w:w="1363" w:type="dxa"/>
            <w:tcBorders>
              <w:top w:val="single" w:color="000000" w:sz="4" w:space="0"/>
              <w:left w:val="nil"/>
              <w:bottom w:val="nil"/>
              <w:right w:val="nil"/>
            </w:tcBorders>
            <w:vAlign w:val="center"/>
          </w:tcPr>
          <w:p w14:paraId="5D7E8F13">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Windows from training users</w:t>
            </w:r>
          </w:p>
        </w:tc>
        <w:tc>
          <w:tcPr>
            <w:tcW w:w="1732" w:type="dxa"/>
            <w:tcBorders>
              <w:top w:val="single" w:color="000000" w:sz="4" w:space="0"/>
              <w:left w:val="nil"/>
              <w:bottom w:val="nil"/>
              <w:right w:val="nil"/>
            </w:tcBorders>
            <w:vAlign w:val="center"/>
          </w:tcPr>
          <w:p w14:paraId="5B43C6DC">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Too few users for subject</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disjoint calibration; test user unseen. (</w:t>
            </w:r>
            <w:r>
              <w:fldChar w:fldCharType="begin"/>
            </w:r>
            <w:r>
              <w:instrText xml:space="preserve"> HYPERLINK "https://www.frontiersin.org/journals/computer-science/articles/10.3389/fcomp.2021.713719/full?utm_source=chatgpt.com" \o "Three-Year Review of the 2018–2020 SHL Challenge on ..." </w:instrText>
            </w:r>
            <w:r>
              <w:fldChar w:fldCharType="separate"/>
            </w:r>
            <w:r>
              <w:rPr>
                <w:rStyle w:val="8"/>
                <w:rFonts w:ascii="Times New Roman" w:hAnsi="Times New Roman" w:eastAsia="宋体" w:cs="Times New Roman"/>
                <w:sz w:val="18"/>
                <w:szCs w:val="18"/>
              </w:rPr>
              <w:t>Frontiers</w:t>
            </w:r>
            <w:r>
              <w:rPr>
                <w:rStyle w:val="8"/>
                <w:rFonts w:ascii="Times New Roman" w:hAnsi="Times New Roman" w:eastAsia="宋体" w:cs="Times New Roman"/>
                <w:sz w:val="18"/>
                <w:szCs w:val="18"/>
              </w:rPr>
              <w:fldChar w:fldCharType="end"/>
            </w:r>
            <w:r>
              <w:rPr>
                <w:rFonts w:ascii="Times New Roman" w:hAnsi="Times New Roman" w:eastAsia="宋体" w:cs="Times New Roman"/>
                <w:sz w:val="18"/>
                <w:szCs w:val="18"/>
                <w:lang w:eastAsia="zh-CN" w:bidi="ar"/>
              </w:rPr>
              <w:t>)</w:t>
            </w:r>
          </w:p>
        </w:tc>
      </w:tr>
      <w:tr w14:paraId="1CB2F815">
        <w:tblPrEx>
          <w:tblCellMar>
            <w:top w:w="43" w:type="dxa"/>
            <w:left w:w="0" w:type="dxa"/>
            <w:bottom w:w="0" w:type="dxa"/>
            <w:right w:w="0" w:type="dxa"/>
          </w:tblCellMar>
        </w:tblPrEx>
        <w:trPr>
          <w:trHeight w:val="831" w:hRule="atLeast"/>
        </w:trPr>
        <w:tc>
          <w:tcPr>
            <w:tcW w:w="1791" w:type="dxa"/>
            <w:tcBorders>
              <w:top w:val="nil"/>
              <w:left w:val="nil"/>
              <w:bottom w:val="nil"/>
              <w:right w:val="nil"/>
            </w:tcBorders>
            <w:vAlign w:val="center"/>
          </w:tcPr>
          <w:p w14:paraId="33A3C8BA">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DaLiAc</w:t>
            </w:r>
          </w:p>
        </w:tc>
        <w:tc>
          <w:tcPr>
            <w:tcW w:w="2531" w:type="dxa"/>
            <w:tcBorders>
              <w:top w:val="nil"/>
              <w:left w:val="nil"/>
              <w:bottom w:val="nil"/>
              <w:right w:val="nil"/>
            </w:tcBorders>
            <w:vAlign w:val="center"/>
          </w:tcPr>
          <w:p w14:paraId="2D5861EF">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19 subjects</w:t>
            </w:r>
          </w:p>
        </w:tc>
        <w:tc>
          <w:tcPr>
            <w:tcW w:w="1948" w:type="dxa"/>
            <w:tcBorders>
              <w:top w:val="nil"/>
              <w:left w:val="nil"/>
              <w:bottom w:val="nil"/>
              <w:right w:val="nil"/>
            </w:tcBorders>
            <w:vAlign w:val="center"/>
          </w:tcPr>
          <w:p w14:paraId="32B1E9EA">
            <w:pPr>
              <w:jc w:val="center"/>
              <w:rPr>
                <w:rFonts w:ascii="Times New Roman" w:hAnsi="Times New Roman" w:eastAsia="宋体" w:cs="Times New Roman"/>
                <w:sz w:val="18"/>
                <w:szCs w:val="18"/>
                <w:lang w:eastAsia="zh-CN"/>
              </w:rPr>
            </w:pPr>
            <w:r>
              <w:rPr>
                <w:rStyle w:val="5"/>
                <w:rFonts w:ascii="Times New Roman" w:hAnsi="Times New Roman" w:eastAsia="宋体" w:cs="Times New Roman"/>
                <w:sz w:val="18"/>
                <w:szCs w:val="18"/>
                <w:lang w:eastAsia="zh-CN" w:bidi="ar"/>
              </w:rPr>
              <w:t>LOSO</w:t>
            </w:r>
            <w:r>
              <w:rPr>
                <w:rFonts w:ascii="Times New Roman" w:hAnsi="Times New Roman" w:eastAsia="宋体" w:cs="Times New Roman"/>
                <w:sz w:val="18"/>
                <w:szCs w:val="18"/>
                <w:lang w:eastAsia="zh-CN" w:bidi="ar"/>
              </w:rPr>
              <w:t xml:space="preserve"> (≈ 3 test)</w:t>
            </w:r>
          </w:p>
        </w:tc>
        <w:tc>
          <w:tcPr>
            <w:tcW w:w="1363" w:type="dxa"/>
            <w:tcBorders>
              <w:top w:val="nil"/>
              <w:left w:val="nil"/>
              <w:bottom w:val="nil"/>
              <w:right w:val="nil"/>
            </w:tcBorders>
            <w:vAlign w:val="center"/>
          </w:tcPr>
          <w:p w14:paraId="6E67728C">
            <w:pPr>
              <w:jc w:val="center"/>
              <w:rPr>
                <w:rFonts w:ascii="Times New Roman" w:hAnsi="Times New Roman" w:cs="Times New Roman"/>
                <w:sz w:val="18"/>
                <w:szCs w:val="18"/>
              </w:rPr>
            </w:pPr>
            <w:r>
              <w:rPr>
                <w:rStyle w:val="5"/>
                <w:rFonts w:ascii="Times New Roman" w:hAnsi="Times New Roman" w:eastAsia="宋体" w:cs="Times New Roman"/>
                <w:sz w:val="18"/>
                <w:szCs w:val="18"/>
                <w:lang w:eastAsia="zh-CN" w:bidi="ar"/>
              </w:rPr>
              <w:t>Subject</w:t>
            </w:r>
            <w:r>
              <w:rPr>
                <w:rStyle w:val="5"/>
                <w:rFonts w:ascii="Times New Roman" w:hAnsi="Times New Roman" w:eastAsia="宋体" w:cs="Times New Roman"/>
                <w:sz w:val="18"/>
                <w:szCs w:val="18"/>
                <w:lang w:eastAsia="zh-CN" w:bidi="ar"/>
              </w:rPr>
              <w:noBreakHyphen/>
            </w:r>
            <w:r>
              <w:rPr>
                <w:rStyle w:val="5"/>
                <w:rFonts w:ascii="Times New Roman" w:hAnsi="Times New Roman" w:eastAsia="宋体" w:cs="Times New Roman"/>
                <w:sz w:val="18"/>
                <w:szCs w:val="18"/>
                <w:lang w:eastAsia="zh-CN" w:bidi="ar"/>
              </w:rPr>
              <w:t>disjoint</w:t>
            </w:r>
          </w:p>
        </w:tc>
        <w:tc>
          <w:tcPr>
            <w:tcW w:w="1732" w:type="dxa"/>
            <w:tcBorders>
              <w:top w:val="nil"/>
              <w:left w:val="nil"/>
              <w:bottom w:val="nil"/>
              <w:right w:val="nil"/>
            </w:tcBorders>
            <w:vAlign w:val="center"/>
          </w:tcPr>
          <w:p w14:paraId="11A25C13">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Ample subjects; mirrors deployment. (</w:t>
            </w:r>
            <w:r>
              <w:fldChar w:fldCharType="begin"/>
            </w:r>
            <w:r>
              <w:instrText xml:space="preserve"> HYPERLINK "https://journals.plos.org/plosone/article?id=10.1371/journal.pone.0075196&amp;utm_source=chatgpt.com" \o "Hierarchical, Multi-Sensor Based Classification of Daily Life ..." </w:instrText>
            </w:r>
            <w:r>
              <w:fldChar w:fldCharType="separate"/>
            </w:r>
            <w:r>
              <w:rPr>
                <w:rStyle w:val="8"/>
                <w:rFonts w:ascii="Times New Roman" w:hAnsi="Times New Roman" w:eastAsia="宋体" w:cs="Times New Roman"/>
                <w:sz w:val="18"/>
                <w:szCs w:val="18"/>
              </w:rPr>
              <w:t>PLOS</w:t>
            </w:r>
            <w:r>
              <w:rPr>
                <w:rStyle w:val="8"/>
                <w:rFonts w:ascii="Times New Roman" w:hAnsi="Times New Roman" w:eastAsia="宋体" w:cs="Times New Roman"/>
                <w:sz w:val="18"/>
                <w:szCs w:val="18"/>
              </w:rPr>
              <w:fldChar w:fldCharType="end"/>
            </w:r>
            <w:r>
              <w:rPr>
                <w:rFonts w:ascii="Times New Roman" w:hAnsi="Times New Roman" w:eastAsia="宋体" w:cs="Times New Roman"/>
                <w:sz w:val="18"/>
                <w:szCs w:val="18"/>
                <w:lang w:eastAsia="zh-CN" w:bidi="ar"/>
              </w:rPr>
              <w:t>)</w:t>
            </w:r>
          </w:p>
        </w:tc>
      </w:tr>
      <w:tr w14:paraId="4D30F8F8">
        <w:tblPrEx>
          <w:tblCellMar>
            <w:top w:w="43" w:type="dxa"/>
            <w:left w:w="0" w:type="dxa"/>
            <w:bottom w:w="0" w:type="dxa"/>
            <w:right w:w="0" w:type="dxa"/>
          </w:tblCellMar>
        </w:tblPrEx>
        <w:trPr>
          <w:trHeight w:val="608" w:hRule="atLeast"/>
        </w:trPr>
        <w:tc>
          <w:tcPr>
            <w:tcW w:w="1791" w:type="dxa"/>
            <w:tcBorders>
              <w:top w:val="nil"/>
              <w:left w:val="nil"/>
              <w:bottom w:val="nil"/>
              <w:right w:val="nil"/>
            </w:tcBorders>
            <w:vAlign w:val="center"/>
          </w:tcPr>
          <w:p w14:paraId="18E3F36E">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RealWorld</w:t>
            </w:r>
          </w:p>
        </w:tc>
        <w:tc>
          <w:tcPr>
            <w:tcW w:w="2531" w:type="dxa"/>
            <w:tcBorders>
              <w:top w:val="nil"/>
              <w:left w:val="nil"/>
              <w:bottom w:val="nil"/>
              <w:right w:val="nil"/>
            </w:tcBorders>
            <w:vAlign w:val="center"/>
          </w:tcPr>
          <w:p w14:paraId="7BFE8678">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15 subjects</w:t>
            </w:r>
          </w:p>
        </w:tc>
        <w:tc>
          <w:tcPr>
            <w:tcW w:w="1948" w:type="dxa"/>
            <w:tcBorders>
              <w:top w:val="nil"/>
              <w:left w:val="nil"/>
              <w:bottom w:val="nil"/>
              <w:right w:val="nil"/>
            </w:tcBorders>
            <w:vAlign w:val="center"/>
          </w:tcPr>
          <w:p w14:paraId="6E799CAE">
            <w:pPr>
              <w:jc w:val="center"/>
              <w:rPr>
                <w:rFonts w:ascii="Times New Roman" w:hAnsi="Times New Roman" w:eastAsia="宋体" w:cs="Times New Roman"/>
                <w:sz w:val="18"/>
                <w:szCs w:val="18"/>
                <w:lang w:eastAsia="zh-CN"/>
              </w:rPr>
            </w:pPr>
            <w:r>
              <w:rPr>
                <w:rStyle w:val="5"/>
                <w:rFonts w:ascii="Times New Roman" w:hAnsi="Times New Roman" w:eastAsia="宋体" w:cs="Times New Roman"/>
                <w:sz w:val="18"/>
                <w:szCs w:val="18"/>
                <w:lang w:eastAsia="zh-CN" w:bidi="ar"/>
              </w:rPr>
              <w:t>LOSO</w:t>
            </w:r>
            <w:r>
              <w:rPr>
                <w:rFonts w:ascii="Times New Roman" w:hAnsi="Times New Roman" w:eastAsia="宋体" w:cs="Times New Roman"/>
                <w:sz w:val="18"/>
                <w:szCs w:val="18"/>
                <w:lang w:eastAsia="zh-CN" w:bidi="ar"/>
              </w:rPr>
              <w:t xml:space="preserve"> (≈ 3 test)</w:t>
            </w:r>
          </w:p>
        </w:tc>
        <w:tc>
          <w:tcPr>
            <w:tcW w:w="1363" w:type="dxa"/>
            <w:tcBorders>
              <w:top w:val="nil"/>
              <w:left w:val="nil"/>
              <w:bottom w:val="nil"/>
              <w:right w:val="nil"/>
            </w:tcBorders>
            <w:vAlign w:val="center"/>
          </w:tcPr>
          <w:p w14:paraId="4A7CBF6A">
            <w:pPr>
              <w:jc w:val="center"/>
              <w:rPr>
                <w:rFonts w:ascii="Times New Roman" w:hAnsi="Times New Roman" w:cs="Times New Roman"/>
                <w:sz w:val="18"/>
                <w:szCs w:val="18"/>
              </w:rPr>
            </w:pPr>
            <w:r>
              <w:rPr>
                <w:rStyle w:val="5"/>
                <w:rFonts w:ascii="Times New Roman" w:hAnsi="Times New Roman" w:eastAsia="宋体" w:cs="Times New Roman"/>
                <w:sz w:val="18"/>
                <w:szCs w:val="18"/>
                <w:lang w:eastAsia="zh-CN" w:bidi="ar"/>
              </w:rPr>
              <w:t>Subject</w:t>
            </w:r>
            <w:r>
              <w:rPr>
                <w:rStyle w:val="5"/>
                <w:rFonts w:ascii="Times New Roman" w:hAnsi="Times New Roman" w:eastAsia="宋体" w:cs="Times New Roman"/>
                <w:sz w:val="18"/>
                <w:szCs w:val="18"/>
                <w:lang w:eastAsia="zh-CN" w:bidi="ar"/>
              </w:rPr>
              <w:noBreakHyphen/>
            </w:r>
            <w:r>
              <w:rPr>
                <w:rStyle w:val="5"/>
                <w:rFonts w:ascii="Times New Roman" w:hAnsi="Times New Roman" w:eastAsia="宋体" w:cs="Times New Roman"/>
                <w:sz w:val="18"/>
                <w:szCs w:val="18"/>
                <w:lang w:eastAsia="zh-CN" w:bidi="ar"/>
              </w:rPr>
              <w:t>disjoint</w:t>
            </w:r>
          </w:p>
        </w:tc>
        <w:tc>
          <w:tcPr>
            <w:tcW w:w="1732" w:type="dxa"/>
            <w:tcBorders>
              <w:top w:val="nil"/>
              <w:left w:val="nil"/>
              <w:bottom w:val="nil"/>
              <w:right w:val="nil"/>
            </w:tcBorders>
            <w:vAlign w:val="center"/>
          </w:tcPr>
          <w:p w14:paraId="2EC81742">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Multi</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position phone; calibration needs subject diversity. (</w:t>
            </w:r>
            <w:r>
              <w:fldChar w:fldCharType="begin"/>
            </w:r>
            <w:r>
              <w:instrText xml:space="preserve"> HYPERLINK "https://www.uni-mannheim.de/dws/research/projects/activity-recognition/dataset/dataset-realworld/?utm_source=chatgpt.com" \o "DataSet – RealWorld (HAR) (2016)" </w:instrText>
            </w:r>
            <w:r>
              <w:fldChar w:fldCharType="separate"/>
            </w:r>
            <w:r>
              <w:rPr>
                <w:rStyle w:val="8"/>
                <w:rFonts w:ascii="Times New Roman" w:hAnsi="Times New Roman" w:eastAsia="宋体" w:cs="Times New Roman"/>
                <w:sz w:val="18"/>
                <w:szCs w:val="18"/>
              </w:rPr>
              <w:t>University of Mannheim</w:t>
            </w:r>
            <w:r>
              <w:rPr>
                <w:rStyle w:val="8"/>
                <w:rFonts w:ascii="Times New Roman" w:hAnsi="Times New Roman" w:eastAsia="宋体" w:cs="Times New Roman"/>
                <w:sz w:val="18"/>
                <w:szCs w:val="18"/>
              </w:rPr>
              <w:fldChar w:fldCharType="end"/>
            </w:r>
            <w:r>
              <w:rPr>
                <w:rFonts w:ascii="Times New Roman" w:hAnsi="Times New Roman" w:eastAsia="宋体" w:cs="Times New Roman"/>
                <w:sz w:val="18"/>
                <w:szCs w:val="18"/>
                <w:lang w:eastAsia="zh-CN" w:bidi="ar"/>
              </w:rPr>
              <w:t>)</w:t>
            </w:r>
          </w:p>
        </w:tc>
      </w:tr>
    </w:tbl>
    <w:p w14:paraId="6ACC328F">
      <w:pPr>
        <w:pStyle w:val="2"/>
        <w:spacing w:before="198" w:line="344" w:lineRule="auto"/>
        <w:rPr>
          <w:sz w:val="24"/>
          <w:szCs w:val="24"/>
        </w:rPr>
      </w:pPr>
    </w:p>
    <w:p w14:paraId="36BC8A71">
      <w:pPr>
        <w:pStyle w:val="2"/>
        <w:spacing w:before="198" w:line="344" w:lineRule="auto"/>
        <w:jc w:val="center"/>
        <w:rPr>
          <w:sz w:val="24"/>
          <w:szCs w:val="24"/>
        </w:rPr>
      </w:pPr>
      <w:r>
        <w:rPr>
          <w:color w:val="231F20"/>
          <w:spacing w:val="2"/>
          <w:sz w:val="18"/>
          <w:szCs w:val="18"/>
        </w:rPr>
        <w:t>TABLE</w:t>
      </w:r>
      <w:r>
        <w:rPr>
          <w:color w:val="231F20"/>
          <w:spacing w:val="20"/>
          <w:w w:val="102"/>
          <w:sz w:val="18"/>
          <w:szCs w:val="18"/>
        </w:rPr>
        <w:t xml:space="preserve"> </w:t>
      </w:r>
      <w:r>
        <w:rPr>
          <w:rFonts w:hint="eastAsia" w:eastAsia="宋体"/>
          <w:color w:val="231F20"/>
          <w:spacing w:val="20"/>
          <w:w w:val="102"/>
          <w:sz w:val="18"/>
          <w:szCs w:val="18"/>
          <w:lang w:eastAsia="zh-CN"/>
        </w:rPr>
        <w:t>8</w:t>
      </w:r>
      <w:r>
        <w:rPr>
          <w:color w:val="231F20"/>
          <w:spacing w:val="2"/>
          <w:sz w:val="18"/>
          <w:szCs w:val="18"/>
        </w:rPr>
        <w:t>.</w:t>
      </w:r>
      <w:r>
        <w:rPr>
          <w:color w:val="231F20"/>
          <w:spacing w:val="10"/>
          <w:w w:val="102"/>
          <w:sz w:val="18"/>
          <w:szCs w:val="18"/>
        </w:rPr>
        <w:t xml:space="preserve"> </w:t>
      </w:r>
      <w:r>
        <w:rPr>
          <w:rFonts w:hint="eastAsia"/>
          <w:color w:val="231F20"/>
          <w:spacing w:val="2"/>
          <w:sz w:val="18"/>
          <w:szCs w:val="18"/>
        </w:rPr>
        <w:t>Telemetry consistency thresholds (energy) for D5</w:t>
      </w:r>
    </w:p>
    <w:tbl>
      <w:tblPr>
        <w:tblStyle w:val="10"/>
        <w:tblpPr w:leftFromText="180" w:rightFromText="180" w:vertAnchor="text" w:horzAnchor="page" w:tblpX="1534" w:tblpY="23"/>
        <w:tblOverlap w:val="never"/>
        <w:tblW w:w="9365" w:type="dxa"/>
        <w:tblInd w:w="0" w:type="dxa"/>
        <w:tblLayout w:type="autofit"/>
        <w:tblCellMar>
          <w:top w:w="43" w:type="dxa"/>
          <w:left w:w="0" w:type="dxa"/>
          <w:bottom w:w="0" w:type="dxa"/>
          <w:right w:w="0" w:type="dxa"/>
        </w:tblCellMar>
      </w:tblPr>
      <w:tblGrid>
        <w:gridCol w:w="2675"/>
        <w:gridCol w:w="3780"/>
        <w:gridCol w:w="2910"/>
      </w:tblGrid>
      <w:tr w14:paraId="34F002C1">
        <w:tblPrEx>
          <w:tblCellMar>
            <w:top w:w="43" w:type="dxa"/>
            <w:left w:w="0" w:type="dxa"/>
            <w:bottom w:w="0" w:type="dxa"/>
            <w:right w:w="0" w:type="dxa"/>
          </w:tblCellMar>
        </w:tblPrEx>
        <w:trPr>
          <w:trHeight w:val="699" w:hRule="atLeast"/>
        </w:trPr>
        <w:tc>
          <w:tcPr>
            <w:tcW w:w="2675" w:type="dxa"/>
            <w:tcBorders>
              <w:top w:val="single" w:color="000000" w:sz="6" w:space="0"/>
              <w:left w:val="nil"/>
              <w:bottom w:val="single" w:color="000000" w:sz="4" w:space="0"/>
              <w:right w:val="nil"/>
            </w:tcBorders>
            <w:vAlign w:val="center"/>
          </w:tcPr>
          <w:p w14:paraId="7A17D981">
            <w:pPr>
              <w:jc w:val="center"/>
              <w:rPr>
                <w:rFonts w:ascii="Times New Roman" w:hAnsi="Times New Roman" w:eastAsia="宋体" w:cs="Times New Roman"/>
                <w:sz w:val="18"/>
                <w:szCs w:val="18"/>
                <w:lang w:eastAsia="zh-CN"/>
              </w:rPr>
            </w:pPr>
            <w:r>
              <w:rPr>
                <w:rFonts w:ascii="Times New Roman" w:hAnsi="Times New Roman" w:eastAsia="宋体" w:cs="Times New Roman"/>
                <w:b/>
                <w:bCs/>
                <w:sz w:val="18"/>
                <w:szCs w:val="18"/>
                <w:lang w:eastAsia="zh-CN" w:bidi="ar"/>
              </w:rPr>
              <w:t>Check</w:t>
            </w:r>
          </w:p>
        </w:tc>
        <w:tc>
          <w:tcPr>
            <w:tcW w:w="3780" w:type="dxa"/>
            <w:tcBorders>
              <w:top w:val="single" w:color="000000" w:sz="6" w:space="0"/>
              <w:left w:val="nil"/>
              <w:bottom w:val="single" w:color="000000" w:sz="4" w:space="0"/>
              <w:right w:val="nil"/>
            </w:tcBorders>
            <w:vAlign w:val="center"/>
          </w:tcPr>
          <w:p w14:paraId="00001C82">
            <w:pPr>
              <w:jc w:val="center"/>
              <w:rPr>
                <w:rFonts w:ascii="Times New Roman" w:hAnsi="Times New Roman" w:eastAsia="宋体" w:cs="Times New Roman"/>
                <w:sz w:val="18"/>
                <w:szCs w:val="18"/>
                <w:lang w:eastAsia="zh-CN"/>
              </w:rPr>
            </w:pPr>
            <w:r>
              <w:rPr>
                <w:rFonts w:ascii="Times New Roman" w:hAnsi="Times New Roman" w:eastAsia="宋体" w:cs="Times New Roman"/>
                <w:b/>
                <w:bCs/>
                <w:sz w:val="18"/>
                <w:szCs w:val="18"/>
                <w:lang w:eastAsia="zh-CN" w:bidi="ar"/>
              </w:rPr>
              <w:t>Threshold</w:t>
            </w:r>
          </w:p>
        </w:tc>
        <w:tc>
          <w:tcPr>
            <w:tcW w:w="2910" w:type="dxa"/>
            <w:tcBorders>
              <w:top w:val="single" w:color="000000" w:sz="6" w:space="0"/>
              <w:left w:val="nil"/>
              <w:bottom w:val="single" w:color="000000" w:sz="4" w:space="0"/>
              <w:right w:val="nil"/>
            </w:tcBorders>
            <w:vAlign w:val="center"/>
          </w:tcPr>
          <w:p w14:paraId="1F525768">
            <w:pPr>
              <w:jc w:val="center"/>
              <w:rPr>
                <w:rFonts w:ascii="Times New Roman" w:hAnsi="Times New Roman" w:cs="Times New Roman"/>
                <w:sz w:val="18"/>
                <w:szCs w:val="18"/>
              </w:rPr>
            </w:pPr>
            <w:r>
              <w:rPr>
                <w:rFonts w:ascii="Times New Roman" w:hAnsi="Times New Roman" w:eastAsia="宋体" w:cs="Times New Roman"/>
                <w:b/>
                <w:bCs/>
                <w:sz w:val="18"/>
                <w:szCs w:val="18"/>
                <w:lang w:eastAsia="zh-CN" w:bidi="ar"/>
              </w:rPr>
              <w:t>Action if violated</w:t>
            </w:r>
          </w:p>
        </w:tc>
      </w:tr>
      <w:tr w14:paraId="1ED44326">
        <w:tblPrEx>
          <w:tblCellMar>
            <w:top w:w="43" w:type="dxa"/>
            <w:left w:w="0" w:type="dxa"/>
            <w:bottom w:w="0" w:type="dxa"/>
            <w:right w:w="0" w:type="dxa"/>
          </w:tblCellMar>
        </w:tblPrEx>
        <w:trPr>
          <w:trHeight w:val="637" w:hRule="atLeast"/>
        </w:trPr>
        <w:tc>
          <w:tcPr>
            <w:tcW w:w="2675" w:type="dxa"/>
            <w:tcBorders>
              <w:top w:val="single" w:color="000000" w:sz="4" w:space="0"/>
              <w:left w:val="nil"/>
              <w:bottom w:val="nil"/>
              <w:right w:val="nil"/>
            </w:tcBorders>
            <w:vAlign w:val="center"/>
          </w:tcPr>
          <w:p w14:paraId="76A682CC">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OS telemetry vs USB meter (per config)</w:t>
            </w:r>
          </w:p>
        </w:tc>
        <w:tc>
          <w:tcPr>
            <w:tcW w:w="3780" w:type="dxa"/>
            <w:tcBorders>
              <w:top w:val="single" w:color="000000" w:sz="4" w:space="0"/>
              <w:left w:val="nil"/>
              <w:bottom w:val="nil"/>
              <w:right w:val="nil"/>
            </w:tcBorders>
            <w:vAlign w:val="center"/>
          </w:tcPr>
          <w:p w14:paraId="6CF4C065">
            <w:pPr>
              <w:jc w:val="center"/>
              <w:rPr>
                <w:rFonts w:ascii="Times New Roman" w:hAnsi="Times New Roman" w:eastAsia="宋体" w:cs="Times New Roman"/>
                <w:sz w:val="18"/>
                <w:szCs w:val="18"/>
                <w:lang w:eastAsia="zh-CN"/>
              </w:rPr>
            </w:pPr>
            <w:r>
              <w:rPr>
                <w:rStyle w:val="5"/>
                <w:rFonts w:ascii="Times New Roman" w:hAnsi="Times New Roman" w:eastAsia="宋体" w:cs="Times New Roman"/>
                <w:sz w:val="18"/>
                <w:szCs w:val="18"/>
                <w:lang w:eastAsia="zh-CN" w:bidi="ar"/>
              </w:rPr>
              <w:t>MAE ≤ 10%</w:t>
            </w:r>
            <w:r>
              <w:rPr>
                <w:rFonts w:ascii="Times New Roman" w:hAnsi="Times New Roman" w:eastAsia="宋体" w:cs="Times New Roman"/>
                <w:sz w:val="18"/>
                <w:szCs w:val="18"/>
                <w:lang w:eastAsia="zh-CN" w:bidi="ar"/>
              </w:rPr>
              <w:t xml:space="preserve"> and </w:t>
            </w:r>
            <w:r>
              <w:rPr>
                <w:rStyle w:val="5"/>
                <w:rFonts w:ascii="Times New Roman" w:hAnsi="Times New Roman" w:eastAsia="宋体" w:cs="Times New Roman"/>
                <w:sz w:val="18"/>
                <w:szCs w:val="18"/>
                <w:lang w:eastAsia="zh-CN" w:bidi="ar"/>
              </w:rPr>
              <w:t>r ≥ 0.9</w:t>
            </w:r>
          </w:p>
        </w:tc>
        <w:tc>
          <w:tcPr>
            <w:tcW w:w="2910" w:type="dxa"/>
            <w:tcBorders>
              <w:top w:val="single" w:color="000000" w:sz="4" w:space="0"/>
              <w:left w:val="nil"/>
              <w:bottom w:val="nil"/>
              <w:right w:val="nil"/>
            </w:tcBorders>
            <w:vAlign w:val="center"/>
          </w:tcPr>
          <w:p w14:paraId="0485DF4D">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 xml:space="preserve">Prefer meter values; repeat at </w:t>
            </w:r>
            <w:r>
              <w:rPr>
                <w:rStyle w:val="5"/>
                <w:rFonts w:ascii="Times New Roman" w:hAnsi="Times New Roman" w:eastAsia="宋体" w:cs="Times New Roman"/>
                <w:sz w:val="18"/>
                <w:szCs w:val="18"/>
                <w:lang w:eastAsia="zh-CN" w:bidi="ar"/>
              </w:rPr>
              <w:t>three ambient temps</w:t>
            </w:r>
            <w:r>
              <w:rPr>
                <w:rFonts w:ascii="Times New Roman" w:hAnsi="Times New Roman" w:eastAsia="宋体" w:cs="Times New Roman"/>
                <w:sz w:val="18"/>
                <w:szCs w:val="18"/>
                <w:lang w:eastAsia="zh-CN" w:bidi="ar"/>
              </w:rPr>
              <w:t xml:space="preserve"> (~18/22/26 °C); document drift</w:t>
            </w:r>
          </w:p>
        </w:tc>
      </w:tr>
      <w:tr w14:paraId="30097ADF">
        <w:tblPrEx>
          <w:tblCellMar>
            <w:top w:w="43" w:type="dxa"/>
            <w:left w:w="0" w:type="dxa"/>
            <w:bottom w:w="0" w:type="dxa"/>
            <w:right w:w="0" w:type="dxa"/>
          </w:tblCellMar>
        </w:tblPrEx>
        <w:trPr>
          <w:trHeight w:val="831" w:hRule="atLeast"/>
        </w:trPr>
        <w:tc>
          <w:tcPr>
            <w:tcW w:w="2675" w:type="dxa"/>
            <w:tcBorders>
              <w:top w:val="nil"/>
              <w:left w:val="nil"/>
              <w:bottom w:val="nil"/>
              <w:right w:val="nil"/>
            </w:tcBorders>
            <w:vAlign w:val="center"/>
          </w:tcPr>
          <w:p w14:paraId="5020C8CB">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Run stability</w:t>
            </w:r>
          </w:p>
        </w:tc>
        <w:tc>
          <w:tcPr>
            <w:tcW w:w="3780" w:type="dxa"/>
            <w:tcBorders>
              <w:top w:val="nil"/>
              <w:left w:val="nil"/>
              <w:bottom w:val="nil"/>
              <w:right w:val="nil"/>
            </w:tcBorders>
            <w:vAlign w:val="center"/>
          </w:tcPr>
          <w:p w14:paraId="14C3F23C">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2 × MAD limit on per</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window energy</w:t>
            </w:r>
          </w:p>
        </w:tc>
        <w:tc>
          <w:tcPr>
            <w:tcW w:w="2910" w:type="dxa"/>
            <w:tcBorders>
              <w:top w:val="nil"/>
              <w:left w:val="nil"/>
              <w:bottom w:val="nil"/>
              <w:right w:val="nil"/>
            </w:tcBorders>
            <w:vAlign w:val="center"/>
          </w:tcPr>
          <w:p w14:paraId="3C309D25">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Discard outliers; extend runs</w:t>
            </w:r>
          </w:p>
        </w:tc>
      </w:tr>
    </w:tbl>
    <w:p w14:paraId="76BB7C19">
      <w:pPr>
        <w:pStyle w:val="2"/>
        <w:spacing w:before="198" w:line="344" w:lineRule="auto"/>
        <w:rPr>
          <w:sz w:val="24"/>
          <w:szCs w:val="24"/>
        </w:rPr>
      </w:pPr>
    </w:p>
    <w:p w14:paraId="1194C90A">
      <w:pPr>
        <w:pStyle w:val="2"/>
        <w:spacing w:before="198" w:line="344" w:lineRule="auto"/>
        <w:rPr>
          <w:sz w:val="24"/>
          <w:szCs w:val="24"/>
        </w:rPr>
      </w:pPr>
    </w:p>
    <w:p w14:paraId="13F14526">
      <w:pPr>
        <w:pStyle w:val="2"/>
        <w:spacing w:before="198" w:line="344" w:lineRule="auto"/>
        <w:rPr>
          <w:rFonts w:eastAsia="宋体"/>
          <w:sz w:val="24"/>
          <w:szCs w:val="24"/>
          <w:lang w:eastAsia="zh-CN"/>
        </w:rPr>
      </w:pPr>
      <w:r>
        <w:rPr>
          <w:rFonts w:hint="eastAsia" w:eastAsia="宋体"/>
          <w:sz w:val="24"/>
          <w:szCs w:val="24"/>
          <w:lang w:eastAsia="zh-CN"/>
        </w:rPr>
        <w:t xml:space="preserve">Use of </w:t>
      </w:r>
      <w:r>
        <w:rPr>
          <w:rFonts w:hint="eastAsia" w:eastAsia="宋体"/>
          <w:sz w:val="24"/>
          <w:szCs w:val="24"/>
          <w:lang w:val="en-US" w:eastAsia="zh-CN"/>
        </w:rPr>
        <w:t>AI</w:t>
      </w:r>
      <w:bookmarkStart w:id="0" w:name="_GoBack"/>
      <w:bookmarkEnd w:id="0"/>
      <w:r>
        <w:rPr>
          <w:rFonts w:hint="eastAsia" w:eastAsia="宋体"/>
          <w:sz w:val="24"/>
          <w:szCs w:val="24"/>
          <w:lang w:eastAsia="zh-CN"/>
        </w:rPr>
        <w:t>:</w:t>
      </w:r>
    </w:p>
    <w:p w14:paraId="29F68558">
      <w:pPr>
        <w:pStyle w:val="2"/>
        <w:spacing w:before="198" w:line="344" w:lineRule="auto"/>
        <w:rPr>
          <w:rFonts w:eastAsia="宋体"/>
          <w:sz w:val="24"/>
          <w:szCs w:val="24"/>
          <w:lang w:eastAsia="zh-CN"/>
        </w:rPr>
      </w:pPr>
      <w:r>
        <w:rPr>
          <w:rFonts w:eastAsia="宋体"/>
          <w:sz w:val="24"/>
          <w:szCs w:val="24"/>
          <w:lang w:eastAsia="zh-CN"/>
        </w:rPr>
        <w:t>Search for in-depth information in specialized fields</w:t>
      </w:r>
      <w:r>
        <w:rPr>
          <w:rFonts w:hint="eastAsia" w:eastAsia="宋体"/>
          <w:sz w:val="24"/>
          <w:szCs w:val="24"/>
          <w:lang w:eastAsia="zh-CN"/>
        </w:rPr>
        <w:t>,</w:t>
      </w:r>
      <w:r>
        <w:rPr>
          <w:rFonts w:eastAsia="宋体"/>
          <w:sz w:val="24"/>
          <w:szCs w:val="24"/>
          <w:lang w:eastAsia="zh-CN"/>
        </w:rPr>
        <w:t xml:space="preserve"> correct my grammatical mistakes and sentence structures.</w:t>
      </w:r>
    </w:p>
    <w:p w14:paraId="71663FD5">
      <w:pPr>
        <w:pStyle w:val="2"/>
        <w:spacing w:before="198" w:line="344" w:lineRule="auto"/>
        <w:rPr>
          <w:sz w:val="24"/>
          <w:szCs w:val="24"/>
        </w:rPr>
      </w:pPr>
    </w:p>
    <w:p w14:paraId="7AABB76D">
      <w:pPr>
        <w:pStyle w:val="2"/>
        <w:spacing w:before="198" w:line="344" w:lineRule="auto"/>
        <w:rPr>
          <w:sz w:val="24"/>
          <w:szCs w:val="24"/>
        </w:rPr>
      </w:pPr>
    </w:p>
    <w:p w14:paraId="28A8C3EA">
      <w:pPr>
        <w:pStyle w:val="2"/>
        <w:spacing w:before="198" w:line="344" w:lineRule="auto"/>
        <w:rPr>
          <w:rFonts w:hint="eastAsia" w:eastAsia="宋体"/>
          <w:lang w:eastAsia="zh-CN"/>
        </w:rPr>
      </w:pPr>
      <w:r>
        <w:rPr>
          <w:rFonts w:hint="eastAsia" w:eastAsia="宋体"/>
          <w:lang w:eastAsia="zh-CN"/>
        </w:rPr>
        <w:t>Total word count : 1566</w:t>
      </w:r>
    </w:p>
    <w:sectPr>
      <w:pgSz w:w="12240" w:h="15840"/>
      <w:pgMar w:top="1346" w:right="1505" w:bottom="0" w:left="1437"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ACC983"/>
    <w:multiLevelType w:val="multilevel"/>
    <w:tmpl w:val="9BACC983"/>
    <w:lvl w:ilvl="0" w:tentative="0">
      <w:start w:val="2"/>
      <w:numFmt w:val="decimal"/>
      <w:suff w:val="space"/>
      <w:lvlText w:val="%1."/>
      <w:lvlJc w:val="left"/>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FC85ABC1"/>
    <w:multiLevelType w:val="singleLevel"/>
    <w:tmpl w:val="FC85ABC1"/>
    <w:lvl w:ilvl="0" w:tentative="0">
      <w:start w:val="1"/>
      <w:numFmt w:val="lowerRoman"/>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isplayBackgroundShape w:val="1"/>
  <w:bordersDoNotSurroundHeader w:val="1"/>
  <w:bordersDoNotSurroundFooter w:val="1"/>
  <w:documentProtection w:enforcement="0"/>
  <w:defaultTabStop w:val="420"/>
  <w:noPunctuationKerning w:val="1"/>
  <w:characterSpacingControl w:val="doNotCompress"/>
  <w:compat>
    <w:spaceForUL/>
    <w:ulTrailSpace/>
    <w:doNotExpandShiftReturn/>
    <w:doNotWrapTextWithPunct/>
    <w:doNotUseEastAsianBreakRules/>
    <w:useFELayout/>
    <w:compatSetting w:name="compatibilityMode" w:uri="http://schemas.microsoft.com/office/word" w:val="14"/>
  </w:compat>
  <w:rsids>
    <w:rsidRoot w:val="0009516F"/>
    <w:rsid w:val="0009516F"/>
    <w:rsid w:val="003E657A"/>
    <w:rsid w:val="00522102"/>
    <w:rsid w:val="0068002A"/>
    <w:rsid w:val="00CF2E61"/>
    <w:rsid w:val="00E25FF2"/>
    <w:rsid w:val="00E728AC"/>
    <w:rsid w:val="00E814B1"/>
    <w:rsid w:val="064C13A1"/>
    <w:rsid w:val="07807C5D"/>
    <w:rsid w:val="0A0D0E47"/>
    <w:rsid w:val="0C803B53"/>
    <w:rsid w:val="0D486C95"/>
    <w:rsid w:val="0E3C1CFB"/>
    <w:rsid w:val="0E420BB8"/>
    <w:rsid w:val="1158509E"/>
    <w:rsid w:val="139A5C73"/>
    <w:rsid w:val="150D26BD"/>
    <w:rsid w:val="1555138C"/>
    <w:rsid w:val="16861E33"/>
    <w:rsid w:val="16AB2114"/>
    <w:rsid w:val="17CC3573"/>
    <w:rsid w:val="17CD1C16"/>
    <w:rsid w:val="19726F19"/>
    <w:rsid w:val="1E7A1193"/>
    <w:rsid w:val="241A4435"/>
    <w:rsid w:val="241E3F25"/>
    <w:rsid w:val="24EC5DD1"/>
    <w:rsid w:val="25DA20CE"/>
    <w:rsid w:val="26C37006"/>
    <w:rsid w:val="2A415AA8"/>
    <w:rsid w:val="2A842C95"/>
    <w:rsid w:val="2B8A285D"/>
    <w:rsid w:val="2E1D42C2"/>
    <w:rsid w:val="2E41718E"/>
    <w:rsid w:val="30297EDA"/>
    <w:rsid w:val="304B0AFD"/>
    <w:rsid w:val="30556F21"/>
    <w:rsid w:val="31772EC7"/>
    <w:rsid w:val="32901DB4"/>
    <w:rsid w:val="34792A7C"/>
    <w:rsid w:val="356A648F"/>
    <w:rsid w:val="35722856"/>
    <w:rsid w:val="38A57D26"/>
    <w:rsid w:val="3D1837B0"/>
    <w:rsid w:val="3FD15EDD"/>
    <w:rsid w:val="41DD5982"/>
    <w:rsid w:val="420A743F"/>
    <w:rsid w:val="430322C1"/>
    <w:rsid w:val="43F919A6"/>
    <w:rsid w:val="472A0388"/>
    <w:rsid w:val="481A78CE"/>
    <w:rsid w:val="487A635D"/>
    <w:rsid w:val="48AA51D1"/>
    <w:rsid w:val="49D722FD"/>
    <w:rsid w:val="49FD6207"/>
    <w:rsid w:val="4A9223BA"/>
    <w:rsid w:val="4AB92B2D"/>
    <w:rsid w:val="4AC8012D"/>
    <w:rsid w:val="4BF12009"/>
    <w:rsid w:val="4C3E6663"/>
    <w:rsid w:val="4D0134A2"/>
    <w:rsid w:val="4E801544"/>
    <w:rsid w:val="50231F3F"/>
    <w:rsid w:val="528F19C6"/>
    <w:rsid w:val="59D75A13"/>
    <w:rsid w:val="5A9F0C15"/>
    <w:rsid w:val="5B4B5DE3"/>
    <w:rsid w:val="5D4B6E32"/>
    <w:rsid w:val="606326E4"/>
    <w:rsid w:val="60787F3E"/>
    <w:rsid w:val="607A3BDD"/>
    <w:rsid w:val="625A6B03"/>
    <w:rsid w:val="646063E7"/>
    <w:rsid w:val="64DB133F"/>
    <w:rsid w:val="68CB7079"/>
    <w:rsid w:val="6A42784C"/>
    <w:rsid w:val="6A440E91"/>
    <w:rsid w:val="6B9B7270"/>
    <w:rsid w:val="6E313E22"/>
    <w:rsid w:val="6E3F1E19"/>
    <w:rsid w:val="6ECE1671"/>
    <w:rsid w:val="6FB767A4"/>
    <w:rsid w:val="7182090E"/>
    <w:rsid w:val="71AC0C7B"/>
    <w:rsid w:val="71CD0357"/>
    <w:rsid w:val="745A0283"/>
    <w:rsid w:val="766B490C"/>
    <w:rsid w:val="77E912C9"/>
    <w:rsid w:val="78034139"/>
    <w:rsid w:val="7A996FD7"/>
    <w:rsid w:val="7C5E4034"/>
    <w:rsid w:val="7D0270B5"/>
    <w:rsid w:val="7E0C7AC0"/>
    <w:rsid w:val="7E3D7BC6"/>
    <w:rsid w:val="7F3437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character" w:default="1" w:styleId="4">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Body Text"/>
    <w:basedOn w:val="1"/>
    <w:semiHidden/>
    <w:qFormat/>
    <w:uiPriority w:val="0"/>
    <w:rPr>
      <w:rFonts w:ascii="Times New Roman" w:hAnsi="Times New Roman" w:eastAsia="Times New Roman" w:cs="Times New Roman"/>
    </w:rPr>
  </w:style>
  <w:style w:type="character" w:styleId="5">
    <w:name w:val="Strong"/>
    <w:basedOn w:val="4"/>
    <w:qFormat/>
    <w:uiPriority w:val="0"/>
    <w:rPr>
      <w:b/>
    </w:rPr>
  </w:style>
  <w:style w:type="character" w:styleId="6">
    <w:name w:val="FollowedHyperlink"/>
    <w:basedOn w:val="4"/>
    <w:qFormat/>
    <w:uiPriority w:val="0"/>
    <w:rPr>
      <w:color w:val="800080"/>
      <w:u w:val="single"/>
    </w:rPr>
  </w:style>
  <w:style w:type="character" w:styleId="7">
    <w:name w:val="Emphasis"/>
    <w:basedOn w:val="4"/>
    <w:qFormat/>
    <w:uiPriority w:val="0"/>
    <w:rPr>
      <w:i/>
    </w:rPr>
  </w:style>
  <w:style w:type="character" w:styleId="8">
    <w:name w:val="Hyperlink"/>
    <w:basedOn w:val="4"/>
    <w:qFormat/>
    <w:uiPriority w:val="0"/>
    <w:rPr>
      <w:color w:val="0000FF"/>
      <w:u w:val="single"/>
    </w:rPr>
  </w:style>
  <w:style w:type="table" w:customStyle="1" w:styleId="9">
    <w:name w:val="Table Normal"/>
    <w:semiHidden/>
    <w:unhideWhenUsed/>
    <w:qFormat/>
    <w:uiPriority w:val="0"/>
    <w:tblPr>
      <w:tblCellMar>
        <w:top w:w="0" w:type="dxa"/>
        <w:left w:w="0" w:type="dxa"/>
        <w:bottom w:w="0" w:type="dxa"/>
        <w:right w:w="0" w:type="dxa"/>
      </w:tblCellMar>
    </w:tblPr>
  </w:style>
  <w:style w:type="table" w:customStyle="1" w:styleId="10">
    <w:name w:val="TableGrid"/>
    <w:qFormat/>
    <w:uiPriority w:val="0"/>
    <w:tblPr>
      <w:tblCellMar>
        <w:top w:w="0" w:type="dxa"/>
        <w:left w:w="0" w:type="dxa"/>
        <w:bottom w:w="0" w:type="dxa"/>
        <w:right w:w="0" w:type="dxa"/>
      </w:tblCellMar>
    </w:tblPr>
  </w:style>
  <w:style w:type="paragraph" w:customStyle="1" w:styleId="11">
    <w:name w:val="Table Text"/>
    <w:basedOn w:val="1"/>
    <w:semiHidden/>
    <w:qFormat/>
    <w:uiPriority w:val="0"/>
    <w:rPr>
      <w:sz w:val="19"/>
      <w:szCs w:val="19"/>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2602</Words>
  <Characters>18577</Characters>
  <Lines>670</Lines>
  <Paragraphs>323</Paragraphs>
  <TotalTime>36</TotalTime>
  <ScaleCrop>false</ScaleCrop>
  <LinksUpToDate>false</LinksUpToDate>
  <CharactersWithSpaces>20941</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2025-04-02T08:27:00Z</dcterms:created>
  <dc:creator>86173</dc:creator>
  <cp:lastModifiedBy>Leo</cp:lastModifiedBy>
  <dcterms:modified xsi:type="dcterms:W3CDTF">2025-10-10T11:03:15Z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2025-06-24T16:27:15Z</vt:filetime>
  </property>
  <property fmtid="{D5CDD505-2E9C-101B-9397-08002B2CF9AE}" pid="4" name="KSOTemplateDocerSaveRecord">
    <vt:lpwstr>eyJoZGlkIjoiYTE4ZmFmYjE0MWVmOWI5NzQ3MWUyMzcxMTIyZGFmOGMiLCJ1c2VySWQiOiI1ODU5OTQ3NzQifQ==</vt:lpwstr>
  </property>
  <property fmtid="{D5CDD505-2E9C-101B-9397-08002B2CF9AE}" pid="5" name="KSOProductBuildVer">
    <vt:lpwstr>2052-12.1.0.22529</vt:lpwstr>
  </property>
  <property fmtid="{D5CDD505-2E9C-101B-9397-08002B2CF9AE}" pid="6" name="ICV">
    <vt:lpwstr>5072EC3FE06942BAB5372A6ACAD13AF4_12</vt:lpwstr>
  </property>
</Properties>
</file>