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74F686">
      <w:pPr>
        <w:spacing w:before="166" w:line="191" w:lineRule="auto"/>
        <w:ind w:left="3481"/>
        <w:jc w:val="left"/>
        <w:outlineLvl w:val="0"/>
        <w:rPr>
          <w:rFonts w:ascii="Times New Roman" w:hAnsi="Times New Roman" w:eastAsia="Times New Roman" w:cs="Times New Roman"/>
          <w:sz w:val="27"/>
          <w:szCs w:val="27"/>
        </w:rPr>
      </w:pPr>
      <w:r>
        <w:rPr>
          <w:rFonts w:ascii="Times New Roman" w:hAnsi="Times New Roman" w:eastAsia="Times New Roman" w:cs="Times New Roman"/>
          <w:b/>
          <w:bCs/>
          <w:spacing w:val="4"/>
          <w:sz w:val="27"/>
          <w:szCs w:val="27"/>
        </w:rPr>
        <w:t>Course Work</w:t>
      </w:r>
    </w:p>
    <w:p w14:paraId="74C216C9">
      <w:pPr>
        <w:spacing w:before="260" w:line="191" w:lineRule="auto"/>
        <w:ind w:firstLine="1975" w:firstLineChars="700"/>
        <w:jc w:val="left"/>
        <w:outlineLvl w:val="0"/>
        <w:rPr>
          <w:rFonts w:ascii="Times New Roman" w:hAnsi="Times New Roman" w:eastAsia="Times New Roman" w:cs="Times New Roman"/>
          <w:sz w:val="27"/>
          <w:szCs w:val="27"/>
        </w:rPr>
      </w:pPr>
      <w:r>
        <w:rPr>
          <w:rFonts w:hint="eastAsia" w:ascii="Times New Roman" w:hAnsi="Times New Roman" w:eastAsia="Times New Roman" w:cs="Times New Roman"/>
          <w:b/>
          <w:bCs/>
          <w:spacing w:val="6"/>
          <w:sz w:val="27"/>
          <w:szCs w:val="27"/>
        </w:rPr>
        <w:t>Computing Individual Research Project</w:t>
      </w:r>
    </w:p>
    <w:p w14:paraId="7D779E05">
      <w:pPr>
        <w:spacing w:line="261" w:lineRule="auto"/>
        <w:rPr>
          <w:rFonts w:ascii="Arial"/>
          <w:sz w:val="21"/>
        </w:rPr>
      </w:pPr>
    </w:p>
    <w:p w14:paraId="3FC30328">
      <w:pPr>
        <w:spacing w:line="261" w:lineRule="auto"/>
        <w:rPr>
          <w:rFonts w:ascii="Arial"/>
          <w:sz w:val="21"/>
        </w:rPr>
      </w:pPr>
    </w:p>
    <w:p w14:paraId="511B1324">
      <w:pPr>
        <w:spacing w:line="261" w:lineRule="auto"/>
        <w:rPr>
          <w:rFonts w:ascii="Arial"/>
          <w:sz w:val="21"/>
        </w:rPr>
      </w:pPr>
    </w:p>
    <w:p w14:paraId="012894D0">
      <w:pPr>
        <w:spacing w:line="261" w:lineRule="auto"/>
        <w:rPr>
          <w:rFonts w:ascii="Arial"/>
          <w:sz w:val="21"/>
        </w:rPr>
      </w:pPr>
    </w:p>
    <w:p w14:paraId="30AEF141">
      <w:pPr>
        <w:spacing w:line="262" w:lineRule="auto"/>
        <w:rPr>
          <w:rFonts w:ascii="Arial"/>
          <w:sz w:val="21"/>
        </w:rPr>
      </w:pPr>
    </w:p>
    <w:p w14:paraId="5610149F">
      <w:pPr>
        <w:spacing w:line="262" w:lineRule="auto"/>
        <w:rPr>
          <w:rFonts w:ascii="Arial"/>
          <w:sz w:val="21"/>
        </w:rPr>
      </w:pPr>
    </w:p>
    <w:p w14:paraId="0C7146B0">
      <w:pPr>
        <w:spacing w:line="262" w:lineRule="auto"/>
        <w:rPr>
          <w:rFonts w:ascii="Arial"/>
          <w:sz w:val="21"/>
        </w:rPr>
      </w:pPr>
    </w:p>
    <w:p w14:paraId="0A2988C6">
      <w:pPr>
        <w:spacing w:line="189" w:lineRule="auto"/>
        <w:jc w:val="center"/>
        <w:rPr>
          <w:rFonts w:ascii="Times New Roman" w:hAnsi="Times New Roman" w:eastAsia="Times New Roman" w:cs="Times New Roman"/>
          <w:sz w:val="44"/>
          <w:szCs w:val="44"/>
        </w:rPr>
        <w:sectPr>
          <w:pgSz w:w="12240" w:h="15840"/>
          <w:pgMar w:top="1346" w:right="1836" w:bottom="0" w:left="1836" w:header="0" w:footer="0" w:gutter="0"/>
          <w:cols w:space="720" w:num="1"/>
        </w:sectPr>
      </w:pPr>
      <w:r>
        <w:rPr>
          <w:rFonts w:hint="eastAsia" w:ascii="Times New Roman" w:hAnsi="Times New Roman" w:eastAsia="Times New Roman" w:cs="Times New Roman"/>
          <w:sz w:val="44"/>
          <w:szCs w:val="44"/>
        </w:rPr>
        <w:t>Energy‑Aware, Uncertainty‑Calibrated Cross‑Dataset IMU‑HAR: A Reproducible, Deployment‑Grade Pipeline</w:t>
      </w:r>
    </w:p>
    <w:p w14:paraId="3DCC590C">
      <w:pPr>
        <w:pStyle w:val="2"/>
        <w:spacing w:before="240" w:line="186" w:lineRule="auto"/>
        <w:rPr>
          <w:rFonts w:hint="default" w:eastAsia="宋体"/>
          <w:sz w:val="28"/>
          <w:szCs w:val="28"/>
          <w:lang w:val="en-US" w:eastAsia="zh-CN"/>
        </w:rPr>
      </w:pPr>
      <w:r>
        <w:rPr>
          <w:rFonts w:hint="eastAsia" w:eastAsia="宋体"/>
          <w:color w:val="2E74B5"/>
          <w:spacing w:val="-1"/>
          <w:sz w:val="28"/>
          <w:szCs w:val="28"/>
          <w:lang w:val="en-US" w:eastAsia="zh-CN"/>
        </w:rPr>
        <w:t>1. Research Question / Problem Statement</w:t>
      </w:r>
    </w:p>
    <w:p w14:paraId="3983D82F">
      <w:pPr>
        <w:pStyle w:val="2"/>
        <w:numPr>
          <w:ilvl w:val="0"/>
          <w:numId w:val="0"/>
        </w:numPr>
        <w:kinsoku w:val="0"/>
        <w:autoSpaceDE w:val="0"/>
        <w:autoSpaceDN w:val="0"/>
        <w:adjustRightInd w:val="0"/>
        <w:snapToGrid w:val="0"/>
        <w:spacing w:before="192" w:line="366" w:lineRule="auto"/>
        <w:ind w:right="4" w:rightChars="0"/>
        <w:jc w:val="both"/>
        <w:textAlignment w:val="baseline"/>
        <w:rPr>
          <w:rFonts w:hint="eastAsia"/>
          <w:spacing w:val="3"/>
        </w:rPr>
      </w:pPr>
      <w:r>
        <w:rPr>
          <w:rFonts w:hint="eastAsia"/>
          <w:spacing w:val="3"/>
        </w:rPr>
        <w:t>Why this matters. IMU‑based Human Activity Recognition (HAR) is routinely over‑estimated by subject leakage—random/k‑fold splits place windows from the same person in train and test. A controlled study shows double‑digit inflation when moving from LOSO to non‑exclusive folds (Bragança et al., 2022). Even after harmonising units/rates/labels, cross‑dataset generalisation remains poor due to non‑trivial domain shift (Napoli et al., 2024).</w:t>
      </w:r>
    </w:p>
    <w:p w14:paraId="4823317D">
      <w:pPr>
        <w:pStyle w:val="2"/>
        <w:numPr>
          <w:ilvl w:val="0"/>
          <w:numId w:val="0"/>
        </w:numPr>
        <w:kinsoku w:val="0"/>
        <w:autoSpaceDE w:val="0"/>
        <w:autoSpaceDN w:val="0"/>
        <w:adjustRightInd w:val="0"/>
        <w:snapToGrid w:val="0"/>
        <w:spacing w:before="192" w:line="366" w:lineRule="auto"/>
        <w:ind w:right="4" w:rightChars="0"/>
        <w:jc w:val="both"/>
        <w:textAlignment w:val="baseline"/>
        <w:rPr>
          <w:rFonts w:hint="default"/>
          <w:spacing w:val="3"/>
          <w:lang w:val="en-US" w:eastAsia="zh-CN"/>
        </w:rPr>
      </w:pPr>
      <w:r>
        <w:rPr>
          <w:rFonts w:hint="default"/>
          <w:spacing w:val="3"/>
          <w:lang w:val="en-US" w:eastAsia="zh-CN"/>
        </w:rPr>
        <w:t>Research question. How can we (i) select statistically superior IMU‑HAR models under subject‑exclusive evaluation, (ii) endow them with calibrated and conformal uncertainty with coverage guarantees, and (iii) co‑optimise accuracy–latency–energy for phone deployment?</w:t>
      </w:r>
    </w:p>
    <w:p w14:paraId="0A98CB9A">
      <w:pPr>
        <w:pStyle w:val="2"/>
        <w:numPr>
          <w:ilvl w:val="0"/>
          <w:numId w:val="0"/>
        </w:numPr>
        <w:kinsoku w:val="0"/>
        <w:autoSpaceDE w:val="0"/>
        <w:autoSpaceDN w:val="0"/>
        <w:adjustRightInd w:val="0"/>
        <w:snapToGrid w:val="0"/>
        <w:spacing w:before="192" w:line="366" w:lineRule="auto"/>
        <w:ind w:right="4" w:rightChars="0"/>
        <w:jc w:val="both"/>
        <w:textAlignment w:val="baseline"/>
        <w:rPr>
          <w:rFonts w:hint="default"/>
          <w:spacing w:val="3"/>
          <w:lang w:val="en-US" w:eastAsia="zh-CN"/>
        </w:rPr>
      </w:pPr>
      <w:r>
        <w:rPr>
          <w:rFonts w:hint="default"/>
          <w:spacing w:val="3"/>
          <w:lang w:val="en-US" w:eastAsia="zh-CN"/>
        </w:rPr>
        <w:t>Method sketch. A seed‑controlled, auditable pipeline that:</w:t>
      </w:r>
    </w:p>
    <w:p w14:paraId="70866379">
      <w:pPr>
        <w:pStyle w:val="2"/>
        <w:numPr>
          <w:ilvl w:val="0"/>
          <w:numId w:val="1"/>
        </w:numPr>
        <w:kinsoku w:val="0"/>
        <w:autoSpaceDE w:val="0"/>
        <w:autoSpaceDN w:val="0"/>
        <w:adjustRightInd w:val="0"/>
        <w:snapToGrid w:val="0"/>
        <w:spacing w:before="192" w:line="366" w:lineRule="auto"/>
        <w:ind w:right="4" w:rightChars="0"/>
        <w:jc w:val="both"/>
        <w:textAlignment w:val="baseline"/>
        <w:rPr>
          <w:rFonts w:hint="default"/>
          <w:spacing w:val="3"/>
          <w:lang w:val="en-US" w:eastAsia="zh-CN"/>
        </w:rPr>
      </w:pPr>
      <w:r>
        <w:rPr>
          <w:rFonts w:hint="default"/>
          <w:spacing w:val="3"/>
          <w:lang w:val="en-US" w:eastAsia="zh-CN"/>
        </w:rPr>
        <w:t>Ranks KNN, RF, InceptionTime, MultiRocket, TST, and a lightweight STG‑Former using subject‑exclusive splits on PAMAP2, WISDM, RealWorld;</w:t>
      </w:r>
    </w:p>
    <w:p w14:paraId="03414BB9">
      <w:pPr>
        <w:pStyle w:val="2"/>
        <w:numPr>
          <w:ilvl w:val="0"/>
          <w:numId w:val="1"/>
        </w:numPr>
        <w:kinsoku w:val="0"/>
        <w:autoSpaceDE w:val="0"/>
        <w:autoSpaceDN w:val="0"/>
        <w:adjustRightInd w:val="0"/>
        <w:snapToGrid w:val="0"/>
        <w:spacing w:before="192" w:line="366" w:lineRule="auto"/>
        <w:ind w:left="0" w:leftChars="0" w:right="4" w:rightChars="0" w:firstLine="0" w:firstLineChars="0"/>
        <w:jc w:val="both"/>
        <w:textAlignment w:val="baseline"/>
        <w:rPr>
          <w:rFonts w:hint="default"/>
          <w:spacing w:val="3"/>
          <w:lang w:val="en-US" w:eastAsia="zh-CN"/>
        </w:rPr>
      </w:pPr>
      <w:r>
        <w:rPr>
          <w:rFonts w:hint="default"/>
          <w:spacing w:val="3"/>
          <w:lang w:val="en-US" w:eastAsia="zh-CN"/>
        </w:rPr>
        <w:t>Improves reliability via post‑hoc calibration (temperature, isotonic) and label‑set APS conformal prediction with a documented reject policy;</w:t>
      </w:r>
    </w:p>
    <w:p w14:paraId="000D6909">
      <w:pPr>
        <w:pStyle w:val="2"/>
        <w:numPr>
          <w:ilvl w:val="0"/>
          <w:numId w:val="1"/>
        </w:numPr>
        <w:kinsoku w:val="0"/>
        <w:autoSpaceDE w:val="0"/>
        <w:autoSpaceDN w:val="0"/>
        <w:adjustRightInd w:val="0"/>
        <w:snapToGrid w:val="0"/>
        <w:spacing w:before="192" w:line="366" w:lineRule="auto"/>
        <w:ind w:left="0" w:leftChars="0" w:right="4" w:rightChars="0" w:firstLine="0" w:firstLineChars="0"/>
        <w:jc w:val="both"/>
        <w:textAlignment w:val="baseline"/>
        <w:rPr>
          <w:rFonts w:hint="default"/>
          <w:spacing w:val="3"/>
          <w:lang w:val="en-US" w:eastAsia="zh-CN"/>
        </w:rPr>
      </w:pPr>
      <w:r>
        <w:rPr>
          <w:rFonts w:hint="default"/>
          <w:spacing w:val="3"/>
          <w:lang w:val="en-US" w:eastAsia="zh-CN"/>
        </w:rPr>
        <w:t>Optimises efficiency by sampling‑rate sweeps and INT8 PTQ, selecting deployment points on the Pareto front.</w:t>
      </w:r>
    </w:p>
    <w:p w14:paraId="53F31717">
      <w:pPr>
        <w:pStyle w:val="2"/>
        <w:numPr>
          <w:ilvl w:val="0"/>
          <w:numId w:val="0"/>
        </w:numPr>
        <w:kinsoku w:val="0"/>
        <w:autoSpaceDE w:val="0"/>
        <w:autoSpaceDN w:val="0"/>
        <w:adjustRightInd w:val="0"/>
        <w:snapToGrid w:val="0"/>
        <w:spacing w:before="192" w:line="366" w:lineRule="auto"/>
        <w:ind w:leftChars="0" w:right="4" w:rightChars="0"/>
        <w:jc w:val="both"/>
        <w:textAlignment w:val="baseline"/>
        <w:rPr>
          <w:rFonts w:hint="eastAsia"/>
          <w:spacing w:val="3"/>
          <w:lang w:val="en-US" w:eastAsia="zh-CN"/>
        </w:rPr>
      </w:pPr>
      <w:r>
        <w:rPr>
          <w:rFonts w:hint="default"/>
          <w:spacing w:val="3"/>
          <w:lang w:val="en-US" w:eastAsia="zh-CN"/>
        </w:rPr>
        <w:t>Primary outcomes &amp; definitions. Macro‑F1 (primary). ECE: 15 equal‑mass bins, top‑1 confidence,</w:t>
      </w:r>
      <w:r>
        <w:rPr>
          <w:rFonts w:hint="eastAsia"/>
          <w:spacing w:val="3"/>
          <w:lang w:val="en-US" w:eastAsia="zh-CN"/>
        </w:rPr>
        <w:t xml:space="preserve"> ε = 1e‑6; Brier and NLL complementary (e Silva Filho et al., 2023). APS at nominal 90% (Angelopoulos &amp; Bates, 2023). Subject‑exclusive: held‑out subjects absent from training and calibration.</w:t>
      </w:r>
    </w:p>
    <w:p w14:paraId="26AEBF50">
      <w:pPr>
        <w:pStyle w:val="2"/>
        <w:numPr>
          <w:ilvl w:val="0"/>
          <w:numId w:val="0"/>
        </w:numPr>
        <w:kinsoku w:val="0"/>
        <w:autoSpaceDE w:val="0"/>
        <w:autoSpaceDN w:val="0"/>
        <w:adjustRightInd w:val="0"/>
        <w:snapToGrid w:val="0"/>
        <w:spacing w:before="192" w:line="366" w:lineRule="auto"/>
        <w:ind w:leftChars="0" w:right="4" w:rightChars="0"/>
        <w:jc w:val="both"/>
        <w:textAlignment w:val="baseline"/>
        <w:rPr>
          <w:rFonts w:hint="default"/>
          <w:spacing w:val="3"/>
          <w:lang w:val="en-US" w:eastAsia="zh-CN"/>
        </w:rPr>
      </w:pPr>
      <w:r>
        <w:rPr>
          <w:rFonts w:hint="default"/>
          <w:spacing w:val="3"/>
          <w:lang w:val="en-US" w:eastAsia="zh-CN"/>
        </w:rPr>
        <w:t>Hypotheses (pre‑registered) and success criteria.</w:t>
      </w:r>
    </w:p>
    <w:p w14:paraId="065E29F8">
      <w:pPr>
        <w:pStyle w:val="2"/>
        <w:numPr>
          <w:ilvl w:val="0"/>
          <w:numId w:val="0"/>
        </w:numPr>
        <w:kinsoku w:val="0"/>
        <w:autoSpaceDE w:val="0"/>
        <w:autoSpaceDN w:val="0"/>
        <w:adjustRightInd w:val="0"/>
        <w:snapToGrid w:val="0"/>
        <w:spacing w:before="192" w:line="366" w:lineRule="auto"/>
        <w:ind w:leftChars="0" w:right="4" w:rightChars="0"/>
        <w:jc w:val="both"/>
        <w:textAlignment w:val="baseline"/>
        <w:rPr>
          <w:rFonts w:hint="default"/>
          <w:spacing w:val="3"/>
          <w:lang w:val="en-US" w:eastAsia="zh-CN"/>
        </w:rPr>
      </w:pPr>
      <w:r>
        <w:rPr>
          <w:rFonts w:hint="default"/>
          <w:spacing w:val="3"/>
          <w:lang w:val="en-US" w:eastAsia="zh-CN"/>
        </w:rPr>
        <w:t>RQ1—Model ranking. H1: MultiRocket (Tan et al., 2022) and/or STG‑Former enter the champion set under Friedman→Nemenyi; effect size (Vargha–Delaney Â12 / Cliff’s δ) ≥ medium. Gate‑B: α = 0.05; champions’ CD bands do not overlap non‑champions; paired Wilcoxon with Holm corroborates.</w:t>
      </w:r>
    </w:p>
    <w:p w14:paraId="1AE0CF77">
      <w:pPr>
        <w:pStyle w:val="2"/>
        <w:numPr>
          <w:ilvl w:val="0"/>
          <w:numId w:val="0"/>
        </w:numPr>
        <w:kinsoku w:val="0"/>
        <w:autoSpaceDE w:val="0"/>
        <w:autoSpaceDN w:val="0"/>
        <w:adjustRightInd w:val="0"/>
        <w:snapToGrid w:val="0"/>
        <w:spacing w:before="192" w:line="366" w:lineRule="auto"/>
        <w:ind w:leftChars="0" w:right="4" w:rightChars="0"/>
        <w:jc w:val="both"/>
        <w:textAlignment w:val="baseline"/>
        <w:rPr>
          <w:rFonts w:hint="default"/>
          <w:spacing w:val="3"/>
          <w:lang w:val="en-US" w:eastAsia="zh-CN"/>
        </w:rPr>
      </w:pPr>
      <w:r>
        <w:rPr>
          <w:rFonts w:hint="default"/>
          <w:spacing w:val="3"/>
          <w:lang w:val="en-US" w:eastAsia="zh-CN"/>
        </w:rPr>
        <w:t>RQ2—Reliability. H2: ECE ↓ ≥ 50% with ≤ 0.5 pp macro‑F1 loss; APS coverage = 90% ± 5%; risk–coverage curves dominate (Angelopoulos &amp; Bates, 2023; e Silva Filho et al., 2023).</w:t>
      </w:r>
    </w:p>
    <w:p w14:paraId="12337B99">
      <w:pPr>
        <w:pStyle w:val="2"/>
        <w:numPr>
          <w:ilvl w:val="0"/>
          <w:numId w:val="0"/>
        </w:numPr>
        <w:kinsoku w:val="0"/>
        <w:autoSpaceDE w:val="0"/>
        <w:autoSpaceDN w:val="0"/>
        <w:adjustRightInd w:val="0"/>
        <w:snapToGrid w:val="0"/>
        <w:spacing w:before="192" w:line="366" w:lineRule="auto"/>
        <w:ind w:leftChars="0" w:right="4" w:rightChars="0"/>
        <w:jc w:val="both"/>
        <w:textAlignment w:val="baseline"/>
        <w:rPr>
          <w:rFonts w:hint="default"/>
          <w:spacing w:val="3"/>
          <w:lang w:val="en-US" w:eastAsia="zh-CN"/>
        </w:rPr>
      </w:pPr>
      <w:r>
        <w:rPr>
          <w:rFonts w:hint="default"/>
          <w:spacing w:val="3"/>
          <w:lang w:val="en-US" w:eastAsia="zh-CN"/>
        </w:rPr>
        <w:t>RQ3—Efficiency. H3: 50→25 Hz + INT8 PTQ gives ≥ 2× latency/energy reduction with ≤ 1 pp F1 drop. SC‑3: endorse only Pareto‑front points meeting H3.</w:t>
      </w:r>
    </w:p>
    <w:p w14:paraId="4D4313B9">
      <w:pPr>
        <w:pStyle w:val="2"/>
        <w:numPr>
          <w:ilvl w:val="0"/>
          <w:numId w:val="0"/>
        </w:numPr>
        <w:kinsoku w:val="0"/>
        <w:autoSpaceDE w:val="0"/>
        <w:autoSpaceDN w:val="0"/>
        <w:adjustRightInd w:val="0"/>
        <w:snapToGrid w:val="0"/>
        <w:spacing w:before="192" w:line="366" w:lineRule="auto"/>
        <w:ind w:right="4" w:rightChars="0"/>
        <w:jc w:val="both"/>
        <w:textAlignment w:val="baseline"/>
        <w:rPr>
          <w:rFonts w:hint="default" w:eastAsia="宋体"/>
          <w:spacing w:val="3"/>
          <w:lang w:val="en-US" w:eastAsia="zh-CN"/>
        </w:rPr>
      </w:pPr>
    </w:p>
    <w:p w14:paraId="655DF967">
      <w:pPr>
        <w:pStyle w:val="2"/>
        <w:numPr>
          <w:ilvl w:val="0"/>
          <w:numId w:val="0"/>
        </w:numPr>
        <w:kinsoku w:val="0"/>
        <w:autoSpaceDE w:val="0"/>
        <w:autoSpaceDN w:val="0"/>
        <w:adjustRightInd w:val="0"/>
        <w:snapToGrid w:val="0"/>
        <w:spacing w:before="192" w:line="366" w:lineRule="auto"/>
        <w:ind w:right="4" w:rightChars="0"/>
        <w:jc w:val="both"/>
        <w:textAlignment w:val="baseline"/>
        <w:rPr>
          <w:rFonts w:hint="default" w:eastAsia="宋体"/>
          <w:spacing w:val="3"/>
          <w:lang w:val="en-US" w:eastAsia="zh-CN"/>
        </w:rPr>
      </w:pPr>
    </w:p>
    <w:p w14:paraId="17758A9F">
      <w:pPr>
        <w:pStyle w:val="2"/>
        <w:spacing w:before="192" w:line="366" w:lineRule="auto"/>
        <w:ind w:right="4"/>
        <w:jc w:val="both"/>
        <w:rPr>
          <w:rFonts w:hint="eastAsia"/>
          <w:spacing w:val="3"/>
        </w:rPr>
      </w:pPr>
    </w:p>
    <w:p w14:paraId="58D84231">
      <w:pPr>
        <w:pStyle w:val="2"/>
        <w:spacing w:before="192" w:line="366" w:lineRule="auto"/>
        <w:ind w:right="4"/>
        <w:jc w:val="both"/>
        <w:rPr>
          <w:rFonts w:hint="eastAsia"/>
          <w:spacing w:val="3"/>
        </w:rPr>
      </w:pPr>
    </w:p>
    <w:p w14:paraId="08F90D5C">
      <w:pPr>
        <w:pStyle w:val="2"/>
        <w:numPr>
          <w:ilvl w:val="0"/>
          <w:numId w:val="2"/>
        </w:numPr>
        <w:spacing w:before="201" w:line="186" w:lineRule="auto"/>
        <w:ind w:left="0" w:leftChars="0" w:firstLine="0" w:firstLineChars="0"/>
        <w:rPr>
          <w:rFonts w:hint="eastAsia" w:eastAsia="宋体"/>
          <w:color w:val="2E74B5"/>
          <w:spacing w:val="-1"/>
          <w:sz w:val="28"/>
          <w:szCs w:val="28"/>
          <w:lang w:val="en-US" w:eastAsia="zh-CN"/>
        </w:rPr>
      </w:pPr>
      <w:r>
        <w:rPr>
          <w:rFonts w:hint="eastAsia" w:eastAsia="宋体"/>
          <w:color w:val="2E74B5"/>
          <w:spacing w:val="-1"/>
          <w:sz w:val="28"/>
          <w:szCs w:val="28"/>
          <w:lang w:val="en-US" w:eastAsia="zh-CN"/>
        </w:rPr>
        <w:t>Intended Users and Requirements</w:t>
      </w:r>
    </w:p>
    <w:p w14:paraId="5A7CE190">
      <w:pPr>
        <w:pStyle w:val="2"/>
        <w:numPr>
          <w:ilvl w:val="0"/>
          <w:numId w:val="0"/>
        </w:numPr>
        <w:spacing w:before="193" w:line="371" w:lineRule="auto"/>
        <w:ind w:right="2" w:rightChars="0"/>
        <w:jc w:val="both"/>
        <w:rPr>
          <w:rFonts w:hint="eastAsia"/>
          <w:spacing w:val="4"/>
        </w:rPr>
      </w:pPr>
      <w:r>
        <w:rPr>
          <w:rFonts w:hint="eastAsia"/>
          <w:spacing w:val="4"/>
        </w:rPr>
        <w:t xml:space="preserve">Users </w:t>
      </w:r>
      <w:r>
        <w:rPr>
          <w:rFonts w:hint="eastAsia" w:eastAsia="宋体"/>
          <w:spacing w:val="4"/>
          <w:lang w:val="en-US" w:eastAsia="zh-CN"/>
        </w:rPr>
        <w:t>and</w:t>
      </w:r>
      <w:r>
        <w:rPr>
          <w:rFonts w:hint="eastAsia"/>
          <w:spacing w:val="4"/>
        </w:rPr>
        <w:t xml:space="preserve"> benefits.</w:t>
      </w:r>
    </w:p>
    <w:p w14:paraId="590A53B1">
      <w:pPr>
        <w:pStyle w:val="2"/>
        <w:numPr>
          <w:ilvl w:val="0"/>
          <w:numId w:val="0"/>
        </w:numPr>
        <w:spacing w:before="193" w:line="371" w:lineRule="auto"/>
        <w:ind w:right="2" w:rightChars="0"/>
        <w:jc w:val="both"/>
        <w:rPr>
          <w:rFonts w:hint="eastAsia"/>
          <w:spacing w:val="4"/>
        </w:rPr>
      </w:pPr>
      <w:r>
        <w:rPr>
          <w:rFonts w:hint="eastAsia"/>
          <w:spacing w:val="4"/>
        </w:rPr>
        <w:t>Wearable/IoT engineers: receive ranked, deployable models plus device‑measured latency/energy.</w:t>
      </w:r>
    </w:p>
    <w:p w14:paraId="15B37558">
      <w:pPr>
        <w:pStyle w:val="2"/>
        <w:numPr>
          <w:ilvl w:val="0"/>
          <w:numId w:val="0"/>
        </w:numPr>
        <w:spacing w:before="193" w:line="371" w:lineRule="auto"/>
        <w:ind w:right="2" w:rightChars="0"/>
        <w:jc w:val="both"/>
        <w:rPr>
          <w:rFonts w:hint="eastAsia"/>
          <w:spacing w:val="4"/>
        </w:rPr>
      </w:pPr>
      <w:r>
        <w:rPr>
          <w:rFonts w:hint="eastAsia"/>
          <w:spacing w:val="4"/>
        </w:rPr>
        <w:t>Clinicians/rehab researchers: receive calibrated probabilities, a conservative reject option, and APS prediction sets with explicit coverage/size.</w:t>
      </w:r>
    </w:p>
    <w:p w14:paraId="3DE5926F">
      <w:pPr>
        <w:pStyle w:val="2"/>
        <w:numPr>
          <w:ilvl w:val="0"/>
          <w:numId w:val="0"/>
        </w:numPr>
        <w:spacing w:before="193" w:line="371" w:lineRule="auto"/>
        <w:ind w:right="2" w:rightChars="0"/>
        <w:jc w:val="both"/>
        <w:rPr>
          <w:rFonts w:hint="eastAsia"/>
          <w:spacing w:val="4"/>
        </w:rPr>
      </w:pPr>
      <w:r>
        <w:rPr>
          <w:rFonts w:hint="eastAsia"/>
          <w:spacing w:val="4"/>
        </w:rPr>
        <w:t>HAR researchers: receive leakage‑free baselines, label mappings, and scripts for cross‑dataset evaluation.</w:t>
      </w:r>
    </w:p>
    <w:p w14:paraId="6CF368DD">
      <w:pPr>
        <w:pStyle w:val="2"/>
        <w:numPr>
          <w:ilvl w:val="0"/>
          <w:numId w:val="0"/>
        </w:numPr>
        <w:spacing w:before="193" w:line="371" w:lineRule="auto"/>
        <w:ind w:right="2" w:rightChars="0"/>
        <w:jc w:val="both"/>
        <w:rPr>
          <w:rFonts w:hint="eastAsia"/>
          <w:spacing w:val="4"/>
        </w:rPr>
      </w:pPr>
      <w:r>
        <w:rPr>
          <w:rFonts w:hint="eastAsia"/>
          <w:spacing w:val="4"/>
        </w:rPr>
        <w:t>Operational KPIs (fixed pre‑test). See Table 1 (exempt from word count). Highlights: Pixel 7 (Tensor G2, Android 14); TFLite 2.14; CPU baseline and NNAPI on/off; ECE ↓ ≥ 50%; APS coverage 90% ± 5%; selective‑prediction threshold keeps high‑risk FP &lt; 2% on validation subjects; median per‑window latency ≤ 50 ms (CPU) or ≤ 20 ms (accelerator); ≥ 2× energy reduction vs full‑rate FP32; model ≤ 3 MB. Resourcing note (clinical): with 1,000 predictions/day and a conservative 10% abstain, ~100 manual reviews/day at ~2 min each ≈ 200 min/day, consistent with the 30‑min triage SLA via distributed rota.</w:t>
      </w:r>
    </w:p>
    <w:p w14:paraId="67179531">
      <w:pPr>
        <w:pStyle w:val="2"/>
        <w:spacing w:before="193" w:line="371" w:lineRule="auto"/>
        <w:ind w:right="2" w:firstLine="6"/>
        <w:jc w:val="both"/>
        <w:rPr>
          <w:rFonts w:hint="eastAsia"/>
          <w:spacing w:val="4"/>
        </w:rPr>
      </w:pPr>
    </w:p>
    <w:p w14:paraId="5DD4EF9E">
      <w:pPr>
        <w:spacing w:line="287" w:lineRule="auto"/>
        <w:rPr>
          <w:rFonts w:ascii="Arial"/>
          <w:sz w:val="21"/>
        </w:rPr>
      </w:pPr>
    </w:p>
    <w:p w14:paraId="359D74EB">
      <w:pPr>
        <w:spacing w:line="287" w:lineRule="auto"/>
        <w:rPr>
          <w:rFonts w:ascii="Arial"/>
          <w:sz w:val="21"/>
        </w:rPr>
      </w:pPr>
    </w:p>
    <w:p w14:paraId="37CBE325">
      <w:pPr>
        <w:spacing w:line="287" w:lineRule="auto"/>
        <w:rPr>
          <w:rFonts w:ascii="Arial"/>
          <w:sz w:val="21"/>
        </w:rPr>
      </w:pPr>
    </w:p>
    <w:p w14:paraId="241B70C7">
      <w:pPr>
        <w:spacing w:line="287" w:lineRule="auto"/>
        <w:rPr>
          <w:rFonts w:ascii="Arial"/>
          <w:sz w:val="21"/>
        </w:rPr>
      </w:pPr>
    </w:p>
    <w:p w14:paraId="350644F7">
      <w:pPr>
        <w:spacing w:line="287" w:lineRule="auto"/>
        <w:rPr>
          <w:rFonts w:ascii="Arial"/>
          <w:sz w:val="21"/>
        </w:rPr>
      </w:pPr>
    </w:p>
    <w:p w14:paraId="2C08CC5A">
      <w:pPr>
        <w:spacing w:line="287" w:lineRule="auto"/>
        <w:rPr>
          <w:rFonts w:ascii="Arial"/>
          <w:sz w:val="21"/>
        </w:rPr>
      </w:pPr>
    </w:p>
    <w:p w14:paraId="712BB3D2">
      <w:pPr>
        <w:spacing w:line="287" w:lineRule="auto"/>
        <w:rPr>
          <w:rFonts w:ascii="Arial"/>
          <w:sz w:val="21"/>
        </w:rPr>
      </w:pPr>
    </w:p>
    <w:p w14:paraId="6F61227A">
      <w:pPr>
        <w:spacing w:line="287" w:lineRule="auto"/>
        <w:rPr>
          <w:rFonts w:ascii="Arial"/>
          <w:sz w:val="21"/>
        </w:rPr>
      </w:pPr>
    </w:p>
    <w:p w14:paraId="3693E6CA">
      <w:pPr>
        <w:pStyle w:val="2"/>
        <w:spacing w:before="194" w:line="368" w:lineRule="auto"/>
        <w:ind w:right="2"/>
        <w:jc w:val="both"/>
        <w:rPr>
          <w:spacing w:val="4"/>
        </w:rPr>
      </w:pPr>
    </w:p>
    <w:p w14:paraId="24BC43C6">
      <w:pPr>
        <w:pStyle w:val="2"/>
        <w:spacing w:before="194" w:line="368" w:lineRule="auto"/>
        <w:ind w:right="2"/>
        <w:jc w:val="both"/>
        <w:rPr>
          <w:spacing w:val="4"/>
        </w:rPr>
      </w:pPr>
    </w:p>
    <w:p w14:paraId="34B645B6">
      <w:pPr>
        <w:pStyle w:val="2"/>
        <w:spacing w:before="194" w:line="368" w:lineRule="auto"/>
        <w:ind w:right="2"/>
        <w:jc w:val="both"/>
        <w:rPr>
          <w:spacing w:val="4"/>
        </w:rPr>
      </w:pPr>
    </w:p>
    <w:p w14:paraId="6507CB57">
      <w:pPr>
        <w:pStyle w:val="2"/>
        <w:spacing w:before="194" w:line="368" w:lineRule="auto"/>
        <w:ind w:right="2"/>
        <w:jc w:val="both"/>
        <w:rPr>
          <w:spacing w:val="4"/>
        </w:rPr>
      </w:pPr>
    </w:p>
    <w:p w14:paraId="66E1AF9E">
      <w:pPr>
        <w:pStyle w:val="2"/>
        <w:spacing w:before="194" w:line="368" w:lineRule="auto"/>
        <w:ind w:right="2"/>
        <w:jc w:val="both"/>
        <w:rPr>
          <w:spacing w:val="4"/>
        </w:rPr>
      </w:pPr>
    </w:p>
    <w:p w14:paraId="42733D63">
      <w:pPr>
        <w:pStyle w:val="2"/>
        <w:spacing w:before="194" w:line="368" w:lineRule="auto"/>
        <w:ind w:right="2"/>
        <w:jc w:val="both"/>
        <w:rPr>
          <w:spacing w:val="4"/>
        </w:rPr>
      </w:pPr>
    </w:p>
    <w:p w14:paraId="1DDE63ED">
      <w:pPr>
        <w:pStyle w:val="2"/>
        <w:spacing w:before="194" w:line="368" w:lineRule="auto"/>
        <w:ind w:right="2"/>
        <w:jc w:val="both"/>
        <w:rPr>
          <w:spacing w:val="4"/>
        </w:rPr>
      </w:pPr>
    </w:p>
    <w:p w14:paraId="3864330E">
      <w:pPr>
        <w:pStyle w:val="2"/>
        <w:spacing w:before="194" w:line="368" w:lineRule="auto"/>
        <w:ind w:right="2"/>
        <w:jc w:val="both"/>
        <w:rPr>
          <w:spacing w:val="4"/>
        </w:rPr>
      </w:pPr>
    </w:p>
    <w:p w14:paraId="3322C790">
      <w:pPr>
        <w:pStyle w:val="2"/>
        <w:spacing w:before="194" w:line="368" w:lineRule="auto"/>
        <w:ind w:right="2"/>
        <w:jc w:val="both"/>
        <w:rPr>
          <w:spacing w:val="4"/>
        </w:rPr>
      </w:pPr>
    </w:p>
    <w:p w14:paraId="6B7D2E05">
      <w:pPr>
        <w:pStyle w:val="2"/>
        <w:spacing w:before="194" w:line="368" w:lineRule="auto"/>
        <w:ind w:right="2"/>
        <w:jc w:val="both"/>
        <w:rPr>
          <w:spacing w:val="4"/>
        </w:rPr>
      </w:pPr>
    </w:p>
    <w:p w14:paraId="3F292460">
      <w:pPr>
        <w:pStyle w:val="2"/>
        <w:spacing w:before="194" w:line="368" w:lineRule="auto"/>
        <w:ind w:right="2"/>
        <w:jc w:val="both"/>
        <w:rPr>
          <w:spacing w:val="4"/>
        </w:rPr>
      </w:pPr>
    </w:p>
    <w:p w14:paraId="01B3B439">
      <w:pPr>
        <w:pStyle w:val="2"/>
        <w:numPr>
          <w:ilvl w:val="0"/>
          <w:numId w:val="2"/>
        </w:numPr>
        <w:spacing w:before="201" w:line="186" w:lineRule="auto"/>
        <w:ind w:left="0" w:leftChars="0" w:firstLine="0" w:firstLineChars="0"/>
        <w:rPr>
          <w:rFonts w:hint="eastAsia" w:eastAsia="宋体"/>
          <w:color w:val="2E74B5"/>
          <w:spacing w:val="-1"/>
          <w:sz w:val="28"/>
          <w:szCs w:val="28"/>
          <w:lang w:val="en-US" w:eastAsia="zh-CN"/>
        </w:rPr>
      </w:pPr>
      <w:r>
        <w:rPr>
          <w:rFonts w:hint="eastAsia" w:eastAsia="宋体"/>
          <w:color w:val="2E74B5"/>
          <w:spacing w:val="-1"/>
          <w:sz w:val="28"/>
          <w:szCs w:val="28"/>
          <w:lang w:val="en-US" w:eastAsia="zh-CN"/>
        </w:rPr>
        <w:t>Systems Requirements, Deliverables, Final Outcome</w:t>
      </w:r>
    </w:p>
    <w:p w14:paraId="3C1548D5">
      <w:pPr>
        <w:pStyle w:val="2"/>
        <w:spacing w:before="190" w:line="366" w:lineRule="auto"/>
        <w:ind w:right="1"/>
        <w:jc w:val="both"/>
        <w:rPr>
          <w:rFonts w:hint="eastAsia"/>
          <w:spacing w:val="4"/>
        </w:rPr>
      </w:pPr>
      <w:r>
        <w:rPr>
          <w:rFonts w:hint="eastAsia"/>
          <w:spacing w:val="4"/>
        </w:rPr>
        <w:t>Functional. Ingest PAMAP2/WISDM/RealWorld; harmonise axes/units/labels; anti‑alias → decimate; subject‑exclusive splits and a fixed calibration fold; per‑subject z‑scoring; windows 2/3/5 s with {0, 50%} overlap (frozen at Exit‑A); models as above; metrics: macro‑F1 (primary), per‑class F1, confusion; latency/FLOPs/energy; reliability (ECE/Brier/NLL), selective‑prediction, APS; OOD via energy or max‑softmax; stats: Friedman+Nemenyi, Wilcoxon+Holm, effect sizes; visuals: CD plots, risk–coverage, Pareto.</w:t>
      </w:r>
    </w:p>
    <w:p w14:paraId="6B7A6F1F">
      <w:pPr>
        <w:pStyle w:val="2"/>
        <w:spacing w:before="190" w:line="366" w:lineRule="auto"/>
        <w:ind w:right="1"/>
        <w:jc w:val="both"/>
        <w:rPr>
          <w:rFonts w:hint="eastAsia"/>
          <w:spacing w:val="4"/>
        </w:rPr>
      </w:pPr>
      <w:r>
        <w:rPr>
          <w:rFonts w:hint="eastAsia"/>
          <w:spacing w:val="4"/>
        </w:rPr>
        <w:t>Non‑functional. Public datasets; permissive licence; deterministic runs (seeds); Docker + lockfile; reproducibility checklist; Dataset/Model Cards.</w:t>
      </w:r>
    </w:p>
    <w:p w14:paraId="1A3B7440">
      <w:pPr>
        <w:pStyle w:val="2"/>
        <w:spacing w:before="190" w:line="366" w:lineRule="auto"/>
        <w:ind w:right="1"/>
        <w:jc w:val="both"/>
        <w:rPr>
          <w:rFonts w:hint="eastAsia"/>
          <w:spacing w:val="4"/>
        </w:rPr>
      </w:pPr>
      <w:r>
        <w:rPr>
          <w:rFonts w:hint="eastAsia"/>
          <w:spacing w:val="4"/>
        </w:rPr>
        <w:t>Deliverables &amp; gates. Table 2 enumerates D1–D7 with hard pass/fail and failure‑exit rules.</w:t>
      </w:r>
    </w:p>
    <w:p w14:paraId="4D6F5827">
      <w:pPr>
        <w:pStyle w:val="2"/>
        <w:spacing w:before="190" w:line="366" w:lineRule="auto"/>
        <w:ind w:right="1"/>
        <w:jc w:val="both"/>
        <w:rPr>
          <w:rFonts w:hint="eastAsia"/>
          <w:spacing w:val="4"/>
        </w:rPr>
      </w:pPr>
      <w:r>
        <w:rPr>
          <w:rFonts w:hint="eastAsia"/>
          <w:spacing w:val="4"/>
        </w:rPr>
        <w:t>Final outcome. One auditable configuration—(champion model) + (calibration + APS policy) + (sampling/INT8 point)—that meets Table 1.</w:t>
      </w:r>
    </w:p>
    <w:p w14:paraId="2CE0C06C">
      <w:pPr>
        <w:pStyle w:val="2"/>
        <w:spacing w:before="190" w:line="366" w:lineRule="auto"/>
        <w:ind w:right="1"/>
        <w:jc w:val="both"/>
        <w:rPr>
          <w:rFonts w:hint="eastAsia"/>
          <w:spacing w:val="4"/>
        </w:rPr>
      </w:pPr>
    </w:p>
    <w:p w14:paraId="5C81E019">
      <w:pPr>
        <w:pStyle w:val="2"/>
        <w:spacing w:before="190" w:line="366" w:lineRule="auto"/>
        <w:ind w:right="1"/>
        <w:jc w:val="both"/>
        <w:rPr>
          <w:rFonts w:hint="eastAsia" w:eastAsia="宋体"/>
          <w:spacing w:val="4"/>
          <w:lang w:val="en-US" w:eastAsia="zh-CN"/>
        </w:rPr>
      </w:pPr>
    </w:p>
    <w:p w14:paraId="793AC612">
      <w:pPr>
        <w:pStyle w:val="2"/>
        <w:spacing w:before="190" w:line="366" w:lineRule="auto"/>
        <w:ind w:right="1"/>
        <w:jc w:val="both"/>
        <w:rPr>
          <w:rFonts w:hint="eastAsia" w:eastAsia="宋体"/>
          <w:spacing w:val="4"/>
          <w:lang w:val="en-US" w:eastAsia="zh-CN"/>
        </w:rPr>
      </w:pPr>
    </w:p>
    <w:p w14:paraId="09126C8C">
      <w:pPr>
        <w:pStyle w:val="2"/>
        <w:spacing w:before="190" w:line="366" w:lineRule="auto"/>
        <w:ind w:right="1"/>
        <w:jc w:val="both"/>
        <w:rPr>
          <w:rFonts w:hint="eastAsia" w:eastAsia="宋体"/>
          <w:spacing w:val="4"/>
          <w:lang w:val="en-US" w:eastAsia="zh-CN"/>
        </w:rPr>
      </w:pPr>
    </w:p>
    <w:p w14:paraId="1184E2D5">
      <w:pPr>
        <w:pStyle w:val="2"/>
        <w:spacing w:before="190" w:line="366" w:lineRule="auto"/>
        <w:ind w:right="1"/>
        <w:jc w:val="both"/>
        <w:rPr>
          <w:rFonts w:hint="eastAsia" w:eastAsia="宋体"/>
          <w:spacing w:val="4"/>
          <w:lang w:val="en-US" w:eastAsia="zh-CN"/>
        </w:rPr>
      </w:pPr>
    </w:p>
    <w:p w14:paraId="79734081">
      <w:pPr>
        <w:pStyle w:val="2"/>
        <w:spacing w:before="190" w:line="366" w:lineRule="auto"/>
        <w:ind w:right="1"/>
        <w:jc w:val="both"/>
        <w:rPr>
          <w:rFonts w:hint="eastAsia" w:eastAsia="宋体"/>
          <w:spacing w:val="4"/>
          <w:lang w:val="en-US" w:eastAsia="zh-CN"/>
        </w:rPr>
      </w:pPr>
    </w:p>
    <w:p w14:paraId="7A0876D4">
      <w:pPr>
        <w:pStyle w:val="2"/>
        <w:spacing w:before="190" w:line="366" w:lineRule="auto"/>
        <w:ind w:right="1"/>
        <w:jc w:val="both"/>
        <w:rPr>
          <w:rFonts w:hint="eastAsia" w:eastAsia="宋体"/>
          <w:spacing w:val="4"/>
          <w:lang w:val="en-US" w:eastAsia="zh-CN"/>
        </w:rPr>
      </w:pPr>
    </w:p>
    <w:p w14:paraId="7ED503E4">
      <w:pPr>
        <w:pStyle w:val="2"/>
        <w:spacing w:before="190" w:line="366" w:lineRule="auto"/>
        <w:ind w:right="1"/>
        <w:jc w:val="both"/>
        <w:rPr>
          <w:rFonts w:hint="eastAsia" w:eastAsia="宋体"/>
          <w:spacing w:val="4"/>
          <w:lang w:val="en-US" w:eastAsia="zh-CN"/>
        </w:rPr>
      </w:pPr>
    </w:p>
    <w:p w14:paraId="4A560E4E">
      <w:pPr>
        <w:pStyle w:val="2"/>
        <w:spacing w:before="190" w:line="366" w:lineRule="auto"/>
        <w:ind w:right="1"/>
        <w:jc w:val="both"/>
        <w:rPr>
          <w:rFonts w:hint="eastAsia" w:eastAsia="宋体"/>
          <w:spacing w:val="4"/>
          <w:lang w:val="en-US" w:eastAsia="zh-CN"/>
        </w:rPr>
      </w:pPr>
    </w:p>
    <w:p w14:paraId="3E33965A">
      <w:pPr>
        <w:pStyle w:val="2"/>
        <w:spacing w:before="190" w:line="366" w:lineRule="auto"/>
        <w:ind w:right="1"/>
        <w:jc w:val="both"/>
        <w:rPr>
          <w:rFonts w:hint="eastAsia" w:eastAsia="宋体"/>
          <w:spacing w:val="4"/>
          <w:lang w:val="en-US" w:eastAsia="zh-CN"/>
        </w:rPr>
      </w:pPr>
    </w:p>
    <w:p w14:paraId="6B7EFF1C">
      <w:pPr>
        <w:pStyle w:val="2"/>
        <w:spacing w:before="190" w:line="366" w:lineRule="auto"/>
        <w:ind w:right="1"/>
        <w:jc w:val="both"/>
        <w:rPr>
          <w:rFonts w:hint="eastAsia" w:eastAsia="宋体"/>
          <w:spacing w:val="4"/>
          <w:lang w:val="en-US" w:eastAsia="zh-CN"/>
        </w:rPr>
      </w:pPr>
    </w:p>
    <w:p w14:paraId="45091588">
      <w:pPr>
        <w:pStyle w:val="2"/>
        <w:spacing w:before="190" w:line="366" w:lineRule="auto"/>
        <w:ind w:right="1"/>
        <w:jc w:val="both"/>
        <w:rPr>
          <w:rFonts w:hint="eastAsia" w:eastAsia="宋体"/>
          <w:spacing w:val="4"/>
          <w:lang w:val="en-US" w:eastAsia="zh-CN"/>
        </w:rPr>
      </w:pPr>
    </w:p>
    <w:p w14:paraId="289C9691">
      <w:pPr>
        <w:pStyle w:val="2"/>
        <w:spacing w:before="190" w:line="366" w:lineRule="auto"/>
        <w:ind w:right="1"/>
        <w:jc w:val="both"/>
        <w:rPr>
          <w:rFonts w:hint="eastAsia" w:eastAsia="宋体"/>
          <w:spacing w:val="4"/>
          <w:lang w:val="en-US" w:eastAsia="zh-CN"/>
        </w:rPr>
      </w:pPr>
    </w:p>
    <w:p w14:paraId="6ADE3F21">
      <w:pPr>
        <w:pStyle w:val="2"/>
        <w:spacing w:before="190" w:line="366" w:lineRule="auto"/>
        <w:ind w:right="1"/>
        <w:jc w:val="both"/>
        <w:rPr>
          <w:rFonts w:hint="eastAsia" w:eastAsia="宋体"/>
          <w:spacing w:val="4"/>
          <w:lang w:val="en-US" w:eastAsia="zh-CN"/>
        </w:rPr>
      </w:pPr>
    </w:p>
    <w:p w14:paraId="2564FBB7">
      <w:pPr>
        <w:pStyle w:val="2"/>
        <w:spacing w:before="190" w:line="366" w:lineRule="auto"/>
        <w:ind w:right="1"/>
        <w:jc w:val="both"/>
        <w:rPr>
          <w:rFonts w:hint="eastAsia" w:eastAsia="宋体"/>
          <w:spacing w:val="4"/>
          <w:lang w:val="en-US" w:eastAsia="zh-CN"/>
        </w:rPr>
      </w:pPr>
    </w:p>
    <w:p w14:paraId="356D6C32">
      <w:pPr>
        <w:pStyle w:val="2"/>
        <w:spacing w:before="190" w:line="366" w:lineRule="auto"/>
        <w:ind w:right="1"/>
        <w:jc w:val="both"/>
        <w:rPr>
          <w:rFonts w:hint="eastAsia" w:eastAsia="宋体"/>
          <w:spacing w:val="4"/>
          <w:lang w:val="en-US" w:eastAsia="zh-CN"/>
        </w:rPr>
      </w:pPr>
    </w:p>
    <w:p w14:paraId="3D6C46A8">
      <w:pPr>
        <w:pStyle w:val="2"/>
        <w:spacing w:before="190" w:line="366" w:lineRule="auto"/>
        <w:ind w:right="1"/>
        <w:jc w:val="both"/>
        <w:rPr>
          <w:rFonts w:hint="eastAsia" w:eastAsia="宋体"/>
          <w:spacing w:val="4"/>
          <w:lang w:val="en-US" w:eastAsia="zh-CN"/>
        </w:rPr>
      </w:pPr>
    </w:p>
    <w:p w14:paraId="0FD3D57E">
      <w:pPr>
        <w:pStyle w:val="2"/>
        <w:numPr>
          <w:ilvl w:val="0"/>
          <w:numId w:val="2"/>
        </w:numPr>
        <w:spacing w:before="201" w:line="186" w:lineRule="auto"/>
        <w:ind w:left="0" w:leftChars="0" w:firstLine="0" w:firstLineChars="0"/>
        <w:rPr>
          <w:rFonts w:hint="eastAsia" w:eastAsia="宋体"/>
          <w:color w:val="2E74B5"/>
          <w:spacing w:val="-1"/>
          <w:sz w:val="28"/>
          <w:szCs w:val="28"/>
          <w:lang w:val="en-US" w:eastAsia="zh-CN"/>
        </w:rPr>
      </w:pPr>
      <w:r>
        <w:rPr>
          <w:rFonts w:hint="eastAsia" w:eastAsia="宋体"/>
          <w:color w:val="2E74B5"/>
          <w:spacing w:val="-1"/>
          <w:sz w:val="28"/>
          <w:szCs w:val="28"/>
          <w:lang w:val="en-US" w:eastAsia="zh-CN"/>
        </w:rPr>
        <w:t>Primary Research Plan (feasibility, power, risk controls)</w:t>
      </w:r>
    </w:p>
    <w:p w14:paraId="648A6538">
      <w:pPr>
        <w:pStyle w:val="2"/>
        <w:spacing w:before="192" w:line="366" w:lineRule="auto"/>
        <w:ind w:right="3"/>
        <w:jc w:val="both"/>
        <w:rPr>
          <w:rFonts w:hint="eastAsia"/>
        </w:rPr>
      </w:pPr>
      <w:r>
        <w:rPr>
          <w:rFonts w:hint="eastAsia"/>
        </w:rPr>
        <w:t>Data governance and label taxonomy. Release code for mappings; report both aligned‑only and all‑class (with N/A) metrics to reveal mapping uncertainty (Napoli et al., 2024). Calibration subjects remain disjoint from train/test.</w:t>
      </w:r>
    </w:p>
    <w:p w14:paraId="44C9410E">
      <w:pPr>
        <w:pStyle w:val="2"/>
        <w:spacing w:before="192" w:line="366" w:lineRule="auto"/>
        <w:ind w:right="3"/>
        <w:jc w:val="both"/>
        <w:rPr>
          <w:rFonts w:hint="eastAsia"/>
        </w:rPr>
      </w:pPr>
    </w:p>
    <w:p w14:paraId="672BF1A3">
      <w:pPr>
        <w:pStyle w:val="2"/>
        <w:spacing w:before="192" w:line="366" w:lineRule="auto"/>
        <w:ind w:right="3"/>
        <w:jc w:val="both"/>
        <w:rPr>
          <w:rFonts w:hint="eastAsia"/>
        </w:rPr>
      </w:pPr>
      <w:r>
        <w:rPr>
          <w:rFonts w:hint="eastAsia"/>
        </w:rPr>
        <w:t>Preprocessing (frozen at Exit‑A).</w:t>
      </w:r>
    </w:p>
    <w:p w14:paraId="4316453B">
      <w:pPr>
        <w:pStyle w:val="2"/>
        <w:spacing w:before="192" w:line="366" w:lineRule="auto"/>
        <w:ind w:right="3"/>
        <w:jc w:val="both"/>
        <w:rPr>
          <w:rFonts w:hint="eastAsia"/>
        </w:rPr>
      </w:pPr>
      <w:r>
        <w:rPr>
          <w:rFonts w:hint="eastAsia"/>
        </w:rPr>
        <w:t>Anti‑alias → decimate. For downsampling by factor M (e.g., 50→25 Hz), design a linear‑phase FIR with a Kaiser window: passband edge 0.8·(Nyquist/M); stopband 1.2·(Nyquist/M); passband ripple ≤ 0.01; stopband attenuation ≥ 60 dB. We report order, transition width, group delay, and re‑tune stride to keep end‑to‑end decision delay &lt; window/2.</w:t>
      </w:r>
    </w:p>
    <w:p w14:paraId="48C5F84A">
      <w:pPr>
        <w:pStyle w:val="2"/>
        <w:spacing w:before="192" w:line="366" w:lineRule="auto"/>
        <w:ind w:right="3"/>
        <w:jc w:val="both"/>
        <w:rPr>
          <w:rFonts w:hint="eastAsia"/>
        </w:rPr>
      </w:pPr>
      <w:r>
        <w:rPr>
          <w:rFonts w:hint="eastAsia"/>
        </w:rPr>
        <w:t>Normalisation. Per‑subject z‑score, using training+calibration statistics only.</w:t>
      </w:r>
      <w:bookmarkStart w:id="0" w:name="_GoBack"/>
      <w:bookmarkEnd w:id="0"/>
    </w:p>
    <w:p w14:paraId="1676B194">
      <w:pPr>
        <w:pStyle w:val="2"/>
        <w:spacing w:before="192" w:line="366" w:lineRule="auto"/>
        <w:ind w:right="3"/>
        <w:jc w:val="both"/>
        <w:rPr>
          <w:rFonts w:hint="eastAsia"/>
        </w:rPr>
      </w:pPr>
      <w:r>
        <w:rPr>
          <w:rFonts w:hint="eastAsia"/>
        </w:rPr>
        <w:t>Windows. 2/3/5 s × {0, 50%} overlap; best‑stability option frozen at Exit‑A.</w:t>
      </w:r>
    </w:p>
    <w:p w14:paraId="60738E1A">
      <w:pPr>
        <w:pStyle w:val="2"/>
        <w:spacing w:before="192" w:line="366" w:lineRule="auto"/>
        <w:ind w:right="3"/>
        <w:jc w:val="both"/>
        <w:rPr>
          <w:rFonts w:hint="eastAsia"/>
        </w:rPr>
      </w:pPr>
    </w:p>
    <w:p w14:paraId="29290495">
      <w:pPr>
        <w:pStyle w:val="2"/>
        <w:spacing w:before="192" w:line="366" w:lineRule="auto"/>
        <w:ind w:right="3"/>
        <w:jc w:val="both"/>
        <w:rPr>
          <w:rFonts w:hint="eastAsia"/>
        </w:rPr>
      </w:pPr>
      <w:r>
        <w:rPr>
          <w:rFonts w:hint="eastAsia"/>
        </w:rPr>
        <w:t>Models and ablations.</w:t>
      </w:r>
    </w:p>
    <w:p w14:paraId="4F7A59A4">
      <w:pPr>
        <w:pStyle w:val="2"/>
        <w:spacing w:before="192" w:line="366" w:lineRule="auto"/>
        <w:ind w:right="3"/>
        <w:jc w:val="both"/>
        <w:rPr>
          <w:rFonts w:hint="eastAsia"/>
        </w:rPr>
      </w:pPr>
      <w:r>
        <w:rPr>
          <w:rFonts w:hint="eastAsia"/>
        </w:rPr>
        <w:t>Baselines: InceptionTime (multi‑scale 1‑D CNN) and MultiRocket (fast kernel method; Tan et al., 2022). KNN/RF anchor classical baselines; TST covers attention‑based temporal modelling. STG‑Former uses depthwise‑separable convolutions to form spectral tokens and gated temporal self‑attention; we ablate gating and tokeniser; report parameters and FLOPs.</w:t>
      </w:r>
    </w:p>
    <w:p w14:paraId="3D7505EF">
      <w:pPr>
        <w:pStyle w:val="2"/>
        <w:spacing w:before="192" w:line="366" w:lineRule="auto"/>
        <w:ind w:right="3"/>
        <w:jc w:val="both"/>
        <w:rPr>
          <w:rFonts w:hint="eastAsia"/>
        </w:rPr>
      </w:pPr>
    </w:p>
    <w:p w14:paraId="3ED5C4B9">
      <w:pPr>
        <w:pStyle w:val="2"/>
        <w:spacing w:before="192" w:line="366" w:lineRule="auto"/>
        <w:ind w:right="3"/>
        <w:jc w:val="both"/>
        <w:rPr>
          <w:rFonts w:hint="eastAsia"/>
        </w:rPr>
      </w:pPr>
      <w:r>
        <w:rPr>
          <w:rFonts w:hint="eastAsia"/>
        </w:rPr>
        <w:t>Reliability (calibration + selective + conformal).</w:t>
      </w:r>
    </w:p>
    <w:p w14:paraId="5B7BEB6D">
      <w:pPr>
        <w:pStyle w:val="2"/>
        <w:spacing w:before="192" w:line="366" w:lineRule="auto"/>
        <w:ind w:right="3"/>
        <w:jc w:val="both"/>
        <w:rPr>
          <w:rFonts w:hint="eastAsia"/>
        </w:rPr>
      </w:pPr>
      <w:r>
        <w:rPr>
          <w:rFonts w:hint="eastAsia"/>
        </w:rPr>
        <w:t>Calibration. Fit temperature and isotonic on a subject‑disjoint calibration split; evaluate subject‑wise and pooled ECE (15 equal‑mass bins), Brier, NLL (e Silva Filho et al., 2023).</w:t>
      </w:r>
    </w:p>
    <w:p w14:paraId="715863C8">
      <w:pPr>
        <w:pStyle w:val="2"/>
        <w:spacing w:before="192" w:line="366" w:lineRule="auto"/>
        <w:ind w:right="3"/>
        <w:jc w:val="both"/>
        <w:rPr>
          <w:rFonts w:hint="eastAsia"/>
        </w:rPr>
      </w:pPr>
      <w:r>
        <w:rPr>
          <w:rFonts w:hint="eastAsia"/>
        </w:rPr>
        <w:t>Selective prediction. One global confidence threshold chosen on validation subjects to maximise coverage subject to high‑risk FP &lt; 2%; threshold frozen pre‑test.</w:t>
      </w:r>
    </w:p>
    <w:p w14:paraId="27CEAB94">
      <w:pPr>
        <w:pStyle w:val="2"/>
        <w:spacing w:before="192" w:line="366" w:lineRule="auto"/>
        <w:ind w:right="3"/>
        <w:jc w:val="both"/>
        <w:rPr>
          <w:rFonts w:hint="eastAsia"/>
        </w:rPr>
      </w:pPr>
      <w:r>
        <w:rPr>
          <w:rFonts w:hint="eastAsia"/>
        </w:rPr>
        <w:t>APS conformal (label sets). Nominal 90%. If empirical coverage on held‑out subjects &lt; 85%, switch to Mondrian APS (class‑conditional) without retraining. To control set‑size inflation on long‑tail/confusable classes, we adopt a threshold‑then‑APS rule: if average APS set size on validation &gt; 1.6 while coverage ≥ 85%, first apply the selective threshold, then compute APS on the remaining cases.</w:t>
      </w:r>
    </w:p>
    <w:p w14:paraId="25121CD5">
      <w:pPr>
        <w:pStyle w:val="2"/>
        <w:spacing w:before="192" w:line="366" w:lineRule="auto"/>
        <w:ind w:right="3"/>
        <w:jc w:val="both"/>
        <w:rPr>
          <w:rFonts w:hint="eastAsia"/>
        </w:rPr>
      </w:pPr>
    </w:p>
    <w:p w14:paraId="601876D8">
      <w:pPr>
        <w:pStyle w:val="2"/>
        <w:spacing w:before="192" w:line="366" w:lineRule="auto"/>
        <w:ind w:right="3"/>
        <w:jc w:val="both"/>
        <w:rPr>
          <w:rFonts w:hint="eastAsia"/>
        </w:rPr>
      </w:pPr>
    </w:p>
    <w:p w14:paraId="5F09F260">
      <w:pPr>
        <w:pStyle w:val="2"/>
        <w:spacing w:before="192" w:line="366" w:lineRule="auto"/>
        <w:ind w:right="3"/>
        <w:jc w:val="both"/>
        <w:rPr>
          <w:rFonts w:hint="eastAsia"/>
        </w:rPr>
      </w:pPr>
    </w:p>
    <w:p w14:paraId="4BD440B1">
      <w:pPr>
        <w:pStyle w:val="2"/>
        <w:spacing w:before="192" w:line="366" w:lineRule="auto"/>
        <w:ind w:right="3"/>
        <w:jc w:val="both"/>
        <w:rPr>
          <w:rFonts w:hint="eastAsia"/>
        </w:rPr>
      </w:pPr>
      <w:r>
        <w:rPr>
          <w:rFonts w:hint="eastAsia"/>
        </w:rPr>
        <w:t>Efficiency &amp; compression.</w:t>
      </w:r>
    </w:p>
    <w:p w14:paraId="0E0A8C19">
      <w:pPr>
        <w:pStyle w:val="2"/>
        <w:spacing w:before="192" w:line="366" w:lineRule="auto"/>
        <w:ind w:right="3"/>
        <w:jc w:val="both"/>
        <w:rPr>
          <w:rFonts w:hint="eastAsia"/>
        </w:rPr>
      </w:pPr>
      <w:r>
        <w:rPr>
          <w:rFonts w:hint="eastAsia"/>
        </w:rPr>
        <w:t>Sampling sweeps. 100→50→25 Hz with stride retuning; non‑inferiority margin 1 pp macro‑F1 vs full‑rate.</w:t>
      </w:r>
    </w:p>
    <w:p w14:paraId="762317D1">
      <w:pPr>
        <w:pStyle w:val="2"/>
        <w:spacing w:before="192" w:line="366" w:lineRule="auto"/>
        <w:ind w:right="3"/>
        <w:jc w:val="both"/>
        <w:rPr>
          <w:rFonts w:hint="eastAsia"/>
        </w:rPr>
      </w:pPr>
      <w:r>
        <w:rPr>
          <w:rFonts w:hint="eastAsia"/>
        </w:rPr>
        <w:t>INT8 PTQ. Symmetric per‑tensor quantisation with class‑stratified calibration samples; if any class drops &gt; 1 pp F1, run layer‑wise sensitivity and small‑budget distillation.</w:t>
      </w:r>
    </w:p>
    <w:p w14:paraId="642FD447">
      <w:pPr>
        <w:pStyle w:val="2"/>
        <w:spacing w:before="192" w:line="366" w:lineRule="auto"/>
        <w:ind w:right="3"/>
        <w:jc w:val="both"/>
        <w:rPr>
          <w:rFonts w:hint="eastAsia"/>
        </w:rPr>
      </w:pPr>
    </w:p>
    <w:p w14:paraId="6EE1719C">
      <w:pPr>
        <w:pStyle w:val="2"/>
        <w:spacing w:before="192" w:line="366" w:lineRule="auto"/>
        <w:ind w:right="3"/>
        <w:jc w:val="both"/>
        <w:rPr>
          <w:rFonts w:hint="eastAsia"/>
        </w:rPr>
      </w:pPr>
      <w:r>
        <w:rPr>
          <w:rFonts w:hint="eastAsia"/>
        </w:rPr>
        <w:t>On‑device benchmarking (Pixel 7).</w:t>
      </w:r>
    </w:p>
    <w:p w14:paraId="0A3598C6">
      <w:pPr>
        <w:pStyle w:val="2"/>
        <w:spacing w:before="192" w:line="366" w:lineRule="auto"/>
        <w:ind w:right="3"/>
        <w:jc w:val="both"/>
        <w:rPr>
          <w:rFonts w:hint="eastAsia"/>
        </w:rPr>
      </w:pPr>
      <w:r>
        <w:rPr>
          <w:rFonts w:hint="eastAsia"/>
        </w:rPr>
        <w:t>TFLite 2.14; CPU and NNAPI; medians over 200 single‑window inferences, interleaved across models; airplane mode; fixed brightness; battery 60–90%; foreground only; ambient temperature logged. Trials with &gt; 2 MAD thermal drift discarded. Energy = mean power × latency from OS telemetry; bootstrap 95% CIs. External‑meter spot‑check: for each champion‑config (CPU &amp; NNAPI), run 10 additional trials with an in‑line USB power meter; report agreement (mean absolute % error) with OS telemetry; attach raw traces. Limitations of proxy energy are discussed; BatteryStats consistency reported.</w:t>
      </w:r>
    </w:p>
    <w:p w14:paraId="768341FA">
      <w:pPr>
        <w:pStyle w:val="2"/>
        <w:spacing w:before="192" w:line="366" w:lineRule="auto"/>
        <w:ind w:right="3"/>
        <w:jc w:val="both"/>
        <w:rPr>
          <w:rFonts w:hint="eastAsia"/>
        </w:rPr>
      </w:pPr>
      <w:r>
        <w:rPr>
          <w:rFonts w:hint="eastAsia"/>
        </w:rPr>
        <w:t>Cross‑dataset transfer and low‑label adaptation.</w:t>
      </w:r>
    </w:p>
    <w:p w14:paraId="7E5AEEDA">
      <w:pPr>
        <w:pStyle w:val="2"/>
        <w:spacing w:before="192" w:line="366" w:lineRule="auto"/>
        <w:ind w:right="3"/>
        <w:jc w:val="both"/>
        <w:rPr>
          <w:rFonts w:hint="eastAsia"/>
        </w:rPr>
      </w:pPr>
      <w:r>
        <w:rPr>
          <w:rFonts w:hint="eastAsia"/>
        </w:rPr>
        <w:t>Zero‑shot on aligned labels; then 1%/5% fine‑tuning with fixed splits; F1–label‑rate curves; mapping scripts released.</w:t>
      </w:r>
    </w:p>
    <w:p w14:paraId="420E22EA">
      <w:pPr>
        <w:pStyle w:val="2"/>
        <w:spacing w:before="192" w:line="366" w:lineRule="auto"/>
        <w:ind w:right="3"/>
        <w:jc w:val="both"/>
        <w:rPr>
          <w:rFonts w:hint="eastAsia"/>
        </w:rPr>
      </w:pPr>
    </w:p>
    <w:p w14:paraId="2303F820">
      <w:pPr>
        <w:pStyle w:val="2"/>
        <w:spacing w:before="192" w:line="366" w:lineRule="auto"/>
        <w:ind w:right="3"/>
        <w:jc w:val="both"/>
        <w:rPr>
          <w:rFonts w:hint="eastAsia"/>
        </w:rPr>
      </w:pPr>
      <w:r>
        <w:rPr>
          <w:rFonts w:hint="eastAsia"/>
        </w:rPr>
        <w:t>OOD robustness &amp; fairness.</w:t>
      </w:r>
    </w:p>
    <w:p w14:paraId="2B1E2A80">
      <w:pPr>
        <w:pStyle w:val="2"/>
        <w:spacing w:before="192" w:line="366" w:lineRule="auto"/>
        <w:ind w:right="3"/>
        <w:jc w:val="both"/>
        <w:rPr>
          <w:rFonts w:hint="eastAsia"/>
        </w:rPr>
      </w:pPr>
      <w:r>
        <w:rPr>
          <w:rFonts w:hint="eastAsia"/>
        </w:rPr>
        <w:t>OOD detection. Score with energy or max‑softmax; report AUROC and TPR@FPR=1%. Target: champion must reach TPR@1%FPR ≥ 60%; otherwise adopt energy‑based scoring and record abstain‑rate impact.</w:t>
      </w:r>
    </w:p>
    <w:p w14:paraId="4A36BDCB">
      <w:pPr>
        <w:pStyle w:val="2"/>
        <w:spacing w:before="192" w:line="366" w:lineRule="auto"/>
        <w:ind w:right="3"/>
        <w:jc w:val="both"/>
        <w:rPr>
          <w:rFonts w:hint="eastAsia"/>
        </w:rPr>
      </w:pPr>
      <w:r>
        <w:rPr>
          <w:rFonts w:hint="eastAsia"/>
        </w:rPr>
        <w:t>Fairness. Slice by device/wear‑location (if available); document disparities and any threshold adjustments; reject/APS policy must not disproportionately refuse specific slices without justification.</w:t>
      </w:r>
    </w:p>
    <w:p w14:paraId="61824883">
      <w:pPr>
        <w:pStyle w:val="2"/>
        <w:spacing w:before="192" w:line="366" w:lineRule="auto"/>
        <w:ind w:right="3"/>
        <w:jc w:val="both"/>
        <w:rPr>
          <w:rFonts w:hint="eastAsia"/>
        </w:rPr>
      </w:pPr>
    </w:p>
    <w:p w14:paraId="660C1E84">
      <w:pPr>
        <w:pStyle w:val="2"/>
        <w:spacing w:before="192" w:line="366" w:lineRule="auto"/>
        <w:ind w:right="3"/>
        <w:jc w:val="both"/>
        <w:rPr>
          <w:rFonts w:hint="eastAsia"/>
        </w:rPr>
      </w:pPr>
      <w:r>
        <w:rPr>
          <w:rFonts w:hint="eastAsia"/>
        </w:rPr>
        <w:t>Statistics, power, and reproducibility.</w:t>
      </w:r>
    </w:p>
    <w:p w14:paraId="074E73CF">
      <w:pPr>
        <w:pStyle w:val="2"/>
        <w:spacing w:before="192" w:line="366" w:lineRule="auto"/>
        <w:ind w:right="3"/>
        <w:jc w:val="both"/>
        <w:rPr>
          <w:rFonts w:hint="eastAsia"/>
        </w:rPr>
      </w:pPr>
      <w:r>
        <w:rPr>
          <w:rFonts w:hint="eastAsia"/>
        </w:rPr>
        <w:t>Per‑subject scores → Friedman with Nemenyi CD; corroborate via paired Wilcoxon with Holm correction; report Â12 and Cliff’s δ. Subject‑wise bootstrap CIs for macro‑F1 and coverage. Pilot on 10 subjects (≥ 1,000 windows/subject) estimates variance; target power 1−β ≥ 0.8 to detect Â12 ≥ 0.6. If instability SD &gt; 1.5 pp, raise seeds to 10 and consider merging ultra‑rare classes. Reproducibility: deterministic seeds; lockfile; Docker; commit hash recorded before final test.</w:t>
      </w:r>
    </w:p>
    <w:p w14:paraId="5C3588C4">
      <w:pPr>
        <w:pStyle w:val="2"/>
        <w:spacing w:before="192" w:line="366" w:lineRule="auto"/>
        <w:ind w:right="3"/>
        <w:jc w:val="both"/>
        <w:rPr>
          <w:rFonts w:hint="eastAsia"/>
        </w:rPr>
      </w:pPr>
    </w:p>
    <w:p w14:paraId="59CF5973">
      <w:pPr>
        <w:pStyle w:val="2"/>
        <w:spacing w:before="192" w:line="366" w:lineRule="auto"/>
        <w:ind w:right="3"/>
        <w:jc w:val="both"/>
        <w:rPr>
          <w:rFonts w:hint="eastAsia"/>
        </w:rPr>
      </w:pPr>
    </w:p>
    <w:p w14:paraId="4D9FC7A3">
      <w:pPr>
        <w:pStyle w:val="2"/>
        <w:spacing w:before="192" w:line="366" w:lineRule="auto"/>
        <w:ind w:right="3"/>
        <w:jc w:val="both"/>
        <w:rPr>
          <w:rFonts w:hint="eastAsia"/>
        </w:rPr>
      </w:pPr>
      <w:r>
        <w:rPr>
          <w:rFonts w:hint="eastAsia"/>
        </w:rPr>
        <w:t>Timeline. Table 3 (Gantt) sets W1–W10 with milestones and dependencies.</w:t>
      </w:r>
    </w:p>
    <w:p w14:paraId="42E87E39">
      <w:pPr>
        <w:pStyle w:val="2"/>
        <w:spacing w:before="192" w:line="366" w:lineRule="auto"/>
        <w:ind w:right="3"/>
        <w:jc w:val="both"/>
        <w:rPr>
          <w:rFonts w:hint="eastAsia"/>
        </w:rPr>
      </w:pPr>
      <w:r>
        <w:rPr>
          <w:rFonts w:hint="eastAsia"/>
        </w:rPr>
        <w:t>Risk controls. Table 4 gives triggers, impact, mitigations, and residual risk, aligned to gates (e.g., energy telemetry drift → interleaving + MAD filters + external‑meter spot‑check; APS under‑coverage → Mondrian APS; taxonomy conflicts → dual metrics + public mapping scripts).</w:t>
      </w:r>
    </w:p>
    <w:p w14:paraId="1831FC96">
      <w:pPr>
        <w:pStyle w:val="2"/>
        <w:spacing w:before="192" w:line="366" w:lineRule="auto"/>
        <w:ind w:right="3"/>
        <w:jc w:val="both"/>
        <w:rPr>
          <w:rFonts w:hint="eastAsia"/>
        </w:rPr>
      </w:pPr>
    </w:p>
    <w:p w14:paraId="7372A706">
      <w:pPr>
        <w:pStyle w:val="2"/>
        <w:spacing w:before="192" w:line="366" w:lineRule="auto"/>
        <w:ind w:right="3"/>
        <w:jc w:val="both"/>
        <w:rPr>
          <w:rFonts w:hint="eastAsia"/>
        </w:rPr>
      </w:pPr>
    </w:p>
    <w:p w14:paraId="39B30F86">
      <w:pPr>
        <w:pStyle w:val="2"/>
        <w:spacing w:before="192" w:line="366" w:lineRule="auto"/>
        <w:ind w:right="3"/>
        <w:jc w:val="both"/>
        <w:rPr>
          <w:rFonts w:hint="eastAsia"/>
        </w:rPr>
      </w:pPr>
    </w:p>
    <w:p w14:paraId="74ABEB65">
      <w:pPr>
        <w:pStyle w:val="2"/>
        <w:spacing w:before="192" w:line="366" w:lineRule="auto"/>
        <w:ind w:right="3"/>
        <w:jc w:val="both"/>
        <w:rPr>
          <w:rFonts w:hint="eastAsia"/>
        </w:rPr>
      </w:pPr>
    </w:p>
    <w:p w14:paraId="7269B443">
      <w:pPr>
        <w:pStyle w:val="2"/>
        <w:spacing w:before="192" w:line="366" w:lineRule="auto"/>
        <w:ind w:right="3"/>
        <w:jc w:val="both"/>
        <w:rPr>
          <w:rFonts w:hint="eastAsia"/>
        </w:rPr>
      </w:pPr>
    </w:p>
    <w:p w14:paraId="782AE355">
      <w:pPr>
        <w:pStyle w:val="2"/>
        <w:spacing w:before="192" w:line="366" w:lineRule="auto"/>
        <w:ind w:right="3"/>
        <w:jc w:val="both"/>
        <w:rPr>
          <w:rFonts w:hint="eastAsia"/>
        </w:rPr>
      </w:pPr>
    </w:p>
    <w:p w14:paraId="48B53C60">
      <w:pPr>
        <w:pStyle w:val="2"/>
        <w:spacing w:before="192" w:line="366" w:lineRule="auto"/>
        <w:ind w:right="3"/>
        <w:jc w:val="both"/>
        <w:rPr>
          <w:rFonts w:hint="eastAsia"/>
        </w:rPr>
      </w:pPr>
    </w:p>
    <w:p w14:paraId="13927E1D">
      <w:pPr>
        <w:pStyle w:val="2"/>
        <w:spacing w:before="192" w:line="366" w:lineRule="auto"/>
        <w:ind w:right="3"/>
        <w:jc w:val="both"/>
        <w:rPr>
          <w:rFonts w:hint="eastAsia"/>
        </w:rPr>
      </w:pPr>
    </w:p>
    <w:p w14:paraId="49733E8C">
      <w:pPr>
        <w:pStyle w:val="2"/>
        <w:spacing w:before="192" w:line="366" w:lineRule="auto"/>
        <w:ind w:right="3"/>
        <w:jc w:val="both"/>
        <w:rPr>
          <w:rFonts w:hint="eastAsia"/>
        </w:rPr>
      </w:pPr>
    </w:p>
    <w:p w14:paraId="68F7C0A4">
      <w:pPr>
        <w:pStyle w:val="2"/>
        <w:spacing w:before="192" w:line="366" w:lineRule="auto"/>
        <w:ind w:right="3"/>
        <w:jc w:val="both"/>
        <w:rPr>
          <w:rFonts w:hint="eastAsia"/>
        </w:rPr>
      </w:pPr>
    </w:p>
    <w:p w14:paraId="73D3A22D">
      <w:pPr>
        <w:pStyle w:val="2"/>
        <w:spacing w:before="192" w:line="366" w:lineRule="auto"/>
        <w:ind w:right="3"/>
        <w:jc w:val="both"/>
        <w:rPr>
          <w:rFonts w:hint="eastAsia"/>
        </w:rPr>
      </w:pPr>
    </w:p>
    <w:p w14:paraId="057151F4">
      <w:pPr>
        <w:pStyle w:val="2"/>
        <w:spacing w:before="192" w:line="366" w:lineRule="auto"/>
        <w:ind w:right="3"/>
        <w:jc w:val="both"/>
        <w:rPr>
          <w:rFonts w:hint="eastAsia"/>
        </w:rPr>
      </w:pPr>
    </w:p>
    <w:p w14:paraId="57195D27">
      <w:pPr>
        <w:pStyle w:val="2"/>
        <w:spacing w:before="192" w:line="366" w:lineRule="auto"/>
        <w:ind w:right="3"/>
        <w:jc w:val="both"/>
        <w:rPr>
          <w:rFonts w:hint="eastAsia"/>
        </w:rPr>
      </w:pPr>
    </w:p>
    <w:p w14:paraId="3C8EF977">
      <w:pPr>
        <w:pStyle w:val="2"/>
        <w:spacing w:before="192" w:line="366" w:lineRule="auto"/>
        <w:ind w:right="3"/>
        <w:jc w:val="both"/>
        <w:rPr>
          <w:rFonts w:hint="eastAsia"/>
        </w:rPr>
      </w:pPr>
    </w:p>
    <w:p w14:paraId="13555251">
      <w:pPr>
        <w:pStyle w:val="2"/>
        <w:spacing w:before="192" w:line="366" w:lineRule="auto"/>
        <w:ind w:right="3"/>
        <w:jc w:val="both"/>
        <w:rPr>
          <w:rFonts w:hint="eastAsia"/>
        </w:rPr>
      </w:pPr>
    </w:p>
    <w:p w14:paraId="3C7DD175">
      <w:pPr>
        <w:pStyle w:val="2"/>
        <w:spacing w:before="192" w:line="366" w:lineRule="auto"/>
        <w:ind w:right="3"/>
        <w:jc w:val="both"/>
        <w:rPr>
          <w:rFonts w:hint="eastAsia"/>
        </w:rPr>
      </w:pPr>
    </w:p>
    <w:p w14:paraId="5ECE2074">
      <w:pPr>
        <w:pStyle w:val="2"/>
        <w:spacing w:before="192" w:line="366" w:lineRule="auto"/>
        <w:ind w:right="3"/>
        <w:jc w:val="both"/>
        <w:rPr>
          <w:rFonts w:hint="eastAsia"/>
        </w:rPr>
      </w:pPr>
    </w:p>
    <w:p w14:paraId="68AC2438">
      <w:pPr>
        <w:pStyle w:val="2"/>
        <w:spacing w:before="192" w:line="366" w:lineRule="auto"/>
        <w:ind w:right="3"/>
        <w:jc w:val="both"/>
        <w:rPr>
          <w:rFonts w:hint="eastAsia"/>
        </w:rPr>
      </w:pPr>
    </w:p>
    <w:p w14:paraId="552C6021">
      <w:pPr>
        <w:pStyle w:val="2"/>
        <w:spacing w:before="192" w:line="366" w:lineRule="auto"/>
        <w:ind w:right="3"/>
        <w:jc w:val="both"/>
        <w:rPr>
          <w:rFonts w:hint="eastAsia"/>
        </w:rPr>
      </w:pPr>
    </w:p>
    <w:p w14:paraId="2A163F4D">
      <w:pPr>
        <w:pStyle w:val="2"/>
        <w:spacing w:before="192" w:line="366" w:lineRule="auto"/>
        <w:ind w:right="3"/>
        <w:jc w:val="both"/>
        <w:rPr>
          <w:rFonts w:hint="eastAsia"/>
        </w:rPr>
      </w:pPr>
    </w:p>
    <w:p w14:paraId="3AF3C133">
      <w:pPr>
        <w:pStyle w:val="2"/>
        <w:spacing w:before="192" w:line="366" w:lineRule="auto"/>
        <w:ind w:right="3"/>
        <w:jc w:val="both"/>
        <w:rPr>
          <w:rFonts w:hint="eastAsia"/>
        </w:rPr>
      </w:pPr>
    </w:p>
    <w:p w14:paraId="3C4E9D5B">
      <w:pPr>
        <w:pStyle w:val="2"/>
        <w:spacing w:before="192" w:line="366" w:lineRule="auto"/>
        <w:ind w:right="3"/>
        <w:jc w:val="both"/>
        <w:rPr>
          <w:rFonts w:hint="eastAsia"/>
        </w:rPr>
      </w:pPr>
    </w:p>
    <w:p w14:paraId="7951DEA0">
      <w:pPr>
        <w:pStyle w:val="2"/>
        <w:spacing w:before="192" w:line="366" w:lineRule="auto"/>
        <w:ind w:right="3"/>
        <w:jc w:val="both"/>
        <w:rPr>
          <w:rFonts w:hint="eastAsia"/>
        </w:rPr>
      </w:pPr>
    </w:p>
    <w:p w14:paraId="7418BB3A">
      <w:pPr>
        <w:pStyle w:val="2"/>
        <w:numPr>
          <w:ilvl w:val="0"/>
          <w:numId w:val="2"/>
        </w:numPr>
        <w:spacing w:before="201" w:line="186" w:lineRule="auto"/>
        <w:ind w:left="0" w:leftChars="0" w:firstLine="0" w:firstLineChars="0"/>
        <w:rPr>
          <w:rFonts w:hint="eastAsia" w:eastAsia="宋体"/>
          <w:color w:val="2E74B5"/>
          <w:spacing w:val="-1"/>
          <w:sz w:val="28"/>
          <w:szCs w:val="28"/>
          <w:lang w:val="en-US" w:eastAsia="zh-CN"/>
        </w:rPr>
      </w:pPr>
      <w:r>
        <w:rPr>
          <w:rFonts w:hint="eastAsia" w:eastAsia="宋体"/>
          <w:color w:val="2E74B5"/>
          <w:spacing w:val="-1"/>
          <w:sz w:val="28"/>
          <w:szCs w:val="28"/>
          <w:lang w:val="en-US" w:eastAsia="zh-CN"/>
        </w:rPr>
        <w:t>Initial / Mini Literature Review</w:t>
      </w:r>
    </w:p>
    <w:p w14:paraId="2D03F36B">
      <w:pPr>
        <w:pStyle w:val="2"/>
        <w:spacing w:before="192" w:line="366" w:lineRule="auto"/>
        <w:ind w:right="3"/>
        <w:jc w:val="both"/>
        <w:rPr>
          <w:rFonts w:hint="eastAsia"/>
        </w:rPr>
      </w:pPr>
      <w:r>
        <w:rPr>
          <w:rFonts w:hint="eastAsia"/>
        </w:rPr>
        <w:t>Validation methodology &amp; leakage. Bragança et al. (2022) show that non‑subject‑exclusive validation yields artificial gains, rooted in subject‑specific autocorrelation; this mandates subject‑exclusive splits and per‑subject statistics (our default).</w:t>
      </w:r>
    </w:p>
    <w:p w14:paraId="2B802A5C">
      <w:pPr>
        <w:pStyle w:val="2"/>
        <w:spacing w:before="192" w:line="366" w:lineRule="auto"/>
        <w:ind w:right="3"/>
        <w:jc w:val="both"/>
        <w:rPr>
          <w:rFonts w:hint="eastAsia"/>
        </w:rPr>
      </w:pPr>
      <w:r>
        <w:rPr>
          <w:rFonts w:hint="eastAsia"/>
        </w:rPr>
        <w:t>Cross‑dataset generalisation. Napoli et al. (2024) harmonise smartphone IMU datasets yet still report poor cross‑dataset transfer, implying domain shift beyond simple preprocessing. We operationalise this by releasing mappings, reporting aligned vs all‑class metrics, and quantifying zero‑shot/low‑label transfer. Table 5 enumerates domain‑shift factors and our mitigations.</w:t>
      </w:r>
    </w:p>
    <w:p w14:paraId="7544EC62">
      <w:pPr>
        <w:pStyle w:val="2"/>
        <w:spacing w:before="192" w:line="366" w:lineRule="auto"/>
        <w:ind w:right="3"/>
        <w:jc w:val="both"/>
        <w:rPr>
          <w:rFonts w:hint="eastAsia"/>
        </w:rPr>
      </w:pPr>
      <w:r>
        <w:rPr>
          <w:rFonts w:hint="eastAsia"/>
        </w:rPr>
        <w:t>Kernel vs deep baselines. MultiRocket (Tan et al., 2022) offers strong accuracy with minimal training cost; however, its random‑kernel invariances may under‑fit dataset‑specific spectral or axis couplings—hence our spectral–temporal STG‑Former and InceptionTime as complementary inductive biases.</w:t>
      </w:r>
    </w:p>
    <w:p w14:paraId="71314386">
      <w:pPr>
        <w:pStyle w:val="2"/>
        <w:spacing w:before="192" w:line="366" w:lineRule="auto"/>
        <w:ind w:right="3"/>
        <w:jc w:val="both"/>
        <w:rPr>
          <w:rFonts w:hint="eastAsia"/>
        </w:rPr>
      </w:pPr>
      <w:r>
        <w:rPr>
          <w:rFonts w:hint="eastAsia"/>
        </w:rPr>
        <w:t>Calibration &amp; metrics.</w:t>
      </w:r>
      <w:r>
        <w:rPr>
          <w:rFonts w:hint="eastAsia" w:eastAsia="宋体"/>
          <w:lang w:val="en-US" w:eastAsia="zh-CN"/>
        </w:rPr>
        <w:t xml:space="preserve"> </w:t>
      </w:r>
      <w:r>
        <w:rPr>
          <w:rFonts w:hint="eastAsia"/>
        </w:rPr>
        <w:t> Silva Filho et al. (2023) recommend post‑hoc methods (temperature, isotonic) and warn that ECE can mislead under imbalance; we therefore (i) use subject‑wise ECE alongside Brier/NLL, and (ii) evaluate risk–coverage curves, not a single scalar.</w:t>
      </w:r>
    </w:p>
    <w:p w14:paraId="07EAFC54">
      <w:pPr>
        <w:pStyle w:val="2"/>
        <w:spacing w:before="192" w:line="366" w:lineRule="auto"/>
        <w:ind w:right="3"/>
        <w:jc w:val="both"/>
        <w:rPr>
          <w:rFonts w:hint="eastAsia"/>
        </w:rPr>
      </w:pPr>
      <w:r>
        <w:rPr>
          <w:rFonts w:hint="eastAsia"/>
        </w:rPr>
        <w:t>Distribution‑free guarantees. Angelopoulos &amp; Bates (2023) provide APS with finite‑sample coverage; we adopt Mondrian APS if coverage is &lt; 85% and explicitly report mean set size to expose utility–safety trade‑offs.</w:t>
      </w:r>
    </w:p>
    <w:p w14:paraId="71231189">
      <w:pPr>
        <w:pStyle w:val="2"/>
        <w:spacing w:before="192" w:line="366" w:lineRule="auto"/>
        <w:ind w:right="3"/>
        <w:jc w:val="both"/>
        <w:rPr>
          <w:rFonts w:hint="eastAsia"/>
        </w:rPr>
      </w:pPr>
    </w:p>
    <w:p w14:paraId="1776ADC0">
      <w:pPr>
        <w:pStyle w:val="2"/>
        <w:spacing w:before="192" w:line="366" w:lineRule="auto"/>
        <w:ind w:right="3"/>
        <w:jc w:val="both"/>
        <w:rPr>
          <w:rFonts w:hint="eastAsia"/>
        </w:rPr>
      </w:pPr>
      <w:r>
        <w:rPr>
          <w:rFonts w:hint="eastAsia"/>
        </w:rPr>
        <w:t>Gap and contribution. We unify (i) leakage‑free, statistically defensible champion selection, (ii) cross‑dataset evaluation with public mappings, (iii) calibration + APS with thresholds and governance, and (iv) energy‑aware sampling/INT8 with device‑measured latency/energy and a minimal external‑meter check—in one auditable pipeline.</w:t>
      </w:r>
    </w:p>
    <w:p w14:paraId="2B7D61ED">
      <w:pPr>
        <w:pStyle w:val="2"/>
        <w:spacing w:before="192" w:line="366" w:lineRule="auto"/>
        <w:ind w:right="3"/>
        <w:jc w:val="both"/>
        <w:rPr>
          <w:rFonts w:hint="eastAsia"/>
        </w:rPr>
      </w:pPr>
    </w:p>
    <w:p w14:paraId="0077F848">
      <w:pPr>
        <w:pStyle w:val="2"/>
        <w:spacing w:before="192" w:line="366" w:lineRule="auto"/>
        <w:ind w:right="3"/>
        <w:jc w:val="both"/>
        <w:rPr>
          <w:rFonts w:hint="eastAsia"/>
        </w:rPr>
      </w:pPr>
    </w:p>
    <w:p w14:paraId="4B703256">
      <w:pPr>
        <w:pStyle w:val="2"/>
        <w:spacing w:before="192" w:line="366" w:lineRule="auto"/>
        <w:ind w:right="3"/>
        <w:jc w:val="both"/>
        <w:rPr>
          <w:rFonts w:hint="eastAsia"/>
        </w:rPr>
      </w:pPr>
    </w:p>
    <w:p w14:paraId="25A7DA41">
      <w:pPr>
        <w:pStyle w:val="2"/>
        <w:spacing w:before="192" w:line="366" w:lineRule="auto"/>
        <w:ind w:right="3"/>
        <w:jc w:val="both"/>
        <w:rPr>
          <w:rFonts w:hint="eastAsia"/>
        </w:rPr>
      </w:pPr>
    </w:p>
    <w:p w14:paraId="7092D8BF">
      <w:pPr>
        <w:pStyle w:val="2"/>
        <w:spacing w:before="192" w:line="366" w:lineRule="auto"/>
        <w:ind w:right="3"/>
        <w:jc w:val="both"/>
        <w:rPr>
          <w:rFonts w:hint="eastAsia"/>
        </w:rPr>
      </w:pPr>
    </w:p>
    <w:p w14:paraId="77B67FB4">
      <w:pPr>
        <w:pStyle w:val="2"/>
        <w:spacing w:before="192" w:line="366" w:lineRule="auto"/>
        <w:ind w:right="3"/>
        <w:jc w:val="both"/>
        <w:rPr>
          <w:rFonts w:hint="eastAsia"/>
        </w:rPr>
      </w:pPr>
    </w:p>
    <w:p w14:paraId="3DBEAB4E">
      <w:pPr>
        <w:pStyle w:val="2"/>
        <w:spacing w:before="192" w:line="366" w:lineRule="auto"/>
        <w:ind w:right="3"/>
        <w:jc w:val="both"/>
        <w:rPr>
          <w:rFonts w:hint="eastAsia"/>
        </w:rPr>
      </w:pPr>
    </w:p>
    <w:p w14:paraId="1AA6D14A">
      <w:pPr>
        <w:pStyle w:val="2"/>
        <w:spacing w:before="192" w:line="366" w:lineRule="auto"/>
        <w:ind w:right="3"/>
        <w:jc w:val="both"/>
        <w:rPr>
          <w:rFonts w:hint="eastAsia"/>
        </w:rPr>
      </w:pPr>
    </w:p>
    <w:p w14:paraId="2894F221">
      <w:pPr>
        <w:pStyle w:val="2"/>
        <w:spacing w:before="192" w:line="366" w:lineRule="auto"/>
        <w:ind w:right="3"/>
        <w:jc w:val="both"/>
        <w:rPr>
          <w:rFonts w:hint="eastAsia"/>
        </w:rPr>
      </w:pPr>
    </w:p>
    <w:p w14:paraId="437B3B12">
      <w:pPr>
        <w:pStyle w:val="2"/>
        <w:numPr>
          <w:ilvl w:val="0"/>
          <w:numId w:val="2"/>
        </w:numPr>
        <w:spacing w:before="201" w:line="186" w:lineRule="auto"/>
        <w:ind w:left="0" w:leftChars="0" w:firstLine="0" w:firstLineChars="0"/>
        <w:rPr>
          <w:rFonts w:hint="eastAsia" w:eastAsia="宋体"/>
          <w:color w:val="2E74B5"/>
          <w:spacing w:val="-1"/>
          <w:sz w:val="28"/>
          <w:szCs w:val="28"/>
          <w:lang w:val="en-US" w:eastAsia="zh-CN"/>
        </w:rPr>
      </w:pPr>
      <w:r>
        <w:rPr>
          <w:rFonts w:hint="eastAsia" w:eastAsia="宋体"/>
          <w:color w:val="2E74B5"/>
          <w:spacing w:val="-1"/>
          <w:sz w:val="28"/>
          <w:szCs w:val="28"/>
          <w:lang w:val="en-US" w:eastAsia="zh-CN"/>
        </w:rPr>
        <w:t>Bibliography</w:t>
      </w:r>
    </w:p>
    <w:p w14:paraId="5A5B725A">
      <w:pPr>
        <w:pStyle w:val="2"/>
        <w:spacing w:before="196" w:line="344" w:lineRule="auto"/>
        <w:ind w:left="476" w:right="54" w:hanging="420" w:hanging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Angelopoulos, A. N., &amp; Bates, S. (2023). Conformal prediction: A gentle introduction. Foundations and Trends® in Machine Learning, 16(4), 494–591.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"https://doi.org/10.1561/2200000101" </w:instrText>
      </w:r>
      <w:r>
        <w:rPr>
          <w:rFonts w:hint="default" w:ascii="Times New Roman" w:hAnsi="Times New Roman" w:eastAsia="宋体" w:cs="Times New Roman"/>
          <w:sz w:val="21"/>
          <w:szCs w:val="21"/>
        </w:rPr>
        <w:fldChar w:fldCharType="separate"/>
      </w:r>
      <w:r>
        <w:rPr>
          <w:rStyle w:val="6"/>
          <w:rFonts w:hint="default" w:ascii="Times New Roman" w:hAnsi="Times New Roman" w:eastAsia="宋体" w:cs="Times New Roman"/>
          <w:sz w:val="21"/>
          <w:szCs w:val="21"/>
        </w:rPr>
        <w:t>https://doi.org/10.1561/2200000101</w:t>
      </w:r>
      <w:r>
        <w:rPr>
          <w:rFonts w:hint="default" w:ascii="Times New Roman" w:hAnsi="Times New Roman" w:eastAsia="宋体" w:cs="Times New Roman"/>
          <w:sz w:val="21"/>
          <w:szCs w:val="21"/>
        </w:rPr>
        <w:fldChar w:fldCharType="end"/>
      </w:r>
    </w:p>
    <w:p w14:paraId="64805852">
      <w:pPr>
        <w:pStyle w:val="2"/>
        <w:spacing w:before="196" w:line="344" w:lineRule="auto"/>
        <w:ind w:left="476" w:right="54" w:hanging="420" w:hanging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Bragança, H., Colonna, J. G., Oliveira, H. A. B. F., &amp; Souto, E. (2022). How validation methodology influences human activity recognition mobile systems. Sensors, 22(6), 2360.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"https://doi.org/10.3390/s22062360" </w:instrText>
      </w:r>
      <w:r>
        <w:rPr>
          <w:rFonts w:hint="default" w:ascii="Times New Roman" w:hAnsi="Times New Roman" w:eastAsia="宋体" w:cs="Times New Roman"/>
          <w:sz w:val="21"/>
          <w:szCs w:val="21"/>
        </w:rPr>
        <w:fldChar w:fldCharType="separate"/>
      </w:r>
      <w:r>
        <w:rPr>
          <w:rStyle w:val="6"/>
          <w:rFonts w:hint="default" w:ascii="Times New Roman" w:hAnsi="Times New Roman" w:eastAsia="宋体" w:cs="Times New Roman"/>
          <w:sz w:val="21"/>
          <w:szCs w:val="21"/>
        </w:rPr>
        <w:t>https://doi.org/10.3390/s22062360</w:t>
      </w:r>
      <w:r>
        <w:rPr>
          <w:rFonts w:hint="default" w:ascii="Times New Roman" w:hAnsi="Times New Roman" w:eastAsia="宋体" w:cs="Times New Roman"/>
          <w:sz w:val="21"/>
          <w:szCs w:val="21"/>
        </w:rPr>
        <w:fldChar w:fldCharType="end"/>
      </w:r>
    </w:p>
    <w:p w14:paraId="1F6DCE2C">
      <w:pPr>
        <w:pStyle w:val="2"/>
        <w:spacing w:before="196" w:line="344" w:lineRule="auto"/>
        <w:ind w:left="476" w:right="54" w:hanging="420" w:hanging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Napoli, O., Duarte, D., Alves, P., et al. (2024). A benchmark for domain adaptation and generalization in smartphone‑based human activity recognition. Scientific Data, 11, 1192.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"https://doi.org/10.1038/s41597-024-03951-4" </w:instrText>
      </w:r>
      <w:r>
        <w:rPr>
          <w:rFonts w:hint="default" w:ascii="Times New Roman" w:hAnsi="Times New Roman" w:eastAsia="宋体" w:cs="Times New Roman"/>
          <w:sz w:val="21"/>
          <w:szCs w:val="21"/>
        </w:rPr>
        <w:fldChar w:fldCharType="separate"/>
      </w:r>
      <w:r>
        <w:rPr>
          <w:rStyle w:val="6"/>
          <w:rFonts w:hint="default" w:ascii="Times New Roman" w:hAnsi="Times New Roman" w:eastAsia="宋体" w:cs="Times New Roman"/>
          <w:sz w:val="21"/>
          <w:szCs w:val="21"/>
        </w:rPr>
        <w:t>https://doi.org/10.1038/s41597-024-03951-4</w:t>
      </w:r>
      <w:r>
        <w:rPr>
          <w:rFonts w:hint="default" w:ascii="Times New Roman" w:hAnsi="Times New Roman" w:eastAsia="宋体" w:cs="Times New Roman"/>
          <w:sz w:val="21"/>
          <w:szCs w:val="21"/>
        </w:rPr>
        <w:fldChar w:fldCharType="end"/>
      </w:r>
    </w:p>
    <w:p w14:paraId="25E3A84A">
      <w:pPr>
        <w:pStyle w:val="2"/>
        <w:spacing w:before="196" w:line="344" w:lineRule="auto"/>
        <w:ind w:left="476" w:right="54" w:hanging="420" w:hanging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Silva Filho, T., Song, H., Perelló‑Nieto, M., Santos‑Rodríguez, R., Kull, M., &amp; Flach, P. (2023). Classifier calibration: A survey on how to assess and improve predicted class probabilities. Machine Learning, 112, 3211–3260.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"https://doi.org/10.1007/s10994-023-06336-7" </w:instrText>
      </w:r>
      <w:r>
        <w:rPr>
          <w:rFonts w:hint="default" w:ascii="Times New Roman" w:hAnsi="Times New Roman" w:eastAsia="宋体" w:cs="Times New Roman"/>
          <w:sz w:val="21"/>
          <w:szCs w:val="21"/>
        </w:rPr>
        <w:fldChar w:fldCharType="separate"/>
      </w:r>
      <w:r>
        <w:rPr>
          <w:rStyle w:val="6"/>
          <w:rFonts w:hint="default" w:ascii="Times New Roman" w:hAnsi="Times New Roman" w:eastAsia="宋体" w:cs="Times New Roman"/>
          <w:sz w:val="21"/>
          <w:szCs w:val="21"/>
        </w:rPr>
        <w:t>https://doi.org/10.1007/s10994-023-06336-7</w:t>
      </w:r>
      <w:r>
        <w:rPr>
          <w:rFonts w:hint="default" w:ascii="Times New Roman" w:hAnsi="Times New Roman" w:eastAsia="宋体" w:cs="Times New Roman"/>
          <w:sz w:val="21"/>
          <w:szCs w:val="21"/>
        </w:rPr>
        <w:fldChar w:fldCharType="end"/>
      </w:r>
    </w:p>
    <w:p w14:paraId="2806DECA">
      <w:pPr>
        <w:pStyle w:val="2"/>
        <w:spacing w:before="196" w:line="344" w:lineRule="auto"/>
        <w:ind w:left="476" w:right="54" w:hanging="420" w:hanging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Tan, C. W., Dempster, A., Bergmeir, C., &amp; Webb, G. I. (2022). MultiRocket: Multiple pooling operators and transformations for fast and effective time series classification. Data Mining and Knowledge Discovery, 36(5), 1623–1646.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"https://doi.org/10.1007/s10618-022-00844-1" </w:instrText>
      </w:r>
      <w:r>
        <w:rPr>
          <w:rFonts w:hint="default" w:ascii="Times New Roman" w:hAnsi="Times New Roman" w:eastAsia="宋体" w:cs="Times New Roman"/>
          <w:sz w:val="21"/>
          <w:szCs w:val="21"/>
        </w:rPr>
        <w:fldChar w:fldCharType="separate"/>
      </w:r>
      <w:r>
        <w:rPr>
          <w:rStyle w:val="6"/>
          <w:rFonts w:hint="default" w:ascii="Times New Roman" w:hAnsi="Times New Roman" w:eastAsia="宋体" w:cs="Times New Roman"/>
          <w:sz w:val="21"/>
          <w:szCs w:val="21"/>
        </w:rPr>
        <w:t>https://doi.org/10.1007/s10618-022-00844-1</w:t>
      </w:r>
      <w:r>
        <w:rPr>
          <w:rFonts w:hint="default" w:ascii="Times New Roman" w:hAnsi="Times New Roman" w:eastAsia="宋体" w:cs="Times New Roman"/>
          <w:sz w:val="21"/>
          <w:szCs w:val="21"/>
        </w:rPr>
        <w:fldChar w:fldCharType="end"/>
      </w:r>
    </w:p>
    <w:p w14:paraId="5E914FD1">
      <w:pPr>
        <w:pStyle w:val="2"/>
        <w:spacing w:before="196" w:line="344" w:lineRule="auto"/>
        <w:ind w:left="476" w:right="54" w:hanging="420" w:hangingChars="200"/>
        <w:rPr>
          <w:rFonts w:hint="default" w:ascii="Times New Roman" w:hAnsi="Times New Roman" w:eastAsia="宋体" w:cs="Times New Roman"/>
          <w:sz w:val="21"/>
          <w:szCs w:val="21"/>
        </w:rPr>
      </w:pPr>
    </w:p>
    <w:tbl>
      <w:tblPr>
        <w:tblStyle w:val="9"/>
        <w:tblW w:w="8777" w:type="dxa"/>
        <w:tblInd w:w="27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74"/>
        <w:gridCol w:w="8303"/>
      </w:tblGrid>
      <w:tr w14:paraId="069F7E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3" w:hRule="atLeast"/>
        </w:trPr>
        <w:tc>
          <w:tcPr>
            <w:tcW w:w="474" w:type="dxa"/>
            <w:vAlign w:val="top"/>
          </w:tcPr>
          <w:p w14:paraId="23AF70BB">
            <w:pPr>
              <w:spacing w:before="48" w:line="205" w:lineRule="auto"/>
              <w:ind w:left="22"/>
              <w:rPr>
                <w:rFonts w:ascii="Wingdings" w:hAnsi="Wingdings" w:eastAsia="Wingdings" w:cs="Wingdings"/>
                <w:sz w:val="22"/>
                <w:szCs w:val="22"/>
              </w:rPr>
            </w:pPr>
            <w:r>
              <w:rPr>
                <w:rFonts w:ascii="Wingdings" w:hAnsi="Wingdings" w:eastAsia="Wingdings" w:cs="Wingdings"/>
                <w:sz w:val="22"/>
                <w:szCs w:val="22"/>
              </w:rPr>
              <w:t>o</w:t>
            </w:r>
          </w:p>
        </w:tc>
        <w:tc>
          <w:tcPr>
            <w:tcW w:w="8303" w:type="dxa"/>
            <w:vAlign w:val="top"/>
          </w:tcPr>
          <w:p w14:paraId="7336B99E">
            <w:pPr>
              <w:pStyle w:val="11"/>
              <w:spacing w:before="52" w:line="241" w:lineRule="auto"/>
              <w:ind w:left="12" w:right="273" w:firstLine="5"/>
              <w:rPr>
                <w:sz w:val="22"/>
                <w:szCs w:val="22"/>
              </w:rPr>
            </w:pPr>
            <w:r>
              <w:rPr>
                <w:spacing w:val="-1"/>
                <w:sz w:val="22"/>
                <w:szCs w:val="22"/>
              </w:rPr>
              <w:t xml:space="preserve">I submitted my ethics application, </w:t>
            </w:r>
            <w:r>
              <w:rPr>
                <w:spacing w:val="-2"/>
                <w:sz w:val="22"/>
                <w:szCs w:val="22"/>
              </w:rPr>
              <w:t>and</w:t>
            </w:r>
            <w:r>
              <w:rPr>
                <w:spacing w:val="13"/>
                <w:sz w:val="22"/>
                <w:szCs w:val="22"/>
              </w:rPr>
              <w:t xml:space="preserve"> </w:t>
            </w:r>
            <w:r>
              <w:rPr>
                <w:spacing w:val="-2"/>
                <w:sz w:val="22"/>
                <w:szCs w:val="22"/>
              </w:rPr>
              <w:t>my</w:t>
            </w:r>
            <w:r>
              <w:rPr>
                <w:spacing w:val="6"/>
                <w:sz w:val="22"/>
                <w:szCs w:val="22"/>
              </w:rPr>
              <w:t xml:space="preserve"> </w:t>
            </w:r>
            <w:r>
              <w:rPr>
                <w:spacing w:val="-2"/>
                <w:sz w:val="22"/>
                <w:szCs w:val="22"/>
              </w:rPr>
              <w:t>application</w:t>
            </w:r>
            <w:r>
              <w:rPr>
                <w:spacing w:val="15"/>
                <w:w w:val="101"/>
                <w:sz w:val="22"/>
                <w:szCs w:val="22"/>
              </w:rPr>
              <w:t xml:space="preserve"> </w:t>
            </w:r>
            <w:r>
              <w:rPr>
                <w:spacing w:val="-2"/>
                <w:sz w:val="22"/>
                <w:szCs w:val="22"/>
              </w:rPr>
              <w:t>has</w:t>
            </w:r>
            <w:r>
              <w:rPr>
                <w:spacing w:val="15"/>
                <w:sz w:val="22"/>
                <w:szCs w:val="22"/>
              </w:rPr>
              <w:t xml:space="preserve"> </w:t>
            </w:r>
            <w:r>
              <w:rPr>
                <w:spacing w:val="-2"/>
                <w:sz w:val="22"/>
                <w:szCs w:val="22"/>
              </w:rPr>
              <w:t>been</w:t>
            </w:r>
            <w:r>
              <w:rPr>
                <w:spacing w:val="8"/>
                <w:sz w:val="22"/>
                <w:szCs w:val="22"/>
              </w:rPr>
              <w:t xml:space="preserve"> </w:t>
            </w:r>
            <w:r>
              <w:rPr>
                <w:spacing w:val="-2"/>
                <w:sz w:val="22"/>
                <w:szCs w:val="22"/>
              </w:rPr>
              <w:t>approved.</w:t>
            </w:r>
            <w:r>
              <w:rPr>
                <w:spacing w:val="18"/>
                <w:sz w:val="22"/>
                <w:szCs w:val="22"/>
              </w:rPr>
              <w:t xml:space="preserve"> </w:t>
            </w:r>
            <w:r>
              <w:rPr>
                <w:spacing w:val="-2"/>
                <w:sz w:val="22"/>
                <w:szCs w:val="22"/>
              </w:rPr>
              <w:t>I</w:t>
            </w:r>
            <w:r>
              <w:rPr>
                <w:spacing w:val="16"/>
                <w:w w:val="101"/>
                <w:sz w:val="22"/>
                <w:szCs w:val="22"/>
              </w:rPr>
              <w:t xml:space="preserve"> </w:t>
            </w:r>
            <w:r>
              <w:rPr>
                <w:spacing w:val="-2"/>
                <w:sz w:val="22"/>
                <w:szCs w:val="22"/>
              </w:rPr>
              <w:t>include</w:t>
            </w:r>
            <w:r>
              <w:rPr>
                <w:sz w:val="22"/>
                <w:szCs w:val="22"/>
              </w:rPr>
              <w:t xml:space="preserve"> </w:t>
            </w:r>
            <w:r>
              <w:rPr>
                <w:spacing w:val="-1"/>
                <w:sz w:val="22"/>
                <w:szCs w:val="22"/>
              </w:rPr>
              <w:t>my ethics certificate in the</w:t>
            </w:r>
            <w:r>
              <w:rPr>
                <w:spacing w:val="17"/>
                <w:sz w:val="22"/>
                <w:szCs w:val="22"/>
              </w:rPr>
              <w:t xml:space="preserve"> </w:t>
            </w:r>
            <w:r>
              <w:rPr>
                <w:spacing w:val="-1"/>
                <w:sz w:val="22"/>
                <w:szCs w:val="22"/>
              </w:rPr>
              <w:t>appendix</w:t>
            </w:r>
            <w:r>
              <w:rPr>
                <w:spacing w:val="9"/>
                <w:sz w:val="22"/>
                <w:szCs w:val="22"/>
              </w:rPr>
              <w:t xml:space="preserve"> </w:t>
            </w:r>
            <w:r>
              <w:rPr>
                <w:spacing w:val="-1"/>
                <w:sz w:val="22"/>
                <w:szCs w:val="22"/>
              </w:rPr>
              <w:t>as</w:t>
            </w:r>
            <w:r>
              <w:rPr>
                <w:spacing w:val="7"/>
                <w:sz w:val="22"/>
                <w:szCs w:val="22"/>
              </w:rPr>
              <w:t xml:space="preserve"> </w:t>
            </w:r>
            <w:r>
              <w:rPr>
                <w:spacing w:val="-1"/>
                <w:sz w:val="22"/>
                <w:szCs w:val="22"/>
              </w:rPr>
              <w:t>evidence.</w:t>
            </w:r>
          </w:p>
        </w:tc>
      </w:tr>
      <w:tr w14:paraId="620DB7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474" w:type="dxa"/>
            <w:vAlign w:val="top"/>
          </w:tcPr>
          <w:p w14:paraId="1E3B6C85">
            <w:pPr>
              <w:spacing w:before="48" w:line="205" w:lineRule="auto"/>
              <w:ind w:left="22"/>
              <w:rPr>
                <w:rFonts w:ascii="Wingdings" w:hAnsi="Wingdings" w:eastAsia="Wingdings" w:cs="Wingdings"/>
                <w:sz w:val="22"/>
                <w:szCs w:val="22"/>
              </w:rPr>
            </w:pPr>
            <w:r>
              <w:rPr>
                <w:rFonts w:ascii="Wingdings" w:hAnsi="Wingdings" w:eastAsia="Wingdings" w:cs="Wingdings"/>
                <w:sz w:val="22"/>
                <w:szCs w:val="22"/>
              </w:rPr>
              <w:sym w:font="Wingdings" w:char="00FE"/>
            </w:r>
          </w:p>
        </w:tc>
        <w:tc>
          <w:tcPr>
            <w:tcW w:w="8303" w:type="dxa"/>
            <w:vAlign w:val="top"/>
          </w:tcPr>
          <w:p w14:paraId="058F321C">
            <w:pPr>
              <w:pStyle w:val="11"/>
              <w:spacing w:before="49" w:line="197" w:lineRule="auto"/>
              <w:ind w:left="18"/>
              <w:rPr>
                <w:sz w:val="22"/>
                <w:szCs w:val="22"/>
              </w:rPr>
            </w:pPr>
            <w:r>
              <w:rPr>
                <w:spacing w:val="-1"/>
                <w:sz w:val="22"/>
                <w:szCs w:val="22"/>
              </w:rPr>
              <w:t>I submitted my ethics application, and</w:t>
            </w:r>
            <w:r>
              <w:rPr>
                <w:spacing w:val="13"/>
                <w:sz w:val="22"/>
                <w:szCs w:val="22"/>
              </w:rPr>
              <w:t xml:space="preserve"> </w:t>
            </w:r>
            <w:r>
              <w:rPr>
                <w:spacing w:val="-1"/>
                <w:sz w:val="22"/>
                <w:szCs w:val="22"/>
              </w:rPr>
              <w:t>my</w:t>
            </w:r>
            <w:r>
              <w:rPr>
                <w:spacing w:val="7"/>
                <w:sz w:val="22"/>
                <w:szCs w:val="22"/>
              </w:rPr>
              <w:t xml:space="preserve"> </w:t>
            </w:r>
            <w:r>
              <w:rPr>
                <w:spacing w:val="-1"/>
                <w:sz w:val="22"/>
                <w:szCs w:val="22"/>
              </w:rPr>
              <w:t>application</w:t>
            </w:r>
            <w:r>
              <w:rPr>
                <w:spacing w:val="15"/>
                <w:sz w:val="22"/>
                <w:szCs w:val="22"/>
              </w:rPr>
              <w:t xml:space="preserve"> </w:t>
            </w:r>
            <w:r>
              <w:rPr>
                <w:spacing w:val="-1"/>
                <w:sz w:val="22"/>
                <w:szCs w:val="22"/>
              </w:rPr>
              <w:t>is</w:t>
            </w:r>
            <w:r>
              <w:rPr>
                <w:spacing w:val="8"/>
                <w:sz w:val="22"/>
                <w:szCs w:val="22"/>
              </w:rPr>
              <w:t xml:space="preserve"> </w:t>
            </w:r>
            <w:r>
              <w:rPr>
                <w:spacing w:val="-2"/>
                <w:sz w:val="22"/>
                <w:szCs w:val="22"/>
              </w:rPr>
              <w:t>currently</w:t>
            </w:r>
            <w:r>
              <w:rPr>
                <w:spacing w:val="16"/>
                <w:sz w:val="22"/>
                <w:szCs w:val="22"/>
              </w:rPr>
              <w:t xml:space="preserve"> </w:t>
            </w:r>
            <w:r>
              <w:rPr>
                <w:spacing w:val="-2"/>
                <w:sz w:val="22"/>
                <w:szCs w:val="22"/>
              </w:rPr>
              <w:t>under</w:t>
            </w:r>
            <w:r>
              <w:rPr>
                <w:spacing w:val="11"/>
                <w:sz w:val="22"/>
                <w:szCs w:val="22"/>
              </w:rPr>
              <w:t xml:space="preserve"> </w:t>
            </w:r>
            <w:r>
              <w:rPr>
                <w:spacing w:val="-2"/>
                <w:sz w:val="22"/>
                <w:szCs w:val="22"/>
              </w:rPr>
              <w:t>review.</w:t>
            </w:r>
          </w:p>
        </w:tc>
      </w:tr>
      <w:tr w14:paraId="73F2E5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3" w:hRule="atLeast"/>
        </w:trPr>
        <w:tc>
          <w:tcPr>
            <w:tcW w:w="474" w:type="dxa"/>
            <w:vAlign w:val="top"/>
          </w:tcPr>
          <w:p w14:paraId="67582AB6">
            <w:pPr>
              <w:spacing w:before="48" w:line="205" w:lineRule="auto"/>
              <w:ind w:left="22"/>
              <w:rPr>
                <w:rFonts w:ascii="Wingdings" w:hAnsi="Wingdings" w:eastAsia="Wingdings" w:cs="Wingdings"/>
                <w:sz w:val="22"/>
                <w:szCs w:val="22"/>
              </w:rPr>
            </w:pPr>
            <w:r>
              <w:rPr>
                <w:rFonts w:ascii="Wingdings" w:hAnsi="Wingdings" w:eastAsia="Wingdings" w:cs="Wingdings"/>
                <w:sz w:val="22"/>
                <w:szCs w:val="22"/>
              </w:rPr>
              <w:sym w:font="Wingdings" w:char="00A8"/>
            </w:r>
          </w:p>
        </w:tc>
        <w:tc>
          <w:tcPr>
            <w:tcW w:w="8303" w:type="dxa"/>
            <w:vAlign w:val="top"/>
          </w:tcPr>
          <w:p w14:paraId="6164E600">
            <w:pPr>
              <w:pStyle w:val="11"/>
              <w:spacing w:before="49" w:line="197" w:lineRule="auto"/>
              <w:ind w:left="18"/>
              <w:rPr>
                <w:sz w:val="22"/>
                <w:szCs w:val="22"/>
              </w:rPr>
            </w:pPr>
            <w:r>
              <w:rPr>
                <w:spacing w:val="-1"/>
                <w:sz w:val="22"/>
                <w:szCs w:val="22"/>
              </w:rPr>
              <w:t>I</w:t>
            </w:r>
            <w:r>
              <w:rPr>
                <w:spacing w:val="16"/>
                <w:w w:val="101"/>
                <w:sz w:val="22"/>
                <w:szCs w:val="22"/>
              </w:rPr>
              <w:t xml:space="preserve"> </w:t>
            </w:r>
            <w:r>
              <w:rPr>
                <w:spacing w:val="-1"/>
                <w:sz w:val="22"/>
                <w:szCs w:val="22"/>
              </w:rPr>
              <w:t>have not submitted my</w:t>
            </w:r>
            <w:r>
              <w:rPr>
                <w:spacing w:val="7"/>
                <w:sz w:val="22"/>
                <w:szCs w:val="22"/>
              </w:rPr>
              <w:t xml:space="preserve"> </w:t>
            </w:r>
            <w:r>
              <w:rPr>
                <w:spacing w:val="-1"/>
                <w:sz w:val="22"/>
                <w:szCs w:val="22"/>
              </w:rPr>
              <w:t>ethics</w:t>
            </w:r>
            <w:r>
              <w:rPr>
                <w:spacing w:val="9"/>
                <w:sz w:val="22"/>
                <w:szCs w:val="22"/>
              </w:rPr>
              <w:t xml:space="preserve"> </w:t>
            </w:r>
            <w:r>
              <w:rPr>
                <w:spacing w:val="-2"/>
                <w:sz w:val="22"/>
                <w:szCs w:val="22"/>
              </w:rPr>
              <w:t>application.</w:t>
            </w:r>
          </w:p>
        </w:tc>
      </w:tr>
    </w:tbl>
    <w:p w14:paraId="01BF04E9">
      <w:pPr>
        <w:pStyle w:val="2"/>
        <w:spacing w:before="196" w:line="344" w:lineRule="auto"/>
        <w:ind w:right="54"/>
        <w:rPr>
          <w:rFonts w:hint="default" w:ascii="Times New Roman" w:hAnsi="Times New Roman" w:eastAsia="宋体" w:cs="Times New Roman"/>
          <w:sz w:val="21"/>
          <w:szCs w:val="21"/>
        </w:rPr>
      </w:pPr>
    </w:p>
    <w:p w14:paraId="091F621D">
      <w:pPr>
        <w:pStyle w:val="2"/>
        <w:spacing w:before="196" w:line="344" w:lineRule="auto"/>
        <w:ind w:left="476" w:right="54" w:hanging="368" w:hangingChars="200"/>
        <w:jc w:val="center"/>
        <w:rPr>
          <w:rFonts w:hint="default" w:ascii="Times New Roman" w:hAnsi="Times New Roman" w:eastAsia="宋体" w:cs="Times New Roman"/>
          <w:sz w:val="18"/>
          <w:szCs w:val="18"/>
        </w:rPr>
      </w:pPr>
      <w:r>
        <w:rPr>
          <w:color w:val="231F20"/>
          <w:spacing w:val="2"/>
          <w:sz w:val="18"/>
          <w:szCs w:val="18"/>
        </w:rPr>
        <w:t>TABLE</w:t>
      </w:r>
      <w:r>
        <w:rPr>
          <w:color w:val="231F20"/>
          <w:spacing w:val="20"/>
          <w:w w:val="102"/>
          <w:sz w:val="18"/>
          <w:szCs w:val="18"/>
        </w:rPr>
        <w:t xml:space="preserve"> </w:t>
      </w:r>
      <w:r>
        <w:rPr>
          <w:color w:val="231F20"/>
          <w:spacing w:val="2"/>
          <w:sz w:val="18"/>
          <w:szCs w:val="18"/>
        </w:rPr>
        <w:t>1.</w:t>
      </w:r>
      <w:r>
        <w:rPr>
          <w:color w:val="231F20"/>
          <w:spacing w:val="10"/>
          <w:w w:val="102"/>
          <w:sz w:val="18"/>
          <w:szCs w:val="18"/>
        </w:rPr>
        <w:t xml:space="preserve"> </w:t>
      </w:r>
      <w:r>
        <w:rPr>
          <w:rFonts w:hint="eastAsia"/>
          <w:color w:val="231F20"/>
          <w:spacing w:val="2"/>
          <w:sz w:val="18"/>
          <w:szCs w:val="18"/>
        </w:rPr>
        <w:t>Acceptance KPIs &amp; ownership</w:t>
      </w:r>
    </w:p>
    <w:tbl>
      <w:tblPr>
        <w:tblStyle w:val="10"/>
        <w:tblpPr w:leftFromText="180" w:rightFromText="180" w:vertAnchor="text" w:horzAnchor="page" w:tblpX="1534" w:tblpY="23"/>
        <w:tblOverlap w:val="never"/>
        <w:tblW w:w="9941" w:type="dxa"/>
        <w:tblInd w:w="0" w:type="dxa"/>
        <w:tblLayout w:type="autofit"/>
        <w:tblCellMar>
          <w:top w:w="43" w:type="dxa"/>
          <w:left w:w="0" w:type="dxa"/>
          <w:bottom w:w="0" w:type="dxa"/>
          <w:right w:w="0" w:type="dxa"/>
        </w:tblCellMar>
      </w:tblPr>
      <w:tblGrid>
        <w:gridCol w:w="2119"/>
        <w:gridCol w:w="4857"/>
        <w:gridCol w:w="2965"/>
      </w:tblGrid>
      <w:tr w14:paraId="47922AB8">
        <w:tblPrEx>
          <w:tblCellMar>
            <w:top w:w="43" w:type="dxa"/>
            <w:left w:w="0" w:type="dxa"/>
            <w:bottom w:w="0" w:type="dxa"/>
            <w:right w:w="0" w:type="dxa"/>
          </w:tblCellMar>
        </w:tblPrEx>
        <w:trPr>
          <w:trHeight w:val="704" w:hRule="atLeast"/>
        </w:trPr>
        <w:tc>
          <w:tcPr>
            <w:tcW w:w="1609" w:type="dxa"/>
            <w:tcBorders>
              <w:top w:val="single" w:color="000000" w:sz="6" w:space="0"/>
              <w:left w:val="nil"/>
              <w:bottom w:val="single" w:color="000000" w:sz="4" w:space="0"/>
              <w:right w:val="nil"/>
            </w:tcBorders>
            <w:vAlign w:val="center"/>
          </w:tcPr>
          <w:p w14:paraId="2265CF58">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b/>
                <w:bCs/>
                <w:snapToGrid w:val="0"/>
                <w:color w:val="000000"/>
                <w:kern w:val="0"/>
                <w:sz w:val="18"/>
                <w:szCs w:val="18"/>
                <w:lang w:val="en-US" w:eastAsia="zh-CN" w:bidi="ar"/>
              </w:rPr>
              <w:t>Dimension</w:t>
            </w:r>
          </w:p>
        </w:tc>
        <w:tc>
          <w:tcPr>
            <w:tcW w:w="3687" w:type="dxa"/>
            <w:tcBorders>
              <w:top w:val="single" w:color="000000" w:sz="6" w:space="0"/>
              <w:left w:val="nil"/>
              <w:bottom w:val="single" w:color="000000" w:sz="4" w:space="0"/>
              <w:right w:val="nil"/>
            </w:tcBorders>
            <w:vAlign w:val="center"/>
          </w:tcPr>
          <w:p w14:paraId="69E8E150">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b/>
                <w:bCs/>
                <w:snapToGrid w:val="0"/>
                <w:color w:val="000000"/>
                <w:kern w:val="0"/>
                <w:sz w:val="18"/>
                <w:szCs w:val="18"/>
                <w:lang w:val="en-US" w:eastAsia="zh-CN" w:bidi="ar"/>
              </w:rPr>
              <w:t>Target &amp; Rule</w:t>
            </w:r>
          </w:p>
        </w:tc>
        <w:tc>
          <w:tcPr>
            <w:tcW w:w="2251" w:type="dxa"/>
            <w:tcBorders>
              <w:top w:val="single" w:color="000000" w:sz="6" w:space="0"/>
              <w:left w:val="nil"/>
              <w:bottom w:val="single" w:color="000000" w:sz="4" w:space="0"/>
              <w:right w:val="nil"/>
            </w:tcBorders>
            <w:vAlign w:val="center"/>
          </w:tcPr>
          <w:p w14:paraId="798F8575">
            <w:pPr>
              <w:keepNext w:val="0"/>
              <w:keepLines w:val="0"/>
              <w:widowControl/>
              <w:suppressLineNumbers w:val="0"/>
              <w:spacing w:after="0"/>
              <w:jc w:val="center"/>
              <w:rPr>
                <w:rFonts w:hint="default" w:ascii="Times New Roman" w:hAnsi="Times New Roman" w:cs="Times New Roman"/>
                <w:sz w:val="18"/>
                <w:szCs w:val="18"/>
              </w:rPr>
            </w:pPr>
            <w:r>
              <w:rPr>
                <w:rFonts w:hint="default" w:ascii="Times New Roman" w:hAnsi="Times New Roman" w:eastAsia="宋体" w:cs="Times New Roman"/>
                <w:b/>
                <w:bCs/>
                <w:snapToGrid w:val="0"/>
                <w:color w:val="000000"/>
                <w:kern w:val="0"/>
                <w:sz w:val="18"/>
                <w:szCs w:val="18"/>
                <w:lang w:val="en-US" w:eastAsia="zh-CN" w:bidi="ar"/>
              </w:rPr>
              <w:t>Owner</w:t>
            </w:r>
          </w:p>
        </w:tc>
      </w:tr>
      <w:tr w14:paraId="1952BE24">
        <w:tblPrEx>
          <w:tblCellMar>
            <w:top w:w="43" w:type="dxa"/>
            <w:left w:w="0" w:type="dxa"/>
            <w:bottom w:w="0" w:type="dxa"/>
            <w:right w:w="0" w:type="dxa"/>
          </w:tblCellMar>
        </w:tblPrEx>
        <w:trPr>
          <w:trHeight w:val="641" w:hRule="atLeast"/>
        </w:trPr>
        <w:tc>
          <w:tcPr>
            <w:tcW w:w="1609" w:type="dxa"/>
            <w:tcBorders>
              <w:top w:val="single" w:color="000000" w:sz="4" w:space="0"/>
              <w:left w:val="nil"/>
              <w:bottom w:val="nil"/>
              <w:right w:val="nil"/>
            </w:tcBorders>
            <w:vAlign w:val="center"/>
          </w:tcPr>
          <w:p w14:paraId="445A1A6B">
            <w:pPr>
              <w:keepNext w:val="0"/>
              <w:keepLines w:val="0"/>
              <w:widowControl/>
              <w:suppressLineNumbers w:val="0"/>
              <w:spacing w:after="0"/>
              <w:jc w:val="center"/>
              <w:rPr>
                <w:rFonts w:hint="default" w:ascii="Times New Roman" w:hAnsi="Times New Roman" w:cs="Times New Roman"/>
                <w:sz w:val="18"/>
                <w:szCs w:val="18"/>
                <w:lang w:val="en-US"/>
              </w:rPr>
            </w:pPr>
            <w:r>
              <w:rPr>
                <w:rFonts w:hint="default" w:ascii="Times New Roman" w:hAnsi="Times New Roman" w:eastAsia="宋体" w:cs="Times New Roman"/>
                <w:snapToGrid w:val="0"/>
                <w:color w:val="000000"/>
                <w:kern w:val="0"/>
                <w:sz w:val="18"/>
                <w:szCs w:val="18"/>
                <w:lang w:val="en-US" w:eastAsia="zh-CN" w:bidi="ar"/>
              </w:rPr>
              <w:t>Platform</w:t>
            </w:r>
          </w:p>
        </w:tc>
        <w:tc>
          <w:tcPr>
            <w:tcW w:w="3687" w:type="dxa"/>
            <w:tcBorders>
              <w:top w:val="single" w:color="000000" w:sz="4" w:space="0"/>
              <w:left w:val="nil"/>
              <w:bottom w:val="nil"/>
              <w:right w:val="nil"/>
            </w:tcBorders>
            <w:vAlign w:val="center"/>
          </w:tcPr>
          <w:p w14:paraId="6ABFD653">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Pixel 7 (Tensor G2, Android 14); TFLite 2.14; CPU &amp; NNAPI reported</w:t>
            </w:r>
          </w:p>
        </w:tc>
        <w:tc>
          <w:tcPr>
            <w:tcW w:w="2251" w:type="dxa"/>
            <w:tcBorders>
              <w:top w:val="single" w:color="000000" w:sz="4" w:space="0"/>
              <w:left w:val="nil"/>
              <w:bottom w:val="nil"/>
              <w:right w:val="nil"/>
            </w:tcBorders>
            <w:vAlign w:val="center"/>
          </w:tcPr>
          <w:p w14:paraId="10A39242">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Eng. Lead</w:t>
            </w:r>
          </w:p>
        </w:tc>
      </w:tr>
      <w:tr w14:paraId="00E709AA">
        <w:tblPrEx>
          <w:tblCellMar>
            <w:top w:w="43" w:type="dxa"/>
            <w:left w:w="0" w:type="dxa"/>
            <w:bottom w:w="0" w:type="dxa"/>
            <w:right w:w="0" w:type="dxa"/>
          </w:tblCellMar>
        </w:tblPrEx>
        <w:trPr>
          <w:trHeight w:val="503" w:hRule="atLeast"/>
        </w:trPr>
        <w:tc>
          <w:tcPr>
            <w:tcW w:w="1609" w:type="dxa"/>
            <w:tcBorders>
              <w:top w:val="nil"/>
              <w:left w:val="nil"/>
              <w:bottom w:val="nil"/>
              <w:right w:val="nil"/>
            </w:tcBorders>
            <w:vAlign w:val="center"/>
          </w:tcPr>
          <w:p w14:paraId="129FBE9B">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Reliability</w:t>
            </w:r>
          </w:p>
        </w:tc>
        <w:tc>
          <w:tcPr>
            <w:tcW w:w="3687" w:type="dxa"/>
            <w:tcBorders>
              <w:top w:val="nil"/>
              <w:left w:val="nil"/>
              <w:bottom w:val="nil"/>
              <w:right w:val="nil"/>
            </w:tcBorders>
            <w:vAlign w:val="center"/>
          </w:tcPr>
          <w:p w14:paraId="534D32FB">
            <w:pPr>
              <w:keepNext w:val="0"/>
              <w:keepLines w:val="0"/>
              <w:widowControl/>
              <w:suppressLineNumbers w:val="0"/>
              <w:spacing w:after="0"/>
              <w:jc w:val="center"/>
              <w:rPr>
                <w:rFonts w:hint="default" w:ascii="Times New Roman" w:hAnsi="Times New Roman" w:cs="Times New Roman"/>
                <w:sz w:val="18"/>
                <w:szCs w:val="18"/>
              </w:rPr>
            </w:pPr>
            <w:r>
              <w:rPr>
                <w:rFonts w:hint="default" w:ascii="Times New Roman" w:hAnsi="Times New Roman" w:eastAsia="宋体" w:cs="Times New Roman"/>
                <w:snapToGrid w:val="0"/>
                <w:color w:val="000000"/>
                <w:kern w:val="0"/>
                <w:sz w:val="18"/>
                <w:szCs w:val="18"/>
                <w:lang w:val="en-US" w:eastAsia="zh-CN" w:bidi="ar"/>
              </w:rPr>
              <w:t>ECE ↓ ≥ 50% vs uncalibrated; APS coverage = 90% ± 5%; single threshold keeps high</w:t>
            </w:r>
            <w:r>
              <w:rPr>
                <w:rFonts w:hint="default" w:ascii="Times New Roman" w:hAnsi="Times New Roman" w:eastAsia="宋体" w:cs="Times New Roman"/>
                <w:snapToGrid w:val="0"/>
                <w:color w:val="000000"/>
                <w:kern w:val="0"/>
                <w:sz w:val="18"/>
                <w:szCs w:val="18"/>
                <w:lang w:val="en-US" w:eastAsia="zh-CN" w:bidi="ar"/>
              </w:rPr>
              <w:noBreakHyphen/>
            </w:r>
            <w:r>
              <w:rPr>
                <w:rFonts w:hint="default" w:ascii="Times New Roman" w:hAnsi="Times New Roman" w:eastAsia="宋体" w:cs="Times New Roman"/>
                <w:snapToGrid w:val="0"/>
                <w:color w:val="000000"/>
                <w:kern w:val="0"/>
                <w:sz w:val="18"/>
                <w:szCs w:val="18"/>
                <w:lang w:val="en-US" w:eastAsia="zh-CN" w:bidi="ar"/>
              </w:rPr>
              <w:t>risk FP &lt; 2% (validation)</w:t>
            </w:r>
          </w:p>
        </w:tc>
        <w:tc>
          <w:tcPr>
            <w:tcW w:w="2251" w:type="dxa"/>
            <w:tcBorders>
              <w:top w:val="nil"/>
              <w:left w:val="nil"/>
              <w:bottom w:val="nil"/>
              <w:right w:val="nil"/>
            </w:tcBorders>
            <w:vAlign w:val="center"/>
          </w:tcPr>
          <w:p w14:paraId="1AD9A35C">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Clinical PI</w:t>
            </w:r>
          </w:p>
        </w:tc>
      </w:tr>
      <w:tr w14:paraId="76C7B093">
        <w:tblPrEx>
          <w:tblCellMar>
            <w:top w:w="43" w:type="dxa"/>
            <w:left w:w="0" w:type="dxa"/>
            <w:bottom w:w="0" w:type="dxa"/>
            <w:right w:w="0" w:type="dxa"/>
          </w:tblCellMar>
        </w:tblPrEx>
        <w:trPr>
          <w:trHeight w:val="503" w:hRule="atLeast"/>
        </w:trPr>
        <w:tc>
          <w:tcPr>
            <w:tcW w:w="1609" w:type="dxa"/>
            <w:tcBorders>
              <w:top w:val="nil"/>
              <w:left w:val="nil"/>
              <w:bottom w:val="nil"/>
              <w:right w:val="nil"/>
            </w:tcBorders>
            <w:vAlign w:val="center"/>
          </w:tcPr>
          <w:p w14:paraId="731B8DC4">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Efficiency</w:t>
            </w:r>
          </w:p>
        </w:tc>
        <w:tc>
          <w:tcPr>
            <w:tcW w:w="3687" w:type="dxa"/>
            <w:tcBorders>
              <w:top w:val="nil"/>
              <w:left w:val="nil"/>
              <w:bottom w:val="nil"/>
              <w:right w:val="nil"/>
            </w:tcBorders>
            <w:vAlign w:val="center"/>
          </w:tcPr>
          <w:p w14:paraId="4F53F02F">
            <w:pPr>
              <w:keepNext w:val="0"/>
              <w:keepLines w:val="0"/>
              <w:widowControl/>
              <w:suppressLineNumbers w:val="0"/>
              <w:spacing w:after="0"/>
              <w:jc w:val="center"/>
              <w:rPr>
                <w:rFonts w:hint="default" w:ascii="Times New Roman" w:hAnsi="Times New Roman" w:cs="Times New Roman"/>
                <w:sz w:val="18"/>
                <w:szCs w:val="18"/>
              </w:rPr>
            </w:pPr>
            <w:r>
              <w:rPr>
                <w:rFonts w:hint="default" w:ascii="Times New Roman" w:hAnsi="Times New Roman" w:eastAsia="宋体" w:cs="Times New Roman"/>
                <w:snapToGrid w:val="0"/>
                <w:color w:val="000000"/>
                <w:kern w:val="0"/>
                <w:sz w:val="18"/>
                <w:szCs w:val="18"/>
                <w:lang w:val="en-US" w:eastAsia="zh-CN" w:bidi="ar"/>
              </w:rPr>
              <w:t>Latency ≤ 50 ms (CPU) or ≤ 20 ms (NNAPI); ≥ 2× energy reduction vs full</w:t>
            </w:r>
            <w:r>
              <w:rPr>
                <w:rFonts w:hint="default" w:ascii="Times New Roman" w:hAnsi="Times New Roman" w:eastAsia="宋体" w:cs="Times New Roman"/>
                <w:snapToGrid w:val="0"/>
                <w:color w:val="000000"/>
                <w:kern w:val="0"/>
                <w:sz w:val="18"/>
                <w:szCs w:val="18"/>
                <w:lang w:val="en-US" w:eastAsia="zh-CN" w:bidi="ar"/>
              </w:rPr>
              <w:noBreakHyphen/>
            </w:r>
            <w:r>
              <w:rPr>
                <w:rFonts w:hint="default" w:ascii="Times New Roman" w:hAnsi="Times New Roman" w:eastAsia="宋体" w:cs="Times New Roman"/>
                <w:snapToGrid w:val="0"/>
                <w:color w:val="000000"/>
                <w:kern w:val="0"/>
                <w:sz w:val="18"/>
                <w:szCs w:val="18"/>
                <w:lang w:val="en-US" w:eastAsia="zh-CN" w:bidi="ar"/>
              </w:rPr>
              <w:t>rate FP32; model ≤ 3 MB</w:t>
            </w:r>
          </w:p>
        </w:tc>
        <w:tc>
          <w:tcPr>
            <w:tcW w:w="2251" w:type="dxa"/>
            <w:tcBorders>
              <w:top w:val="nil"/>
              <w:left w:val="nil"/>
              <w:bottom w:val="nil"/>
              <w:right w:val="nil"/>
            </w:tcBorders>
            <w:vAlign w:val="center"/>
          </w:tcPr>
          <w:p w14:paraId="16012648">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Eng. Lead</w:t>
            </w:r>
          </w:p>
        </w:tc>
      </w:tr>
      <w:tr w14:paraId="1434CE92">
        <w:tblPrEx>
          <w:tblCellMar>
            <w:top w:w="43" w:type="dxa"/>
            <w:left w:w="0" w:type="dxa"/>
            <w:bottom w:w="0" w:type="dxa"/>
            <w:right w:w="0" w:type="dxa"/>
          </w:tblCellMar>
        </w:tblPrEx>
        <w:trPr>
          <w:trHeight w:val="598" w:hRule="atLeast"/>
        </w:trPr>
        <w:tc>
          <w:tcPr>
            <w:tcW w:w="1609" w:type="dxa"/>
            <w:tcBorders>
              <w:top w:val="nil"/>
              <w:left w:val="nil"/>
              <w:bottom w:val="nil"/>
              <w:right w:val="nil"/>
            </w:tcBorders>
            <w:vAlign w:val="center"/>
          </w:tcPr>
          <w:p w14:paraId="65042742">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Governance</w:t>
            </w:r>
          </w:p>
        </w:tc>
        <w:tc>
          <w:tcPr>
            <w:tcW w:w="3687" w:type="dxa"/>
            <w:tcBorders>
              <w:top w:val="nil"/>
              <w:left w:val="nil"/>
              <w:bottom w:val="nil"/>
              <w:right w:val="nil"/>
            </w:tcBorders>
            <w:vAlign w:val="center"/>
          </w:tcPr>
          <w:p w14:paraId="304FA2FA">
            <w:pPr>
              <w:keepNext w:val="0"/>
              <w:keepLines w:val="0"/>
              <w:widowControl/>
              <w:suppressLineNumbers w:val="0"/>
              <w:spacing w:after="0"/>
              <w:jc w:val="center"/>
              <w:rPr>
                <w:rFonts w:hint="default" w:ascii="Times New Roman" w:hAnsi="Times New Roman" w:cs="Times New Roman"/>
                <w:sz w:val="18"/>
                <w:szCs w:val="18"/>
              </w:rPr>
            </w:pPr>
            <w:r>
              <w:rPr>
                <w:rFonts w:hint="default" w:ascii="Times New Roman" w:hAnsi="Times New Roman" w:eastAsia="宋体" w:cs="Times New Roman"/>
                <w:snapToGrid w:val="0"/>
                <w:color w:val="000000"/>
                <w:kern w:val="0"/>
                <w:sz w:val="18"/>
                <w:szCs w:val="18"/>
                <w:lang w:val="en-US" w:eastAsia="zh-CN" w:bidi="ar"/>
              </w:rPr>
              <w:t>Reject/APS policy documented; human escalation ≤ 30 min (working hours)</w:t>
            </w:r>
          </w:p>
        </w:tc>
        <w:tc>
          <w:tcPr>
            <w:tcW w:w="2251" w:type="dxa"/>
            <w:tcBorders>
              <w:top w:val="nil"/>
              <w:left w:val="nil"/>
              <w:bottom w:val="nil"/>
              <w:right w:val="nil"/>
            </w:tcBorders>
            <w:vAlign w:val="center"/>
          </w:tcPr>
          <w:p w14:paraId="161C84E3">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Clinical PI</w:t>
            </w:r>
          </w:p>
        </w:tc>
      </w:tr>
      <w:tr w14:paraId="31795888">
        <w:tblPrEx>
          <w:tblCellMar>
            <w:top w:w="43" w:type="dxa"/>
            <w:left w:w="0" w:type="dxa"/>
            <w:bottom w:w="0" w:type="dxa"/>
            <w:right w:w="0" w:type="dxa"/>
          </w:tblCellMar>
        </w:tblPrEx>
        <w:trPr>
          <w:trHeight w:val="598" w:hRule="atLeast"/>
        </w:trPr>
        <w:tc>
          <w:tcPr>
            <w:tcW w:w="1609" w:type="dxa"/>
            <w:tcBorders>
              <w:top w:val="nil"/>
              <w:left w:val="nil"/>
              <w:bottom w:val="nil"/>
              <w:right w:val="nil"/>
            </w:tcBorders>
            <w:vAlign w:val="center"/>
          </w:tcPr>
          <w:p w14:paraId="0B8182D2">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Reproducibility</w:t>
            </w:r>
          </w:p>
        </w:tc>
        <w:tc>
          <w:tcPr>
            <w:tcW w:w="3687" w:type="dxa"/>
            <w:tcBorders>
              <w:top w:val="nil"/>
              <w:left w:val="nil"/>
              <w:bottom w:val="nil"/>
              <w:right w:val="nil"/>
            </w:tcBorders>
            <w:vAlign w:val="center"/>
          </w:tcPr>
          <w:p w14:paraId="187A2F4E">
            <w:pPr>
              <w:keepNext w:val="0"/>
              <w:keepLines w:val="0"/>
              <w:widowControl/>
              <w:suppressLineNumbers w:val="0"/>
              <w:spacing w:after="0"/>
              <w:jc w:val="center"/>
              <w:rPr>
                <w:rFonts w:hint="default" w:ascii="Times New Roman" w:hAnsi="Times New Roman" w:cs="Times New Roman"/>
                <w:sz w:val="18"/>
                <w:szCs w:val="18"/>
              </w:rPr>
            </w:pPr>
            <w:r>
              <w:rPr>
                <w:rFonts w:hint="default" w:ascii="Times New Roman" w:hAnsi="Times New Roman" w:eastAsia="宋体" w:cs="Times New Roman"/>
                <w:snapToGrid w:val="0"/>
                <w:color w:val="000000"/>
                <w:kern w:val="0"/>
                <w:sz w:val="18"/>
                <w:szCs w:val="18"/>
                <w:lang w:val="en-US" w:eastAsia="zh-CN" w:bidi="ar"/>
              </w:rPr>
              <w:t>Deterministic seeds; Docker+lockfile; thresholds frozen pre</w:t>
            </w:r>
            <w:r>
              <w:rPr>
                <w:rFonts w:hint="default" w:ascii="Times New Roman" w:hAnsi="Times New Roman" w:eastAsia="宋体" w:cs="Times New Roman"/>
                <w:snapToGrid w:val="0"/>
                <w:color w:val="000000"/>
                <w:kern w:val="0"/>
                <w:sz w:val="18"/>
                <w:szCs w:val="18"/>
                <w:lang w:val="en-US" w:eastAsia="zh-CN" w:bidi="ar"/>
              </w:rPr>
              <w:noBreakHyphen/>
            </w:r>
            <w:r>
              <w:rPr>
                <w:rFonts w:hint="default" w:ascii="Times New Roman" w:hAnsi="Times New Roman" w:eastAsia="宋体" w:cs="Times New Roman"/>
                <w:snapToGrid w:val="0"/>
                <w:color w:val="000000"/>
                <w:kern w:val="0"/>
                <w:sz w:val="18"/>
                <w:szCs w:val="18"/>
                <w:lang w:val="en-US" w:eastAsia="zh-CN" w:bidi="ar"/>
              </w:rPr>
              <w:t>test; commit hash recorded</w:t>
            </w:r>
          </w:p>
        </w:tc>
        <w:tc>
          <w:tcPr>
            <w:tcW w:w="2251" w:type="dxa"/>
            <w:tcBorders>
              <w:top w:val="nil"/>
              <w:left w:val="nil"/>
              <w:bottom w:val="nil"/>
              <w:right w:val="nil"/>
            </w:tcBorders>
            <w:vAlign w:val="center"/>
          </w:tcPr>
          <w:p w14:paraId="6FF6CC16">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Project Lead</w:t>
            </w:r>
          </w:p>
        </w:tc>
      </w:tr>
    </w:tbl>
    <w:p w14:paraId="1694103D">
      <w:pPr>
        <w:pStyle w:val="2"/>
        <w:spacing w:before="196" w:line="344" w:lineRule="auto"/>
        <w:ind w:left="476" w:right="54" w:hanging="420" w:hangingChars="200"/>
        <w:rPr>
          <w:rFonts w:hint="default" w:ascii="Times New Roman" w:hAnsi="Times New Roman" w:eastAsia="宋体" w:cs="Times New Roman"/>
          <w:sz w:val="21"/>
          <w:szCs w:val="21"/>
        </w:rPr>
      </w:pPr>
    </w:p>
    <w:p w14:paraId="79A2F343">
      <w:pPr>
        <w:pStyle w:val="2"/>
        <w:spacing w:before="196" w:line="344" w:lineRule="auto"/>
        <w:ind w:right="54"/>
        <w:rPr>
          <w:rFonts w:hint="default" w:ascii="Times New Roman" w:hAnsi="Times New Roman" w:eastAsia="宋体" w:cs="Times New Roman"/>
          <w:sz w:val="21"/>
          <w:szCs w:val="21"/>
        </w:rPr>
      </w:pPr>
    </w:p>
    <w:p w14:paraId="18205633">
      <w:pPr>
        <w:pStyle w:val="2"/>
        <w:spacing w:before="196" w:line="344" w:lineRule="auto"/>
        <w:ind w:left="476" w:right="54" w:hanging="368" w:hangingChars="200"/>
        <w:jc w:val="center"/>
        <w:rPr>
          <w:rFonts w:hint="default" w:ascii="Times New Roman" w:hAnsi="Times New Roman" w:eastAsia="宋体" w:cs="Times New Roman"/>
          <w:sz w:val="21"/>
          <w:szCs w:val="21"/>
        </w:rPr>
      </w:pPr>
      <w:r>
        <w:rPr>
          <w:color w:val="231F20"/>
          <w:spacing w:val="2"/>
          <w:sz w:val="18"/>
          <w:szCs w:val="18"/>
        </w:rPr>
        <w:t>TABLE</w:t>
      </w:r>
      <w:r>
        <w:rPr>
          <w:color w:val="231F20"/>
          <w:spacing w:val="20"/>
          <w:w w:val="102"/>
          <w:sz w:val="18"/>
          <w:szCs w:val="18"/>
        </w:rPr>
        <w:t xml:space="preserve"> </w:t>
      </w:r>
      <w:r>
        <w:rPr>
          <w:rFonts w:hint="eastAsia" w:eastAsia="宋体"/>
          <w:color w:val="231F20"/>
          <w:spacing w:val="20"/>
          <w:w w:val="102"/>
          <w:sz w:val="18"/>
          <w:szCs w:val="18"/>
          <w:lang w:val="en-US" w:eastAsia="zh-CN"/>
        </w:rPr>
        <w:t>2</w:t>
      </w:r>
      <w:r>
        <w:rPr>
          <w:color w:val="231F20"/>
          <w:spacing w:val="2"/>
          <w:sz w:val="18"/>
          <w:szCs w:val="18"/>
        </w:rPr>
        <w:t>.</w:t>
      </w:r>
      <w:r>
        <w:rPr>
          <w:color w:val="231F20"/>
          <w:spacing w:val="10"/>
          <w:w w:val="102"/>
          <w:sz w:val="18"/>
          <w:szCs w:val="18"/>
        </w:rPr>
        <w:t xml:space="preserve"> </w:t>
      </w:r>
      <w:r>
        <w:rPr>
          <w:rFonts w:hint="eastAsia"/>
          <w:color w:val="231F20"/>
          <w:spacing w:val="2"/>
          <w:sz w:val="18"/>
          <w:szCs w:val="18"/>
        </w:rPr>
        <w:t>Stages, deliverables, and gates (hard pass/fail with failure‑exit)</w:t>
      </w:r>
    </w:p>
    <w:tbl>
      <w:tblPr>
        <w:tblStyle w:val="10"/>
        <w:tblpPr w:leftFromText="180" w:rightFromText="180" w:vertAnchor="text" w:horzAnchor="page" w:tblpX="1534" w:tblpY="23"/>
        <w:tblOverlap w:val="never"/>
        <w:tblW w:w="9941" w:type="dxa"/>
        <w:tblInd w:w="0" w:type="dxa"/>
        <w:tblLayout w:type="autofit"/>
        <w:tblCellMar>
          <w:top w:w="43" w:type="dxa"/>
          <w:left w:w="0" w:type="dxa"/>
          <w:bottom w:w="0" w:type="dxa"/>
          <w:right w:w="0" w:type="dxa"/>
        </w:tblCellMar>
      </w:tblPr>
      <w:tblGrid>
        <w:gridCol w:w="1609"/>
        <w:gridCol w:w="3687"/>
        <w:gridCol w:w="2251"/>
        <w:gridCol w:w="2394"/>
      </w:tblGrid>
      <w:tr w14:paraId="4F714C59">
        <w:tblPrEx>
          <w:tblCellMar>
            <w:top w:w="43" w:type="dxa"/>
            <w:left w:w="0" w:type="dxa"/>
            <w:bottom w:w="0" w:type="dxa"/>
            <w:right w:w="0" w:type="dxa"/>
          </w:tblCellMar>
        </w:tblPrEx>
        <w:trPr>
          <w:trHeight w:val="704" w:hRule="atLeast"/>
        </w:trPr>
        <w:tc>
          <w:tcPr>
            <w:tcW w:w="1609" w:type="dxa"/>
            <w:tcBorders>
              <w:top w:val="single" w:color="000000" w:sz="6" w:space="0"/>
              <w:left w:val="nil"/>
              <w:bottom w:val="single" w:color="000000" w:sz="4" w:space="0"/>
              <w:right w:val="nil"/>
            </w:tcBorders>
            <w:vAlign w:val="center"/>
          </w:tcPr>
          <w:p w14:paraId="36D48AA2">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b/>
                <w:bCs/>
                <w:snapToGrid w:val="0"/>
                <w:color w:val="000000"/>
                <w:kern w:val="0"/>
                <w:sz w:val="18"/>
                <w:szCs w:val="18"/>
                <w:lang w:val="en-US" w:eastAsia="zh-CN" w:bidi="ar"/>
              </w:rPr>
              <w:t>Stage</w:t>
            </w:r>
          </w:p>
        </w:tc>
        <w:tc>
          <w:tcPr>
            <w:tcW w:w="3687" w:type="dxa"/>
            <w:tcBorders>
              <w:top w:val="single" w:color="000000" w:sz="6" w:space="0"/>
              <w:left w:val="nil"/>
              <w:bottom w:val="single" w:color="000000" w:sz="4" w:space="0"/>
              <w:right w:val="nil"/>
            </w:tcBorders>
            <w:vAlign w:val="center"/>
          </w:tcPr>
          <w:p w14:paraId="1557CBBA">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b/>
                <w:bCs/>
                <w:snapToGrid w:val="0"/>
                <w:color w:val="000000"/>
                <w:kern w:val="0"/>
                <w:sz w:val="18"/>
                <w:szCs w:val="18"/>
                <w:lang w:val="en-US" w:eastAsia="zh-CN" w:bidi="ar"/>
              </w:rPr>
              <w:t>Deliverable</w:t>
            </w:r>
          </w:p>
        </w:tc>
        <w:tc>
          <w:tcPr>
            <w:tcW w:w="2251" w:type="dxa"/>
            <w:tcBorders>
              <w:top w:val="single" w:color="000000" w:sz="6" w:space="0"/>
              <w:left w:val="nil"/>
              <w:bottom w:val="single" w:color="000000" w:sz="4" w:space="0"/>
              <w:right w:val="nil"/>
            </w:tcBorders>
            <w:vAlign w:val="center"/>
          </w:tcPr>
          <w:p w14:paraId="6F76C499">
            <w:pPr>
              <w:keepNext w:val="0"/>
              <w:keepLines w:val="0"/>
              <w:widowControl/>
              <w:suppressLineNumbers w:val="0"/>
              <w:spacing w:after="0"/>
              <w:jc w:val="center"/>
              <w:rPr>
                <w:rFonts w:hint="default" w:ascii="Times New Roman" w:hAnsi="Times New Roman" w:cs="Times New Roman"/>
                <w:sz w:val="18"/>
                <w:szCs w:val="18"/>
              </w:rPr>
            </w:pPr>
            <w:r>
              <w:rPr>
                <w:rFonts w:hint="default" w:ascii="Times New Roman" w:hAnsi="Times New Roman" w:eastAsia="宋体" w:cs="Times New Roman"/>
                <w:b/>
                <w:bCs/>
                <w:snapToGrid w:val="0"/>
                <w:color w:val="000000"/>
                <w:kern w:val="0"/>
                <w:sz w:val="18"/>
                <w:szCs w:val="18"/>
                <w:lang w:val="en-US" w:eastAsia="zh-CN" w:bidi="ar"/>
              </w:rPr>
              <w:t>Hard criteria</w:t>
            </w:r>
          </w:p>
        </w:tc>
        <w:tc>
          <w:tcPr>
            <w:tcW w:w="2394" w:type="dxa"/>
            <w:tcBorders>
              <w:top w:val="single" w:color="000000" w:sz="6" w:space="0"/>
              <w:left w:val="nil"/>
              <w:bottom w:val="single" w:color="000000" w:sz="4" w:space="0"/>
              <w:right w:val="nil"/>
            </w:tcBorders>
            <w:vAlign w:val="center"/>
          </w:tcPr>
          <w:p w14:paraId="3FA32B41">
            <w:pPr>
              <w:keepNext w:val="0"/>
              <w:keepLines w:val="0"/>
              <w:widowControl/>
              <w:suppressLineNumbers w:val="0"/>
              <w:spacing w:after="0"/>
              <w:jc w:val="center"/>
              <w:rPr>
                <w:rFonts w:hint="default" w:ascii="Times New Roman" w:hAnsi="Times New Roman" w:cs="Times New Roman"/>
                <w:b/>
                <w:sz w:val="18"/>
                <w:szCs w:val="18"/>
              </w:rPr>
            </w:pPr>
            <w:r>
              <w:rPr>
                <w:rFonts w:hint="default" w:ascii="Times New Roman" w:hAnsi="Times New Roman" w:eastAsia="宋体" w:cs="Times New Roman"/>
                <w:b/>
                <w:bCs/>
                <w:snapToGrid w:val="0"/>
                <w:color w:val="000000"/>
                <w:kern w:val="0"/>
                <w:sz w:val="18"/>
                <w:szCs w:val="18"/>
                <w:lang w:val="en-US" w:eastAsia="zh-CN" w:bidi="ar"/>
              </w:rPr>
              <w:t>Failure</w:t>
            </w:r>
            <w:r>
              <w:rPr>
                <w:rFonts w:hint="default" w:ascii="Times New Roman" w:hAnsi="Times New Roman" w:eastAsia="宋体" w:cs="Times New Roman"/>
                <w:b/>
                <w:bCs/>
                <w:snapToGrid w:val="0"/>
                <w:color w:val="000000"/>
                <w:kern w:val="0"/>
                <w:sz w:val="18"/>
                <w:szCs w:val="18"/>
                <w:lang w:val="en-US" w:eastAsia="zh-CN" w:bidi="ar"/>
              </w:rPr>
              <w:noBreakHyphen/>
            </w:r>
            <w:r>
              <w:rPr>
                <w:rFonts w:hint="default" w:ascii="Times New Roman" w:hAnsi="Times New Roman" w:eastAsia="宋体" w:cs="Times New Roman"/>
                <w:b/>
                <w:bCs/>
                <w:snapToGrid w:val="0"/>
                <w:color w:val="000000"/>
                <w:kern w:val="0"/>
                <w:sz w:val="18"/>
                <w:szCs w:val="18"/>
                <w:lang w:val="en-US" w:eastAsia="zh-CN" w:bidi="ar"/>
              </w:rPr>
              <w:t>exit</w:t>
            </w:r>
          </w:p>
        </w:tc>
      </w:tr>
      <w:tr w14:paraId="7B78114C">
        <w:tblPrEx>
          <w:tblCellMar>
            <w:top w:w="43" w:type="dxa"/>
            <w:left w:w="0" w:type="dxa"/>
            <w:bottom w:w="0" w:type="dxa"/>
            <w:right w:w="0" w:type="dxa"/>
          </w:tblCellMar>
        </w:tblPrEx>
        <w:trPr>
          <w:trHeight w:val="641" w:hRule="atLeast"/>
        </w:trPr>
        <w:tc>
          <w:tcPr>
            <w:tcW w:w="1609" w:type="dxa"/>
            <w:tcBorders>
              <w:top w:val="single" w:color="000000" w:sz="4" w:space="0"/>
              <w:left w:val="nil"/>
              <w:bottom w:val="nil"/>
              <w:right w:val="nil"/>
            </w:tcBorders>
            <w:vAlign w:val="center"/>
          </w:tcPr>
          <w:p w14:paraId="6A65EA58">
            <w:pPr>
              <w:keepNext w:val="0"/>
              <w:keepLines w:val="0"/>
              <w:widowControl/>
              <w:suppressLineNumbers w:val="0"/>
              <w:spacing w:after="0"/>
              <w:jc w:val="center"/>
              <w:rPr>
                <w:rFonts w:hint="default" w:ascii="Times New Roman" w:hAnsi="Times New Roman" w:cs="Times New Roman"/>
                <w:sz w:val="18"/>
                <w:szCs w:val="18"/>
                <w:lang w:val="en-US"/>
              </w:rPr>
            </w:pPr>
            <w:r>
              <w:rPr>
                <w:rFonts w:hint="default" w:ascii="Times New Roman" w:hAnsi="Times New Roman" w:eastAsia="宋体" w:cs="Times New Roman"/>
                <w:snapToGrid w:val="0"/>
                <w:color w:val="000000"/>
                <w:kern w:val="0"/>
                <w:sz w:val="18"/>
                <w:szCs w:val="18"/>
                <w:lang w:val="en-US" w:eastAsia="zh-CN" w:bidi="ar"/>
              </w:rPr>
              <w:t>Exit</w:t>
            </w:r>
            <w:r>
              <w:rPr>
                <w:rFonts w:hint="default" w:ascii="Times New Roman" w:hAnsi="Times New Roman" w:eastAsia="宋体" w:cs="Times New Roman"/>
                <w:snapToGrid w:val="0"/>
                <w:color w:val="000000"/>
                <w:kern w:val="0"/>
                <w:sz w:val="18"/>
                <w:szCs w:val="18"/>
                <w:lang w:val="en-US" w:eastAsia="zh-CN" w:bidi="ar"/>
              </w:rPr>
              <w:noBreakHyphen/>
            </w:r>
            <w:r>
              <w:rPr>
                <w:rFonts w:hint="default" w:ascii="Times New Roman" w:hAnsi="Times New Roman" w:eastAsia="宋体" w:cs="Times New Roman"/>
                <w:snapToGrid w:val="0"/>
                <w:color w:val="000000"/>
                <w:kern w:val="0"/>
                <w:sz w:val="18"/>
                <w:szCs w:val="18"/>
                <w:lang w:val="en-US" w:eastAsia="zh-CN" w:bidi="ar"/>
              </w:rPr>
              <w:t>A</w:t>
            </w:r>
          </w:p>
        </w:tc>
        <w:tc>
          <w:tcPr>
            <w:tcW w:w="3687" w:type="dxa"/>
            <w:tcBorders>
              <w:top w:val="single" w:color="000000" w:sz="4" w:space="0"/>
              <w:left w:val="nil"/>
              <w:bottom w:val="nil"/>
              <w:right w:val="nil"/>
            </w:tcBorders>
            <w:vAlign w:val="center"/>
          </w:tcPr>
          <w:p w14:paraId="36B8F8D4">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D1 Baseline stability</w:t>
            </w:r>
          </w:p>
        </w:tc>
        <w:tc>
          <w:tcPr>
            <w:tcW w:w="2251" w:type="dxa"/>
            <w:tcBorders>
              <w:top w:val="single" w:color="000000" w:sz="4" w:space="0"/>
              <w:left w:val="nil"/>
              <w:bottom w:val="nil"/>
              <w:right w:val="nil"/>
            </w:tcBorders>
            <w:vAlign w:val="center"/>
          </w:tcPr>
          <w:p w14:paraId="64AE7CC9">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Macro</w:t>
            </w:r>
            <w:r>
              <w:rPr>
                <w:rFonts w:hint="default" w:ascii="Times New Roman" w:hAnsi="Times New Roman" w:eastAsia="宋体" w:cs="Times New Roman"/>
                <w:snapToGrid w:val="0"/>
                <w:color w:val="000000"/>
                <w:kern w:val="0"/>
                <w:sz w:val="18"/>
                <w:szCs w:val="18"/>
                <w:lang w:val="en-US" w:eastAsia="zh-CN" w:bidi="ar"/>
              </w:rPr>
              <w:noBreakHyphen/>
            </w:r>
            <w:r>
              <w:rPr>
                <w:rFonts w:hint="default" w:ascii="Times New Roman" w:hAnsi="Times New Roman" w:eastAsia="宋体" w:cs="Times New Roman"/>
                <w:snapToGrid w:val="0"/>
                <w:color w:val="000000"/>
                <w:kern w:val="0"/>
                <w:sz w:val="18"/>
                <w:szCs w:val="18"/>
                <w:lang w:val="en-US" w:eastAsia="zh-CN" w:bidi="ar"/>
              </w:rPr>
              <w:t>F1 SD ≤ 1.5 pp per dataset; else 10 seeds + minimal augmentation freeze</w:t>
            </w:r>
          </w:p>
        </w:tc>
        <w:tc>
          <w:tcPr>
            <w:tcW w:w="2394" w:type="dxa"/>
            <w:tcBorders>
              <w:top w:val="single" w:color="000000" w:sz="4" w:space="0"/>
              <w:left w:val="nil"/>
              <w:bottom w:val="nil"/>
              <w:right w:val="nil"/>
            </w:tcBorders>
            <w:vAlign w:val="center"/>
          </w:tcPr>
          <w:p w14:paraId="3F0C19C8">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If unstable, prune window grid</w:t>
            </w:r>
          </w:p>
        </w:tc>
      </w:tr>
      <w:tr w14:paraId="6AB0CC51">
        <w:tblPrEx>
          <w:tblCellMar>
            <w:top w:w="43" w:type="dxa"/>
            <w:left w:w="0" w:type="dxa"/>
            <w:bottom w:w="0" w:type="dxa"/>
            <w:right w:w="0" w:type="dxa"/>
          </w:tblCellMar>
        </w:tblPrEx>
        <w:trPr>
          <w:trHeight w:val="503" w:hRule="atLeast"/>
        </w:trPr>
        <w:tc>
          <w:tcPr>
            <w:tcW w:w="1609" w:type="dxa"/>
            <w:tcBorders>
              <w:top w:val="nil"/>
              <w:left w:val="nil"/>
              <w:bottom w:val="nil"/>
              <w:right w:val="nil"/>
            </w:tcBorders>
            <w:vAlign w:val="center"/>
          </w:tcPr>
          <w:p w14:paraId="1DD082F8">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Exit</w:t>
            </w:r>
            <w:r>
              <w:rPr>
                <w:rFonts w:hint="default" w:ascii="Times New Roman" w:hAnsi="Times New Roman" w:eastAsia="宋体" w:cs="Times New Roman"/>
                <w:snapToGrid w:val="0"/>
                <w:color w:val="000000"/>
                <w:kern w:val="0"/>
                <w:sz w:val="18"/>
                <w:szCs w:val="18"/>
                <w:lang w:val="en-US" w:eastAsia="zh-CN" w:bidi="ar"/>
              </w:rPr>
              <w:noBreakHyphen/>
            </w:r>
            <w:r>
              <w:rPr>
                <w:rFonts w:hint="default" w:ascii="Times New Roman" w:hAnsi="Times New Roman" w:eastAsia="宋体" w:cs="Times New Roman"/>
                <w:snapToGrid w:val="0"/>
                <w:color w:val="000000"/>
                <w:kern w:val="0"/>
                <w:sz w:val="18"/>
                <w:szCs w:val="18"/>
                <w:lang w:val="en-US" w:eastAsia="zh-CN" w:bidi="ar"/>
              </w:rPr>
              <w:t>B</w:t>
            </w:r>
          </w:p>
        </w:tc>
        <w:tc>
          <w:tcPr>
            <w:tcW w:w="3687" w:type="dxa"/>
            <w:tcBorders>
              <w:top w:val="nil"/>
              <w:left w:val="nil"/>
              <w:bottom w:val="nil"/>
              <w:right w:val="nil"/>
            </w:tcBorders>
            <w:vAlign w:val="center"/>
          </w:tcPr>
          <w:p w14:paraId="3068DAF5">
            <w:pPr>
              <w:keepNext w:val="0"/>
              <w:keepLines w:val="0"/>
              <w:widowControl/>
              <w:suppressLineNumbers w:val="0"/>
              <w:spacing w:after="0"/>
              <w:jc w:val="center"/>
              <w:rPr>
                <w:rFonts w:hint="default" w:ascii="Times New Roman" w:hAnsi="Times New Roman" w:cs="Times New Roman"/>
                <w:sz w:val="18"/>
                <w:szCs w:val="18"/>
              </w:rPr>
            </w:pPr>
            <w:r>
              <w:rPr>
                <w:rFonts w:hint="default" w:ascii="Times New Roman" w:hAnsi="Times New Roman" w:eastAsia="宋体" w:cs="Times New Roman"/>
                <w:snapToGrid w:val="0"/>
                <w:color w:val="000000"/>
                <w:kern w:val="0"/>
                <w:sz w:val="18"/>
                <w:szCs w:val="18"/>
                <w:lang w:val="en-US" w:eastAsia="zh-CN" w:bidi="ar"/>
              </w:rPr>
              <w:t>D2 Champions</w:t>
            </w:r>
          </w:p>
        </w:tc>
        <w:tc>
          <w:tcPr>
            <w:tcW w:w="2251" w:type="dxa"/>
            <w:tcBorders>
              <w:top w:val="nil"/>
              <w:left w:val="nil"/>
              <w:bottom w:val="nil"/>
              <w:right w:val="nil"/>
            </w:tcBorders>
            <w:vAlign w:val="center"/>
          </w:tcPr>
          <w:p w14:paraId="60756126">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Friedman→Nemenyi champions with non</w:t>
            </w:r>
            <w:r>
              <w:rPr>
                <w:rFonts w:hint="default" w:ascii="Times New Roman" w:hAnsi="Times New Roman" w:eastAsia="宋体" w:cs="Times New Roman"/>
                <w:snapToGrid w:val="0"/>
                <w:color w:val="000000"/>
                <w:kern w:val="0"/>
                <w:sz w:val="18"/>
                <w:szCs w:val="18"/>
                <w:lang w:val="en-US" w:eastAsia="zh-CN" w:bidi="ar"/>
              </w:rPr>
              <w:noBreakHyphen/>
            </w:r>
            <w:r>
              <w:rPr>
                <w:rFonts w:hint="default" w:ascii="Times New Roman" w:hAnsi="Times New Roman" w:eastAsia="宋体" w:cs="Times New Roman"/>
                <w:snapToGrid w:val="0"/>
                <w:color w:val="000000"/>
                <w:kern w:val="0"/>
                <w:sz w:val="18"/>
                <w:szCs w:val="18"/>
                <w:lang w:val="en-US" w:eastAsia="zh-CN" w:bidi="ar"/>
              </w:rPr>
              <w:t>overlapping CDs; Wilcoxon+Holm; ≥ medium effects</w:t>
            </w:r>
          </w:p>
        </w:tc>
        <w:tc>
          <w:tcPr>
            <w:tcW w:w="2394" w:type="dxa"/>
            <w:tcBorders>
              <w:top w:val="nil"/>
              <w:left w:val="nil"/>
              <w:bottom w:val="nil"/>
              <w:right w:val="nil"/>
            </w:tcBorders>
            <w:vAlign w:val="center"/>
          </w:tcPr>
          <w:p w14:paraId="583D29E2">
            <w:pPr>
              <w:keepNext w:val="0"/>
              <w:keepLines w:val="0"/>
              <w:widowControl/>
              <w:suppressLineNumbers w:val="0"/>
              <w:spacing w:after="0"/>
              <w:jc w:val="center"/>
              <w:rPr>
                <w:rFonts w:hint="default" w:ascii="Times New Roman" w:hAnsi="Times New Roman" w:cs="Times New Roman"/>
                <w:sz w:val="18"/>
                <w:szCs w:val="18"/>
              </w:rPr>
            </w:pPr>
            <w:r>
              <w:rPr>
                <w:rFonts w:hint="default" w:ascii="Times New Roman" w:hAnsi="Times New Roman" w:eastAsia="宋体" w:cs="Times New Roman"/>
                <w:snapToGrid w:val="0"/>
                <w:color w:val="000000"/>
                <w:kern w:val="0"/>
                <w:sz w:val="18"/>
                <w:szCs w:val="18"/>
                <w:lang w:val="en-US" w:eastAsia="zh-CN" w:bidi="ar"/>
              </w:rPr>
              <w:t>If none, expand seeds or drop weakest</w:t>
            </w:r>
          </w:p>
        </w:tc>
      </w:tr>
      <w:tr w14:paraId="79E469FA">
        <w:tblPrEx>
          <w:tblCellMar>
            <w:top w:w="43" w:type="dxa"/>
            <w:left w:w="0" w:type="dxa"/>
            <w:bottom w:w="0" w:type="dxa"/>
            <w:right w:w="0" w:type="dxa"/>
          </w:tblCellMar>
        </w:tblPrEx>
        <w:trPr>
          <w:trHeight w:val="503" w:hRule="atLeast"/>
        </w:trPr>
        <w:tc>
          <w:tcPr>
            <w:tcW w:w="1609" w:type="dxa"/>
            <w:tcBorders>
              <w:top w:val="nil"/>
              <w:left w:val="nil"/>
              <w:bottom w:val="nil"/>
              <w:right w:val="nil"/>
            </w:tcBorders>
            <w:vAlign w:val="center"/>
          </w:tcPr>
          <w:p w14:paraId="5D7ED66B">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Exit</w:t>
            </w:r>
            <w:r>
              <w:rPr>
                <w:rFonts w:hint="default" w:ascii="Times New Roman" w:hAnsi="Times New Roman" w:eastAsia="宋体" w:cs="Times New Roman"/>
                <w:snapToGrid w:val="0"/>
                <w:color w:val="000000"/>
                <w:kern w:val="0"/>
                <w:sz w:val="18"/>
                <w:szCs w:val="18"/>
                <w:lang w:val="en-US" w:eastAsia="zh-CN" w:bidi="ar"/>
              </w:rPr>
              <w:noBreakHyphen/>
            </w:r>
            <w:r>
              <w:rPr>
                <w:rFonts w:hint="default" w:ascii="Times New Roman" w:hAnsi="Times New Roman" w:eastAsia="宋体" w:cs="Times New Roman"/>
                <w:snapToGrid w:val="0"/>
                <w:color w:val="000000"/>
                <w:kern w:val="0"/>
                <w:sz w:val="18"/>
                <w:szCs w:val="18"/>
                <w:lang w:val="en-US" w:eastAsia="zh-CN" w:bidi="ar"/>
              </w:rPr>
              <w:t>C</w:t>
            </w:r>
          </w:p>
        </w:tc>
        <w:tc>
          <w:tcPr>
            <w:tcW w:w="3687" w:type="dxa"/>
            <w:tcBorders>
              <w:top w:val="nil"/>
              <w:left w:val="nil"/>
              <w:bottom w:val="nil"/>
              <w:right w:val="nil"/>
            </w:tcBorders>
            <w:vAlign w:val="center"/>
          </w:tcPr>
          <w:p w14:paraId="2452A535">
            <w:pPr>
              <w:keepNext w:val="0"/>
              <w:keepLines w:val="0"/>
              <w:widowControl/>
              <w:suppressLineNumbers w:val="0"/>
              <w:spacing w:after="0"/>
              <w:jc w:val="center"/>
              <w:rPr>
                <w:rFonts w:hint="default" w:ascii="Times New Roman" w:hAnsi="Times New Roman" w:cs="Times New Roman"/>
                <w:sz w:val="18"/>
                <w:szCs w:val="18"/>
              </w:rPr>
            </w:pPr>
            <w:r>
              <w:rPr>
                <w:rFonts w:hint="default" w:ascii="Times New Roman" w:hAnsi="Times New Roman" w:eastAsia="宋体" w:cs="Times New Roman"/>
                <w:snapToGrid w:val="0"/>
                <w:color w:val="000000"/>
                <w:kern w:val="0"/>
                <w:sz w:val="18"/>
                <w:szCs w:val="18"/>
                <w:lang w:val="en-US" w:eastAsia="zh-CN" w:bidi="ar"/>
              </w:rPr>
              <w:t>D3 Transfer</w:t>
            </w:r>
          </w:p>
        </w:tc>
        <w:tc>
          <w:tcPr>
            <w:tcW w:w="2251" w:type="dxa"/>
            <w:tcBorders>
              <w:top w:val="nil"/>
              <w:left w:val="nil"/>
              <w:bottom w:val="nil"/>
              <w:right w:val="nil"/>
            </w:tcBorders>
            <w:vAlign w:val="center"/>
          </w:tcPr>
          <w:p w14:paraId="14555BA0">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Public label mappings; zero</w:t>
            </w:r>
            <w:r>
              <w:rPr>
                <w:rFonts w:hint="default" w:ascii="Times New Roman" w:hAnsi="Times New Roman" w:eastAsia="宋体" w:cs="Times New Roman"/>
                <w:snapToGrid w:val="0"/>
                <w:color w:val="000000"/>
                <w:kern w:val="0"/>
                <w:sz w:val="18"/>
                <w:szCs w:val="18"/>
                <w:lang w:val="en-US" w:eastAsia="zh-CN" w:bidi="ar"/>
              </w:rPr>
              <w:noBreakHyphen/>
            </w:r>
            <w:r>
              <w:rPr>
                <w:rFonts w:hint="default" w:ascii="Times New Roman" w:hAnsi="Times New Roman" w:eastAsia="宋体" w:cs="Times New Roman"/>
                <w:snapToGrid w:val="0"/>
                <w:color w:val="000000"/>
                <w:kern w:val="0"/>
                <w:sz w:val="18"/>
                <w:szCs w:val="18"/>
                <w:lang w:val="en-US" w:eastAsia="zh-CN" w:bidi="ar"/>
              </w:rPr>
              <w:t>shot + 1%/5% fine</w:t>
            </w:r>
            <w:r>
              <w:rPr>
                <w:rFonts w:hint="default" w:ascii="Times New Roman" w:hAnsi="Times New Roman" w:eastAsia="宋体" w:cs="Times New Roman"/>
                <w:snapToGrid w:val="0"/>
                <w:color w:val="000000"/>
                <w:kern w:val="0"/>
                <w:sz w:val="18"/>
                <w:szCs w:val="18"/>
                <w:lang w:val="en-US" w:eastAsia="zh-CN" w:bidi="ar"/>
              </w:rPr>
              <w:noBreakHyphen/>
            </w:r>
            <w:r>
              <w:rPr>
                <w:rFonts w:hint="default" w:ascii="Times New Roman" w:hAnsi="Times New Roman" w:eastAsia="宋体" w:cs="Times New Roman"/>
                <w:snapToGrid w:val="0"/>
                <w:color w:val="000000"/>
                <w:kern w:val="0"/>
                <w:sz w:val="18"/>
                <w:szCs w:val="18"/>
                <w:lang w:val="en-US" w:eastAsia="zh-CN" w:bidi="ar"/>
              </w:rPr>
              <w:t>tune; F1–label</w:t>
            </w:r>
            <w:r>
              <w:rPr>
                <w:rFonts w:hint="default" w:ascii="Times New Roman" w:hAnsi="Times New Roman" w:eastAsia="宋体" w:cs="Times New Roman"/>
                <w:snapToGrid w:val="0"/>
                <w:color w:val="000000"/>
                <w:kern w:val="0"/>
                <w:sz w:val="18"/>
                <w:szCs w:val="18"/>
                <w:lang w:val="en-US" w:eastAsia="zh-CN" w:bidi="ar"/>
              </w:rPr>
              <w:noBreakHyphen/>
            </w:r>
            <w:r>
              <w:rPr>
                <w:rFonts w:hint="default" w:ascii="Times New Roman" w:hAnsi="Times New Roman" w:eastAsia="宋体" w:cs="Times New Roman"/>
                <w:snapToGrid w:val="0"/>
                <w:color w:val="000000"/>
                <w:kern w:val="0"/>
                <w:sz w:val="18"/>
                <w:szCs w:val="18"/>
                <w:lang w:val="en-US" w:eastAsia="zh-CN" w:bidi="ar"/>
              </w:rPr>
              <w:t>rate curves</w:t>
            </w:r>
          </w:p>
        </w:tc>
        <w:tc>
          <w:tcPr>
            <w:tcW w:w="2394" w:type="dxa"/>
            <w:tcBorders>
              <w:top w:val="nil"/>
              <w:left w:val="nil"/>
              <w:bottom w:val="nil"/>
              <w:right w:val="nil"/>
            </w:tcBorders>
            <w:vAlign w:val="center"/>
          </w:tcPr>
          <w:p w14:paraId="75771759">
            <w:pPr>
              <w:keepNext w:val="0"/>
              <w:keepLines w:val="0"/>
              <w:widowControl/>
              <w:suppressLineNumbers w:val="0"/>
              <w:spacing w:after="0"/>
              <w:jc w:val="center"/>
              <w:rPr>
                <w:rFonts w:hint="default" w:ascii="Times New Roman" w:hAnsi="Times New Roman" w:cs="Times New Roman"/>
                <w:sz w:val="18"/>
                <w:szCs w:val="18"/>
              </w:rPr>
            </w:pPr>
            <w:r>
              <w:rPr>
                <w:rFonts w:hint="default" w:ascii="Times New Roman" w:hAnsi="Times New Roman" w:eastAsia="宋体" w:cs="Times New Roman"/>
                <w:snapToGrid w:val="0"/>
                <w:color w:val="000000"/>
                <w:kern w:val="0"/>
                <w:sz w:val="18"/>
                <w:szCs w:val="18"/>
                <w:lang w:val="en-US" w:eastAsia="zh-CN" w:bidi="ar"/>
              </w:rPr>
              <w:t>If mapping ambiguous, report dual metrics &amp; halt fine</w:t>
            </w:r>
            <w:r>
              <w:rPr>
                <w:rFonts w:hint="default" w:ascii="Times New Roman" w:hAnsi="Times New Roman" w:eastAsia="宋体" w:cs="Times New Roman"/>
                <w:snapToGrid w:val="0"/>
                <w:color w:val="000000"/>
                <w:kern w:val="0"/>
                <w:sz w:val="18"/>
                <w:szCs w:val="18"/>
                <w:lang w:val="en-US" w:eastAsia="zh-CN" w:bidi="ar"/>
              </w:rPr>
              <w:noBreakHyphen/>
            </w:r>
            <w:r>
              <w:rPr>
                <w:rFonts w:hint="default" w:ascii="Times New Roman" w:hAnsi="Times New Roman" w:eastAsia="宋体" w:cs="Times New Roman"/>
                <w:snapToGrid w:val="0"/>
                <w:color w:val="000000"/>
                <w:kern w:val="0"/>
                <w:sz w:val="18"/>
                <w:szCs w:val="18"/>
                <w:lang w:val="en-US" w:eastAsia="zh-CN" w:bidi="ar"/>
              </w:rPr>
              <w:t>tune claims</w:t>
            </w:r>
          </w:p>
        </w:tc>
      </w:tr>
      <w:tr w14:paraId="626BDCEB">
        <w:tblPrEx>
          <w:tblCellMar>
            <w:top w:w="43" w:type="dxa"/>
            <w:left w:w="0" w:type="dxa"/>
            <w:bottom w:w="0" w:type="dxa"/>
            <w:right w:w="0" w:type="dxa"/>
          </w:tblCellMar>
        </w:tblPrEx>
        <w:trPr>
          <w:trHeight w:val="598" w:hRule="atLeast"/>
        </w:trPr>
        <w:tc>
          <w:tcPr>
            <w:tcW w:w="1609" w:type="dxa"/>
            <w:tcBorders>
              <w:top w:val="nil"/>
              <w:left w:val="nil"/>
              <w:bottom w:val="nil"/>
              <w:right w:val="nil"/>
            </w:tcBorders>
            <w:vAlign w:val="center"/>
          </w:tcPr>
          <w:p w14:paraId="2B0FD614">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w:t>
            </w:r>
          </w:p>
        </w:tc>
        <w:tc>
          <w:tcPr>
            <w:tcW w:w="3687" w:type="dxa"/>
            <w:tcBorders>
              <w:top w:val="nil"/>
              <w:left w:val="nil"/>
              <w:bottom w:val="nil"/>
              <w:right w:val="nil"/>
            </w:tcBorders>
            <w:vAlign w:val="center"/>
          </w:tcPr>
          <w:p w14:paraId="5B4674A3">
            <w:pPr>
              <w:keepNext w:val="0"/>
              <w:keepLines w:val="0"/>
              <w:widowControl/>
              <w:suppressLineNumbers w:val="0"/>
              <w:spacing w:after="0"/>
              <w:jc w:val="center"/>
              <w:rPr>
                <w:rFonts w:hint="default" w:ascii="Times New Roman" w:hAnsi="Times New Roman" w:cs="Times New Roman"/>
                <w:sz w:val="18"/>
                <w:szCs w:val="18"/>
              </w:rPr>
            </w:pPr>
            <w:r>
              <w:rPr>
                <w:rFonts w:hint="default" w:ascii="Times New Roman" w:hAnsi="Times New Roman" w:eastAsia="宋体" w:cs="Times New Roman"/>
                <w:snapToGrid w:val="0"/>
                <w:color w:val="000000"/>
                <w:kern w:val="0"/>
                <w:sz w:val="18"/>
                <w:szCs w:val="18"/>
                <w:lang w:val="en-US" w:eastAsia="zh-CN" w:bidi="ar"/>
              </w:rPr>
              <w:t>D4 Calibration</w:t>
            </w:r>
          </w:p>
        </w:tc>
        <w:tc>
          <w:tcPr>
            <w:tcW w:w="2251" w:type="dxa"/>
            <w:tcBorders>
              <w:top w:val="nil"/>
              <w:left w:val="nil"/>
              <w:bottom w:val="nil"/>
              <w:right w:val="nil"/>
            </w:tcBorders>
            <w:vAlign w:val="center"/>
          </w:tcPr>
          <w:p w14:paraId="04337FC0">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Temp vs isotonic; ECE/Brier/NLL; threshold; APS policy</w:t>
            </w:r>
          </w:p>
        </w:tc>
        <w:tc>
          <w:tcPr>
            <w:tcW w:w="2394" w:type="dxa"/>
            <w:tcBorders>
              <w:top w:val="nil"/>
              <w:left w:val="nil"/>
              <w:bottom w:val="nil"/>
              <w:right w:val="nil"/>
            </w:tcBorders>
            <w:vAlign w:val="center"/>
          </w:tcPr>
          <w:p w14:paraId="7B9CD83C">
            <w:pPr>
              <w:keepNext w:val="0"/>
              <w:keepLines w:val="0"/>
              <w:widowControl/>
              <w:suppressLineNumbers w:val="0"/>
              <w:spacing w:after="0"/>
              <w:jc w:val="center"/>
              <w:rPr>
                <w:rFonts w:hint="default" w:ascii="Times New Roman" w:hAnsi="Times New Roman" w:cs="Times New Roman"/>
                <w:sz w:val="18"/>
                <w:szCs w:val="18"/>
              </w:rPr>
            </w:pPr>
            <w:r>
              <w:rPr>
                <w:rFonts w:hint="default" w:ascii="Times New Roman" w:hAnsi="Times New Roman" w:eastAsia="宋体" w:cs="Times New Roman"/>
                <w:snapToGrid w:val="0"/>
                <w:color w:val="000000"/>
                <w:kern w:val="0"/>
                <w:sz w:val="18"/>
                <w:szCs w:val="18"/>
                <w:lang w:val="en-US" w:eastAsia="zh-CN" w:bidi="ar"/>
              </w:rPr>
              <w:t>If coverage &lt; 85%, switch to Mondrian APS</w:t>
            </w:r>
          </w:p>
        </w:tc>
      </w:tr>
      <w:tr w14:paraId="091155FC">
        <w:tblPrEx>
          <w:tblCellMar>
            <w:top w:w="43" w:type="dxa"/>
            <w:left w:w="0" w:type="dxa"/>
            <w:bottom w:w="0" w:type="dxa"/>
            <w:right w:w="0" w:type="dxa"/>
          </w:tblCellMar>
        </w:tblPrEx>
        <w:trPr>
          <w:trHeight w:val="598" w:hRule="atLeast"/>
        </w:trPr>
        <w:tc>
          <w:tcPr>
            <w:tcW w:w="1609" w:type="dxa"/>
            <w:tcBorders>
              <w:top w:val="nil"/>
              <w:left w:val="nil"/>
              <w:bottom w:val="nil"/>
              <w:right w:val="nil"/>
            </w:tcBorders>
            <w:vAlign w:val="center"/>
          </w:tcPr>
          <w:p w14:paraId="0B22AB29">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w:t>
            </w:r>
          </w:p>
        </w:tc>
        <w:tc>
          <w:tcPr>
            <w:tcW w:w="3687" w:type="dxa"/>
            <w:tcBorders>
              <w:top w:val="nil"/>
              <w:left w:val="nil"/>
              <w:bottom w:val="nil"/>
              <w:right w:val="nil"/>
            </w:tcBorders>
            <w:vAlign w:val="center"/>
          </w:tcPr>
          <w:p w14:paraId="0D6214CE">
            <w:pPr>
              <w:keepNext w:val="0"/>
              <w:keepLines w:val="0"/>
              <w:widowControl/>
              <w:suppressLineNumbers w:val="0"/>
              <w:spacing w:after="0"/>
              <w:jc w:val="center"/>
              <w:rPr>
                <w:rFonts w:hint="default" w:ascii="Times New Roman" w:hAnsi="Times New Roman" w:cs="Times New Roman"/>
                <w:sz w:val="18"/>
                <w:szCs w:val="18"/>
              </w:rPr>
            </w:pPr>
            <w:r>
              <w:rPr>
                <w:rFonts w:hint="default" w:ascii="Times New Roman" w:hAnsi="Times New Roman" w:eastAsia="宋体" w:cs="Times New Roman"/>
                <w:snapToGrid w:val="0"/>
                <w:color w:val="000000"/>
                <w:kern w:val="0"/>
                <w:sz w:val="18"/>
                <w:szCs w:val="18"/>
                <w:lang w:val="en-US" w:eastAsia="zh-CN" w:bidi="ar"/>
              </w:rPr>
              <w:t>D5 Energy/INT8</w:t>
            </w:r>
          </w:p>
        </w:tc>
        <w:tc>
          <w:tcPr>
            <w:tcW w:w="2251" w:type="dxa"/>
            <w:tcBorders>
              <w:top w:val="nil"/>
              <w:left w:val="nil"/>
              <w:bottom w:val="nil"/>
              <w:right w:val="nil"/>
            </w:tcBorders>
            <w:vAlign w:val="center"/>
          </w:tcPr>
          <w:p w14:paraId="7AD2F3B9">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 xml:space="preserve">Sampling sweeps + PTQ; device latency/energy; Pareto; </w:t>
            </w:r>
            <w:r>
              <w:rPr>
                <w:rStyle w:val="5"/>
                <w:rFonts w:hint="default" w:ascii="Times New Roman" w:hAnsi="Times New Roman" w:eastAsia="宋体" w:cs="Times New Roman"/>
                <w:snapToGrid w:val="0"/>
                <w:color w:val="000000"/>
                <w:kern w:val="0"/>
                <w:sz w:val="18"/>
                <w:szCs w:val="18"/>
                <w:lang w:val="en-US" w:eastAsia="zh-CN" w:bidi="ar"/>
              </w:rPr>
              <w:t>SC</w:t>
            </w:r>
            <w:r>
              <w:rPr>
                <w:rStyle w:val="5"/>
                <w:rFonts w:hint="default" w:ascii="Times New Roman" w:hAnsi="Times New Roman" w:eastAsia="宋体" w:cs="Times New Roman"/>
                <w:snapToGrid w:val="0"/>
                <w:color w:val="000000"/>
                <w:kern w:val="0"/>
                <w:sz w:val="18"/>
                <w:szCs w:val="18"/>
                <w:lang w:val="en-US" w:eastAsia="zh-CN" w:bidi="ar"/>
              </w:rPr>
              <w:noBreakHyphen/>
            </w:r>
            <w:r>
              <w:rPr>
                <w:rStyle w:val="5"/>
                <w:rFonts w:hint="default" w:ascii="Times New Roman" w:hAnsi="Times New Roman" w:eastAsia="宋体" w:cs="Times New Roman"/>
                <w:snapToGrid w:val="0"/>
                <w:color w:val="000000"/>
                <w:kern w:val="0"/>
                <w:sz w:val="18"/>
                <w:szCs w:val="18"/>
                <w:lang w:val="en-US" w:eastAsia="zh-CN" w:bidi="ar"/>
              </w:rPr>
              <w:t>3</w:t>
            </w:r>
            <w:r>
              <w:rPr>
                <w:rFonts w:hint="default" w:ascii="Times New Roman" w:hAnsi="Times New Roman" w:eastAsia="宋体" w:cs="Times New Roman"/>
                <w:snapToGrid w:val="0"/>
                <w:color w:val="000000"/>
                <w:kern w:val="0"/>
                <w:sz w:val="18"/>
                <w:szCs w:val="18"/>
                <w:lang w:val="en-US" w:eastAsia="zh-CN" w:bidi="ar"/>
              </w:rPr>
              <w:t xml:space="preserve"> endorsement only</w:t>
            </w:r>
          </w:p>
        </w:tc>
        <w:tc>
          <w:tcPr>
            <w:tcW w:w="2394" w:type="dxa"/>
            <w:tcBorders>
              <w:top w:val="nil"/>
              <w:left w:val="nil"/>
              <w:bottom w:val="nil"/>
              <w:right w:val="nil"/>
            </w:tcBorders>
            <w:vAlign w:val="center"/>
          </w:tcPr>
          <w:p w14:paraId="5140CCB4">
            <w:pPr>
              <w:keepNext w:val="0"/>
              <w:keepLines w:val="0"/>
              <w:widowControl/>
              <w:suppressLineNumbers w:val="0"/>
              <w:spacing w:after="0"/>
              <w:jc w:val="center"/>
              <w:rPr>
                <w:rFonts w:hint="default" w:ascii="Times New Roman" w:hAnsi="Times New Roman" w:cs="Times New Roman"/>
                <w:sz w:val="18"/>
                <w:szCs w:val="18"/>
              </w:rPr>
            </w:pPr>
            <w:r>
              <w:rPr>
                <w:rFonts w:hint="default" w:ascii="Times New Roman" w:hAnsi="Times New Roman" w:eastAsia="宋体" w:cs="Times New Roman"/>
                <w:snapToGrid w:val="0"/>
                <w:color w:val="000000"/>
                <w:kern w:val="0"/>
                <w:sz w:val="18"/>
                <w:szCs w:val="18"/>
                <w:lang w:val="en-US" w:eastAsia="zh-CN" w:bidi="ar"/>
              </w:rPr>
              <w:t>If INT8 harms any class &gt; 1 pp, run sensitivity + distillation</w:t>
            </w:r>
          </w:p>
        </w:tc>
      </w:tr>
      <w:tr w14:paraId="063455EA">
        <w:tblPrEx>
          <w:tblCellMar>
            <w:top w:w="43" w:type="dxa"/>
            <w:left w:w="0" w:type="dxa"/>
            <w:bottom w:w="0" w:type="dxa"/>
            <w:right w:w="0" w:type="dxa"/>
          </w:tblCellMar>
        </w:tblPrEx>
        <w:trPr>
          <w:trHeight w:val="598" w:hRule="atLeast"/>
        </w:trPr>
        <w:tc>
          <w:tcPr>
            <w:tcW w:w="1609" w:type="dxa"/>
            <w:tcBorders>
              <w:top w:val="nil"/>
              <w:left w:val="nil"/>
              <w:bottom w:val="nil"/>
              <w:right w:val="nil"/>
            </w:tcBorders>
            <w:vAlign w:val="center"/>
          </w:tcPr>
          <w:p w14:paraId="252CD195">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w:t>
            </w:r>
          </w:p>
        </w:tc>
        <w:tc>
          <w:tcPr>
            <w:tcW w:w="3687" w:type="dxa"/>
            <w:tcBorders>
              <w:top w:val="nil"/>
              <w:left w:val="nil"/>
              <w:bottom w:val="nil"/>
              <w:right w:val="nil"/>
            </w:tcBorders>
            <w:vAlign w:val="center"/>
          </w:tcPr>
          <w:p w14:paraId="5476B441">
            <w:pPr>
              <w:keepNext w:val="0"/>
              <w:keepLines w:val="0"/>
              <w:widowControl/>
              <w:suppressLineNumbers w:val="0"/>
              <w:spacing w:after="0"/>
              <w:jc w:val="center"/>
              <w:rPr>
                <w:rFonts w:hint="default" w:ascii="Times New Roman" w:hAnsi="Times New Roman" w:cs="Times New Roman"/>
                <w:sz w:val="18"/>
                <w:szCs w:val="18"/>
              </w:rPr>
            </w:pPr>
            <w:r>
              <w:rPr>
                <w:rFonts w:hint="default" w:ascii="Times New Roman" w:hAnsi="Times New Roman" w:eastAsia="宋体" w:cs="Times New Roman"/>
                <w:snapToGrid w:val="0"/>
                <w:color w:val="000000"/>
                <w:kern w:val="0"/>
                <w:sz w:val="18"/>
                <w:szCs w:val="18"/>
                <w:lang w:val="en-US" w:eastAsia="zh-CN" w:bidi="ar"/>
              </w:rPr>
              <w:t>D6 Robustness/XAI</w:t>
            </w:r>
          </w:p>
        </w:tc>
        <w:tc>
          <w:tcPr>
            <w:tcW w:w="2251" w:type="dxa"/>
            <w:tcBorders>
              <w:top w:val="nil"/>
              <w:left w:val="nil"/>
              <w:bottom w:val="nil"/>
              <w:right w:val="nil"/>
            </w:tcBorders>
            <w:vAlign w:val="center"/>
          </w:tcPr>
          <w:p w14:paraId="195D77FC">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 xml:space="preserve">OOD AUROC &amp; </w:t>
            </w:r>
            <w:r>
              <w:rPr>
                <w:rStyle w:val="5"/>
                <w:rFonts w:hint="default" w:ascii="Times New Roman" w:hAnsi="Times New Roman" w:eastAsia="宋体" w:cs="Times New Roman"/>
                <w:snapToGrid w:val="0"/>
                <w:color w:val="000000"/>
                <w:kern w:val="0"/>
                <w:sz w:val="18"/>
                <w:szCs w:val="18"/>
                <w:lang w:val="en-US" w:eastAsia="zh-CN" w:bidi="ar"/>
              </w:rPr>
              <w:t>TPR@1%FPR ≥ 60%</w:t>
            </w:r>
            <w:r>
              <w:rPr>
                <w:rFonts w:hint="default" w:ascii="Times New Roman" w:hAnsi="Times New Roman" w:eastAsia="宋体" w:cs="Times New Roman"/>
                <w:snapToGrid w:val="0"/>
                <w:color w:val="000000"/>
                <w:kern w:val="0"/>
                <w:sz w:val="18"/>
                <w:szCs w:val="18"/>
                <w:lang w:val="en-US" w:eastAsia="zh-CN" w:bidi="ar"/>
              </w:rPr>
              <w:t>; saliency narratives</w:t>
            </w:r>
          </w:p>
        </w:tc>
        <w:tc>
          <w:tcPr>
            <w:tcW w:w="2394" w:type="dxa"/>
            <w:tcBorders>
              <w:top w:val="nil"/>
              <w:left w:val="nil"/>
              <w:bottom w:val="nil"/>
              <w:right w:val="nil"/>
            </w:tcBorders>
            <w:vAlign w:val="center"/>
          </w:tcPr>
          <w:p w14:paraId="6DD56014">
            <w:pPr>
              <w:keepNext w:val="0"/>
              <w:keepLines w:val="0"/>
              <w:widowControl/>
              <w:suppressLineNumbers w:val="0"/>
              <w:spacing w:after="0"/>
              <w:jc w:val="center"/>
              <w:rPr>
                <w:rFonts w:hint="default" w:ascii="Times New Roman" w:hAnsi="Times New Roman" w:cs="Times New Roman"/>
                <w:sz w:val="18"/>
                <w:szCs w:val="18"/>
              </w:rPr>
            </w:pPr>
            <w:r>
              <w:rPr>
                <w:rFonts w:hint="default" w:ascii="Times New Roman" w:hAnsi="Times New Roman" w:eastAsia="宋体" w:cs="Times New Roman"/>
                <w:snapToGrid w:val="0"/>
                <w:color w:val="000000"/>
                <w:kern w:val="0"/>
                <w:sz w:val="18"/>
                <w:szCs w:val="18"/>
                <w:lang w:val="en-US" w:eastAsia="zh-CN" w:bidi="ar"/>
              </w:rPr>
              <w:t>If below target, adopt energy</w:t>
            </w:r>
            <w:r>
              <w:rPr>
                <w:rFonts w:hint="default" w:ascii="Times New Roman" w:hAnsi="Times New Roman" w:eastAsia="宋体" w:cs="Times New Roman"/>
                <w:snapToGrid w:val="0"/>
                <w:color w:val="000000"/>
                <w:kern w:val="0"/>
                <w:sz w:val="18"/>
                <w:szCs w:val="18"/>
                <w:lang w:val="en-US" w:eastAsia="zh-CN" w:bidi="ar"/>
              </w:rPr>
              <w:noBreakHyphen/>
            </w:r>
            <w:r>
              <w:rPr>
                <w:rFonts w:hint="default" w:ascii="Times New Roman" w:hAnsi="Times New Roman" w:eastAsia="宋体" w:cs="Times New Roman"/>
                <w:snapToGrid w:val="0"/>
                <w:color w:val="000000"/>
                <w:kern w:val="0"/>
                <w:sz w:val="18"/>
                <w:szCs w:val="18"/>
                <w:lang w:val="en-US" w:eastAsia="zh-CN" w:bidi="ar"/>
              </w:rPr>
              <w:t>based scoring &amp; document abstain</w:t>
            </w:r>
            <w:r>
              <w:rPr>
                <w:rFonts w:hint="default" w:ascii="Times New Roman" w:hAnsi="Times New Roman" w:eastAsia="宋体" w:cs="Times New Roman"/>
                <w:snapToGrid w:val="0"/>
                <w:color w:val="000000"/>
                <w:kern w:val="0"/>
                <w:sz w:val="18"/>
                <w:szCs w:val="18"/>
                <w:lang w:val="en-US" w:eastAsia="zh-CN" w:bidi="ar"/>
              </w:rPr>
              <w:noBreakHyphen/>
            </w:r>
            <w:r>
              <w:rPr>
                <w:rFonts w:hint="default" w:ascii="Times New Roman" w:hAnsi="Times New Roman" w:eastAsia="宋体" w:cs="Times New Roman"/>
                <w:snapToGrid w:val="0"/>
                <w:color w:val="000000"/>
                <w:kern w:val="0"/>
                <w:sz w:val="18"/>
                <w:szCs w:val="18"/>
                <w:lang w:val="en-US" w:eastAsia="zh-CN" w:bidi="ar"/>
              </w:rPr>
              <w:t>rate</w:t>
            </w:r>
          </w:p>
        </w:tc>
      </w:tr>
      <w:tr w14:paraId="69B7B736">
        <w:tblPrEx>
          <w:tblCellMar>
            <w:top w:w="43" w:type="dxa"/>
            <w:left w:w="0" w:type="dxa"/>
            <w:bottom w:w="0" w:type="dxa"/>
            <w:right w:w="0" w:type="dxa"/>
          </w:tblCellMar>
        </w:tblPrEx>
        <w:trPr>
          <w:trHeight w:val="598" w:hRule="atLeast"/>
        </w:trPr>
        <w:tc>
          <w:tcPr>
            <w:tcW w:w="1609" w:type="dxa"/>
            <w:tcBorders>
              <w:top w:val="nil"/>
              <w:left w:val="nil"/>
              <w:bottom w:val="nil"/>
              <w:right w:val="nil"/>
            </w:tcBorders>
            <w:vAlign w:val="center"/>
          </w:tcPr>
          <w:p w14:paraId="5D8D79C0">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Release</w:t>
            </w:r>
          </w:p>
        </w:tc>
        <w:tc>
          <w:tcPr>
            <w:tcW w:w="3687" w:type="dxa"/>
            <w:tcBorders>
              <w:top w:val="nil"/>
              <w:left w:val="nil"/>
              <w:bottom w:val="nil"/>
              <w:right w:val="nil"/>
            </w:tcBorders>
            <w:vAlign w:val="center"/>
          </w:tcPr>
          <w:p w14:paraId="657CA954">
            <w:pPr>
              <w:keepNext w:val="0"/>
              <w:keepLines w:val="0"/>
              <w:widowControl/>
              <w:suppressLineNumbers w:val="0"/>
              <w:spacing w:after="0"/>
              <w:jc w:val="center"/>
              <w:rPr>
                <w:rFonts w:hint="default" w:ascii="Times New Roman" w:hAnsi="Times New Roman" w:cs="Times New Roman"/>
                <w:sz w:val="18"/>
                <w:szCs w:val="18"/>
              </w:rPr>
            </w:pPr>
            <w:r>
              <w:rPr>
                <w:rFonts w:hint="default" w:ascii="Times New Roman" w:hAnsi="Times New Roman" w:eastAsia="宋体" w:cs="Times New Roman"/>
                <w:snapToGrid w:val="0"/>
                <w:color w:val="000000"/>
                <w:kern w:val="0"/>
                <w:sz w:val="18"/>
                <w:szCs w:val="18"/>
                <w:lang w:val="en-US" w:eastAsia="zh-CN" w:bidi="ar"/>
              </w:rPr>
              <w:t>D7 Repro bundle</w:t>
            </w:r>
          </w:p>
        </w:tc>
        <w:tc>
          <w:tcPr>
            <w:tcW w:w="2251" w:type="dxa"/>
            <w:tcBorders>
              <w:top w:val="nil"/>
              <w:left w:val="nil"/>
              <w:bottom w:val="nil"/>
              <w:right w:val="nil"/>
            </w:tcBorders>
            <w:vAlign w:val="center"/>
          </w:tcPr>
          <w:p w14:paraId="5D8EA807">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Code/configs/logs; Dataset/Model Cards; deployment card (Owner/Approver/SLA)</w:t>
            </w:r>
          </w:p>
        </w:tc>
        <w:tc>
          <w:tcPr>
            <w:tcW w:w="2394" w:type="dxa"/>
            <w:tcBorders>
              <w:top w:val="nil"/>
              <w:left w:val="nil"/>
              <w:bottom w:val="nil"/>
              <w:right w:val="nil"/>
            </w:tcBorders>
            <w:vAlign w:val="center"/>
          </w:tcPr>
          <w:p w14:paraId="637F28B3">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w:t>
            </w:r>
          </w:p>
        </w:tc>
      </w:tr>
    </w:tbl>
    <w:p w14:paraId="5A56FCDC">
      <w:pPr>
        <w:pStyle w:val="2"/>
        <w:spacing w:before="196" w:line="344" w:lineRule="auto"/>
        <w:ind w:right="54"/>
        <w:rPr>
          <w:rFonts w:hint="default" w:ascii="Times New Roman" w:hAnsi="Times New Roman" w:eastAsia="宋体" w:cs="Times New Roman"/>
          <w:sz w:val="21"/>
          <w:szCs w:val="21"/>
        </w:rPr>
      </w:pPr>
    </w:p>
    <w:p w14:paraId="26B9133E">
      <w:pPr>
        <w:pStyle w:val="2"/>
        <w:spacing w:before="196" w:line="344" w:lineRule="auto"/>
        <w:ind w:left="476" w:right="54" w:hanging="368" w:hangingChars="200"/>
        <w:jc w:val="center"/>
        <w:rPr>
          <w:rFonts w:hint="default" w:ascii="Times New Roman" w:hAnsi="Times New Roman" w:eastAsia="宋体" w:cs="Times New Roman"/>
          <w:sz w:val="21"/>
          <w:szCs w:val="21"/>
        </w:rPr>
      </w:pPr>
      <w:r>
        <w:rPr>
          <w:color w:val="231F20"/>
          <w:spacing w:val="2"/>
          <w:sz w:val="18"/>
          <w:szCs w:val="18"/>
        </w:rPr>
        <w:t>TABLE</w:t>
      </w:r>
      <w:r>
        <w:rPr>
          <w:color w:val="231F20"/>
          <w:spacing w:val="20"/>
          <w:w w:val="102"/>
          <w:sz w:val="18"/>
          <w:szCs w:val="18"/>
        </w:rPr>
        <w:t xml:space="preserve"> </w:t>
      </w:r>
      <w:r>
        <w:rPr>
          <w:rFonts w:hint="eastAsia" w:eastAsia="宋体"/>
          <w:color w:val="231F20"/>
          <w:spacing w:val="20"/>
          <w:w w:val="102"/>
          <w:sz w:val="18"/>
          <w:szCs w:val="18"/>
          <w:lang w:val="en-US" w:eastAsia="zh-CN"/>
        </w:rPr>
        <w:t>3</w:t>
      </w:r>
      <w:r>
        <w:rPr>
          <w:color w:val="231F20"/>
          <w:spacing w:val="2"/>
          <w:sz w:val="18"/>
          <w:szCs w:val="18"/>
        </w:rPr>
        <w:t>.</w:t>
      </w:r>
      <w:r>
        <w:rPr>
          <w:color w:val="231F20"/>
          <w:spacing w:val="10"/>
          <w:w w:val="102"/>
          <w:sz w:val="18"/>
          <w:szCs w:val="18"/>
        </w:rPr>
        <w:t xml:space="preserve"> </w:t>
      </w:r>
      <w:r>
        <w:rPr>
          <w:rFonts w:hint="eastAsia"/>
          <w:color w:val="231F20"/>
          <w:spacing w:val="2"/>
          <w:sz w:val="18"/>
          <w:szCs w:val="18"/>
        </w:rPr>
        <w:t>Timeline (Gantt overview)</w:t>
      </w:r>
    </w:p>
    <w:tbl>
      <w:tblPr>
        <w:tblStyle w:val="10"/>
        <w:tblpPr w:leftFromText="180" w:rightFromText="180" w:vertAnchor="text" w:horzAnchor="page" w:tblpX="1534" w:tblpY="23"/>
        <w:tblOverlap w:val="never"/>
        <w:tblW w:w="9941" w:type="dxa"/>
        <w:tblInd w:w="0" w:type="dxa"/>
        <w:tblLayout w:type="autofit"/>
        <w:tblCellMar>
          <w:top w:w="43" w:type="dxa"/>
          <w:left w:w="0" w:type="dxa"/>
          <w:bottom w:w="0" w:type="dxa"/>
          <w:right w:w="0" w:type="dxa"/>
        </w:tblCellMar>
      </w:tblPr>
      <w:tblGrid>
        <w:gridCol w:w="3020"/>
        <w:gridCol w:w="6921"/>
      </w:tblGrid>
      <w:tr w14:paraId="437D1DC0">
        <w:tblPrEx>
          <w:tblCellMar>
            <w:top w:w="43" w:type="dxa"/>
            <w:left w:w="0" w:type="dxa"/>
            <w:bottom w:w="0" w:type="dxa"/>
            <w:right w:w="0" w:type="dxa"/>
          </w:tblCellMar>
        </w:tblPrEx>
        <w:trPr>
          <w:trHeight w:val="704" w:hRule="atLeast"/>
        </w:trPr>
        <w:tc>
          <w:tcPr>
            <w:tcW w:w="1609" w:type="dxa"/>
            <w:tcBorders>
              <w:top w:val="single" w:color="000000" w:sz="6" w:space="0"/>
              <w:left w:val="nil"/>
              <w:bottom w:val="single" w:color="000000" w:sz="4" w:space="0"/>
              <w:right w:val="nil"/>
            </w:tcBorders>
            <w:vAlign w:val="center"/>
          </w:tcPr>
          <w:p w14:paraId="322A53A5">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b/>
                <w:bCs/>
                <w:snapToGrid w:val="0"/>
                <w:color w:val="000000"/>
                <w:kern w:val="0"/>
                <w:sz w:val="18"/>
                <w:szCs w:val="18"/>
                <w:lang w:val="en-US" w:eastAsia="zh-CN" w:bidi="ar"/>
              </w:rPr>
              <w:t>Week</w:t>
            </w:r>
          </w:p>
        </w:tc>
        <w:tc>
          <w:tcPr>
            <w:tcW w:w="3687" w:type="dxa"/>
            <w:tcBorders>
              <w:top w:val="single" w:color="000000" w:sz="6" w:space="0"/>
              <w:left w:val="nil"/>
              <w:bottom w:val="single" w:color="000000" w:sz="4" w:space="0"/>
              <w:right w:val="nil"/>
            </w:tcBorders>
            <w:vAlign w:val="center"/>
          </w:tcPr>
          <w:p w14:paraId="2B6E1EED">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b/>
                <w:bCs/>
                <w:snapToGrid w:val="0"/>
                <w:color w:val="000000"/>
                <w:kern w:val="0"/>
                <w:sz w:val="18"/>
                <w:szCs w:val="18"/>
                <w:lang w:val="en-US" w:eastAsia="zh-CN" w:bidi="ar"/>
              </w:rPr>
              <w:t>Milestones</w:t>
            </w:r>
          </w:p>
        </w:tc>
      </w:tr>
      <w:tr w14:paraId="20FF85C4">
        <w:tblPrEx>
          <w:tblCellMar>
            <w:top w:w="43" w:type="dxa"/>
            <w:left w:w="0" w:type="dxa"/>
            <w:bottom w:w="0" w:type="dxa"/>
            <w:right w:w="0" w:type="dxa"/>
          </w:tblCellMar>
        </w:tblPrEx>
        <w:trPr>
          <w:trHeight w:val="641" w:hRule="atLeast"/>
        </w:trPr>
        <w:tc>
          <w:tcPr>
            <w:tcW w:w="1609" w:type="dxa"/>
            <w:tcBorders>
              <w:top w:val="single" w:color="000000" w:sz="4" w:space="0"/>
              <w:left w:val="nil"/>
              <w:bottom w:val="nil"/>
              <w:right w:val="nil"/>
            </w:tcBorders>
            <w:vAlign w:val="center"/>
          </w:tcPr>
          <w:p w14:paraId="4586CF7E">
            <w:pPr>
              <w:keepNext w:val="0"/>
              <w:keepLines w:val="0"/>
              <w:widowControl/>
              <w:suppressLineNumbers w:val="0"/>
              <w:spacing w:after="0"/>
              <w:jc w:val="left"/>
              <w:rPr>
                <w:rFonts w:hint="default" w:ascii="Times New Roman" w:hAnsi="Times New Roman" w:cs="Times New Roman"/>
                <w:sz w:val="18"/>
                <w:szCs w:val="18"/>
                <w:lang w:val="en-US"/>
              </w:rPr>
            </w:pPr>
            <w:r>
              <w:rPr>
                <w:rFonts w:hint="default" w:ascii="Times New Roman" w:hAnsi="Times New Roman" w:eastAsia="宋体" w:cs="Times New Roman"/>
                <w:snapToGrid w:val="0"/>
                <w:color w:val="000000"/>
                <w:kern w:val="0"/>
                <w:sz w:val="18"/>
                <w:szCs w:val="18"/>
                <w:lang w:val="en-US" w:eastAsia="zh-CN" w:bidi="ar"/>
              </w:rPr>
              <w:t>W1–W2</w:t>
            </w:r>
          </w:p>
        </w:tc>
        <w:tc>
          <w:tcPr>
            <w:tcW w:w="3687" w:type="dxa"/>
            <w:tcBorders>
              <w:top w:val="single" w:color="000000" w:sz="4" w:space="0"/>
              <w:left w:val="nil"/>
              <w:bottom w:val="nil"/>
              <w:right w:val="nil"/>
            </w:tcBorders>
            <w:vAlign w:val="center"/>
          </w:tcPr>
          <w:p w14:paraId="70110964">
            <w:pPr>
              <w:keepNext w:val="0"/>
              <w:keepLines w:val="0"/>
              <w:widowControl/>
              <w:suppressLineNumbers w:val="0"/>
              <w:spacing w:after="0"/>
              <w:jc w:val="left"/>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Data governance; mappings; preprocessing filters validated; pilot seeds</w:t>
            </w:r>
          </w:p>
        </w:tc>
      </w:tr>
      <w:tr w14:paraId="32B57558">
        <w:tblPrEx>
          <w:tblCellMar>
            <w:top w:w="43" w:type="dxa"/>
            <w:left w:w="0" w:type="dxa"/>
            <w:bottom w:w="0" w:type="dxa"/>
            <w:right w:w="0" w:type="dxa"/>
          </w:tblCellMar>
        </w:tblPrEx>
        <w:trPr>
          <w:trHeight w:val="503" w:hRule="atLeast"/>
        </w:trPr>
        <w:tc>
          <w:tcPr>
            <w:tcW w:w="1609" w:type="dxa"/>
            <w:tcBorders>
              <w:top w:val="nil"/>
              <w:left w:val="nil"/>
              <w:bottom w:val="nil"/>
              <w:right w:val="nil"/>
            </w:tcBorders>
            <w:vAlign w:val="center"/>
          </w:tcPr>
          <w:p w14:paraId="4E67A161">
            <w:pPr>
              <w:keepNext w:val="0"/>
              <w:keepLines w:val="0"/>
              <w:widowControl/>
              <w:suppressLineNumbers w:val="0"/>
              <w:spacing w:after="0"/>
              <w:jc w:val="left"/>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W3</w:t>
            </w:r>
          </w:p>
        </w:tc>
        <w:tc>
          <w:tcPr>
            <w:tcW w:w="3687" w:type="dxa"/>
            <w:tcBorders>
              <w:top w:val="nil"/>
              <w:left w:val="nil"/>
              <w:bottom w:val="nil"/>
              <w:right w:val="nil"/>
            </w:tcBorders>
            <w:vAlign w:val="center"/>
          </w:tcPr>
          <w:p w14:paraId="051F9410">
            <w:pPr>
              <w:keepNext w:val="0"/>
              <w:keepLines w:val="0"/>
              <w:widowControl/>
              <w:suppressLineNumbers w:val="0"/>
              <w:spacing w:after="0"/>
              <w:jc w:val="left"/>
              <w:rPr>
                <w:rFonts w:hint="default" w:ascii="Times New Roman" w:hAnsi="Times New Roman" w:cs="Times New Roman"/>
                <w:sz w:val="18"/>
                <w:szCs w:val="18"/>
              </w:rPr>
            </w:pPr>
            <w:r>
              <w:rPr>
                <w:rFonts w:hint="default" w:ascii="Times New Roman" w:hAnsi="Times New Roman" w:eastAsia="宋体" w:cs="Times New Roman"/>
                <w:snapToGrid w:val="0"/>
                <w:color w:val="000000"/>
                <w:kern w:val="0"/>
                <w:sz w:val="18"/>
                <w:szCs w:val="18"/>
                <w:lang w:val="en-US" w:eastAsia="zh-CN" w:bidi="ar"/>
              </w:rPr>
              <w:t>Exit</w:t>
            </w:r>
            <w:r>
              <w:rPr>
                <w:rFonts w:hint="default" w:ascii="Times New Roman" w:hAnsi="Times New Roman" w:eastAsia="宋体" w:cs="Times New Roman"/>
                <w:snapToGrid w:val="0"/>
                <w:color w:val="000000"/>
                <w:kern w:val="0"/>
                <w:sz w:val="18"/>
                <w:szCs w:val="18"/>
                <w:lang w:val="en-US" w:eastAsia="zh-CN" w:bidi="ar"/>
              </w:rPr>
              <w:noBreakHyphen/>
            </w:r>
            <w:r>
              <w:rPr>
                <w:rFonts w:hint="default" w:ascii="Times New Roman" w:hAnsi="Times New Roman" w:eastAsia="宋体" w:cs="Times New Roman"/>
                <w:snapToGrid w:val="0"/>
                <w:color w:val="000000"/>
                <w:kern w:val="0"/>
                <w:sz w:val="18"/>
                <w:szCs w:val="18"/>
                <w:lang w:val="en-US" w:eastAsia="zh-CN" w:bidi="ar"/>
              </w:rPr>
              <w:t>A (stability) decision</w:t>
            </w:r>
          </w:p>
        </w:tc>
      </w:tr>
      <w:tr w14:paraId="50CC812B">
        <w:tblPrEx>
          <w:tblCellMar>
            <w:top w:w="43" w:type="dxa"/>
            <w:left w:w="0" w:type="dxa"/>
            <w:bottom w:w="0" w:type="dxa"/>
            <w:right w:w="0" w:type="dxa"/>
          </w:tblCellMar>
        </w:tblPrEx>
        <w:trPr>
          <w:trHeight w:val="503" w:hRule="atLeast"/>
        </w:trPr>
        <w:tc>
          <w:tcPr>
            <w:tcW w:w="1609" w:type="dxa"/>
            <w:tcBorders>
              <w:top w:val="nil"/>
              <w:left w:val="nil"/>
              <w:bottom w:val="nil"/>
              <w:right w:val="nil"/>
            </w:tcBorders>
            <w:vAlign w:val="center"/>
          </w:tcPr>
          <w:p w14:paraId="514CD634">
            <w:pPr>
              <w:keepNext w:val="0"/>
              <w:keepLines w:val="0"/>
              <w:widowControl/>
              <w:suppressLineNumbers w:val="0"/>
              <w:spacing w:after="0"/>
              <w:jc w:val="left"/>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W4</w:t>
            </w:r>
          </w:p>
        </w:tc>
        <w:tc>
          <w:tcPr>
            <w:tcW w:w="3687" w:type="dxa"/>
            <w:tcBorders>
              <w:top w:val="nil"/>
              <w:left w:val="nil"/>
              <w:bottom w:val="nil"/>
              <w:right w:val="nil"/>
            </w:tcBorders>
            <w:vAlign w:val="center"/>
          </w:tcPr>
          <w:p w14:paraId="2F6BFE8F">
            <w:pPr>
              <w:keepNext w:val="0"/>
              <w:keepLines w:val="0"/>
              <w:widowControl/>
              <w:suppressLineNumbers w:val="0"/>
              <w:spacing w:after="0"/>
              <w:jc w:val="left"/>
              <w:rPr>
                <w:rFonts w:hint="default" w:ascii="Times New Roman" w:hAnsi="Times New Roman" w:cs="Times New Roman"/>
                <w:sz w:val="18"/>
                <w:szCs w:val="18"/>
              </w:rPr>
            </w:pPr>
            <w:r>
              <w:rPr>
                <w:rFonts w:hint="default" w:ascii="Times New Roman" w:hAnsi="Times New Roman" w:eastAsia="宋体" w:cs="Times New Roman"/>
                <w:snapToGrid w:val="0"/>
                <w:color w:val="000000"/>
                <w:kern w:val="0"/>
                <w:sz w:val="18"/>
                <w:szCs w:val="18"/>
                <w:lang w:val="en-US" w:eastAsia="zh-CN" w:bidi="ar"/>
              </w:rPr>
              <w:t>Exit</w:t>
            </w:r>
            <w:r>
              <w:rPr>
                <w:rFonts w:hint="default" w:ascii="Times New Roman" w:hAnsi="Times New Roman" w:eastAsia="宋体" w:cs="Times New Roman"/>
                <w:snapToGrid w:val="0"/>
                <w:color w:val="000000"/>
                <w:kern w:val="0"/>
                <w:sz w:val="18"/>
                <w:szCs w:val="18"/>
                <w:lang w:val="en-US" w:eastAsia="zh-CN" w:bidi="ar"/>
              </w:rPr>
              <w:noBreakHyphen/>
            </w:r>
            <w:r>
              <w:rPr>
                <w:rFonts w:hint="default" w:ascii="Times New Roman" w:hAnsi="Times New Roman" w:eastAsia="宋体" w:cs="Times New Roman"/>
                <w:snapToGrid w:val="0"/>
                <w:color w:val="000000"/>
                <w:kern w:val="0"/>
                <w:sz w:val="18"/>
                <w:szCs w:val="18"/>
                <w:lang w:val="en-US" w:eastAsia="zh-CN" w:bidi="ar"/>
              </w:rPr>
              <w:t>B (champions) + CD plots</w:t>
            </w:r>
          </w:p>
        </w:tc>
      </w:tr>
      <w:tr w14:paraId="7B889201">
        <w:tblPrEx>
          <w:tblCellMar>
            <w:top w:w="43" w:type="dxa"/>
            <w:left w:w="0" w:type="dxa"/>
            <w:bottom w:w="0" w:type="dxa"/>
            <w:right w:w="0" w:type="dxa"/>
          </w:tblCellMar>
        </w:tblPrEx>
        <w:trPr>
          <w:trHeight w:val="598" w:hRule="atLeast"/>
        </w:trPr>
        <w:tc>
          <w:tcPr>
            <w:tcW w:w="1609" w:type="dxa"/>
            <w:tcBorders>
              <w:top w:val="nil"/>
              <w:left w:val="nil"/>
              <w:bottom w:val="nil"/>
              <w:right w:val="nil"/>
            </w:tcBorders>
            <w:vAlign w:val="center"/>
          </w:tcPr>
          <w:p w14:paraId="165BDAFE">
            <w:pPr>
              <w:keepNext w:val="0"/>
              <w:keepLines w:val="0"/>
              <w:widowControl/>
              <w:suppressLineNumbers w:val="0"/>
              <w:spacing w:after="0"/>
              <w:jc w:val="left"/>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W5–W6</w:t>
            </w:r>
          </w:p>
        </w:tc>
        <w:tc>
          <w:tcPr>
            <w:tcW w:w="3687" w:type="dxa"/>
            <w:tcBorders>
              <w:top w:val="nil"/>
              <w:left w:val="nil"/>
              <w:bottom w:val="nil"/>
              <w:right w:val="nil"/>
            </w:tcBorders>
            <w:vAlign w:val="center"/>
          </w:tcPr>
          <w:p w14:paraId="0D79A961">
            <w:pPr>
              <w:keepNext w:val="0"/>
              <w:keepLines w:val="0"/>
              <w:widowControl/>
              <w:suppressLineNumbers w:val="0"/>
              <w:spacing w:after="0"/>
              <w:jc w:val="left"/>
              <w:rPr>
                <w:rFonts w:hint="default" w:ascii="Times New Roman" w:hAnsi="Times New Roman" w:cs="Times New Roman"/>
                <w:sz w:val="18"/>
                <w:szCs w:val="18"/>
              </w:rPr>
            </w:pPr>
            <w:r>
              <w:rPr>
                <w:rFonts w:hint="default" w:ascii="Times New Roman" w:hAnsi="Times New Roman" w:eastAsia="宋体" w:cs="Times New Roman"/>
                <w:snapToGrid w:val="0"/>
                <w:color w:val="000000"/>
                <w:kern w:val="0"/>
                <w:sz w:val="18"/>
                <w:szCs w:val="18"/>
                <w:lang w:val="en-US" w:eastAsia="zh-CN" w:bidi="ar"/>
              </w:rPr>
              <w:t>Exit</w:t>
            </w:r>
            <w:r>
              <w:rPr>
                <w:rFonts w:hint="default" w:ascii="Times New Roman" w:hAnsi="Times New Roman" w:eastAsia="宋体" w:cs="Times New Roman"/>
                <w:snapToGrid w:val="0"/>
                <w:color w:val="000000"/>
                <w:kern w:val="0"/>
                <w:sz w:val="18"/>
                <w:szCs w:val="18"/>
                <w:lang w:val="en-US" w:eastAsia="zh-CN" w:bidi="ar"/>
              </w:rPr>
              <w:noBreakHyphen/>
            </w:r>
            <w:r>
              <w:rPr>
                <w:rFonts w:hint="default" w:ascii="Times New Roman" w:hAnsi="Times New Roman" w:eastAsia="宋体" w:cs="Times New Roman"/>
                <w:snapToGrid w:val="0"/>
                <w:color w:val="000000"/>
                <w:kern w:val="0"/>
                <w:sz w:val="18"/>
                <w:szCs w:val="18"/>
                <w:lang w:val="en-US" w:eastAsia="zh-CN" w:bidi="ar"/>
              </w:rPr>
              <w:t>C (transfer); F1–label</w:t>
            </w:r>
            <w:r>
              <w:rPr>
                <w:rFonts w:hint="default" w:ascii="Times New Roman" w:hAnsi="Times New Roman" w:eastAsia="宋体" w:cs="Times New Roman"/>
                <w:snapToGrid w:val="0"/>
                <w:color w:val="000000"/>
                <w:kern w:val="0"/>
                <w:sz w:val="18"/>
                <w:szCs w:val="18"/>
                <w:lang w:val="en-US" w:eastAsia="zh-CN" w:bidi="ar"/>
              </w:rPr>
              <w:noBreakHyphen/>
            </w:r>
            <w:r>
              <w:rPr>
                <w:rFonts w:hint="default" w:ascii="Times New Roman" w:hAnsi="Times New Roman" w:eastAsia="宋体" w:cs="Times New Roman"/>
                <w:snapToGrid w:val="0"/>
                <w:color w:val="000000"/>
                <w:kern w:val="0"/>
                <w:sz w:val="18"/>
                <w:szCs w:val="18"/>
                <w:lang w:val="en-US" w:eastAsia="zh-CN" w:bidi="ar"/>
              </w:rPr>
              <w:t>rate curves</w:t>
            </w:r>
          </w:p>
        </w:tc>
      </w:tr>
      <w:tr w14:paraId="5FC22399">
        <w:tblPrEx>
          <w:tblCellMar>
            <w:top w:w="43" w:type="dxa"/>
            <w:left w:w="0" w:type="dxa"/>
            <w:bottom w:w="0" w:type="dxa"/>
            <w:right w:w="0" w:type="dxa"/>
          </w:tblCellMar>
        </w:tblPrEx>
        <w:trPr>
          <w:trHeight w:val="598" w:hRule="atLeast"/>
        </w:trPr>
        <w:tc>
          <w:tcPr>
            <w:tcW w:w="1609" w:type="dxa"/>
            <w:tcBorders>
              <w:top w:val="nil"/>
              <w:left w:val="nil"/>
              <w:bottom w:val="nil"/>
              <w:right w:val="nil"/>
            </w:tcBorders>
            <w:vAlign w:val="center"/>
          </w:tcPr>
          <w:p w14:paraId="6308F0F5">
            <w:pPr>
              <w:keepNext w:val="0"/>
              <w:keepLines w:val="0"/>
              <w:widowControl/>
              <w:suppressLineNumbers w:val="0"/>
              <w:spacing w:after="0"/>
              <w:jc w:val="left"/>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W7</w:t>
            </w:r>
          </w:p>
        </w:tc>
        <w:tc>
          <w:tcPr>
            <w:tcW w:w="3687" w:type="dxa"/>
            <w:tcBorders>
              <w:top w:val="nil"/>
              <w:left w:val="nil"/>
              <w:bottom w:val="nil"/>
              <w:right w:val="nil"/>
            </w:tcBorders>
            <w:vAlign w:val="center"/>
          </w:tcPr>
          <w:p w14:paraId="2741900C">
            <w:pPr>
              <w:keepNext w:val="0"/>
              <w:keepLines w:val="0"/>
              <w:widowControl/>
              <w:suppressLineNumbers w:val="0"/>
              <w:spacing w:after="0"/>
              <w:jc w:val="left"/>
              <w:rPr>
                <w:rFonts w:hint="default" w:ascii="Times New Roman" w:hAnsi="Times New Roman" w:cs="Times New Roman"/>
                <w:sz w:val="18"/>
                <w:szCs w:val="18"/>
              </w:rPr>
            </w:pPr>
            <w:r>
              <w:rPr>
                <w:rFonts w:hint="default" w:ascii="Times New Roman" w:hAnsi="Times New Roman" w:eastAsia="宋体" w:cs="Times New Roman"/>
                <w:snapToGrid w:val="0"/>
                <w:color w:val="000000"/>
                <w:kern w:val="0"/>
                <w:sz w:val="18"/>
                <w:szCs w:val="18"/>
                <w:lang w:val="en-US" w:eastAsia="zh-CN" w:bidi="ar"/>
              </w:rPr>
              <w:t>Calibration pack (Temp/Isotonic + threshold); APS policy</w:t>
            </w:r>
          </w:p>
        </w:tc>
      </w:tr>
      <w:tr w14:paraId="5C7288D6">
        <w:tblPrEx>
          <w:tblCellMar>
            <w:top w:w="43" w:type="dxa"/>
            <w:left w:w="0" w:type="dxa"/>
            <w:bottom w:w="0" w:type="dxa"/>
            <w:right w:w="0" w:type="dxa"/>
          </w:tblCellMar>
        </w:tblPrEx>
        <w:trPr>
          <w:trHeight w:val="598" w:hRule="atLeast"/>
        </w:trPr>
        <w:tc>
          <w:tcPr>
            <w:tcW w:w="1609" w:type="dxa"/>
            <w:tcBorders>
              <w:top w:val="nil"/>
              <w:left w:val="nil"/>
              <w:bottom w:val="nil"/>
              <w:right w:val="nil"/>
            </w:tcBorders>
            <w:vAlign w:val="center"/>
          </w:tcPr>
          <w:p w14:paraId="2F279EF4">
            <w:pPr>
              <w:keepNext w:val="0"/>
              <w:keepLines w:val="0"/>
              <w:widowControl/>
              <w:suppressLineNumbers w:val="0"/>
              <w:spacing w:after="0"/>
              <w:jc w:val="left"/>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W8</w:t>
            </w:r>
          </w:p>
        </w:tc>
        <w:tc>
          <w:tcPr>
            <w:tcW w:w="3687" w:type="dxa"/>
            <w:tcBorders>
              <w:top w:val="nil"/>
              <w:left w:val="nil"/>
              <w:bottom w:val="nil"/>
              <w:right w:val="nil"/>
            </w:tcBorders>
            <w:vAlign w:val="center"/>
          </w:tcPr>
          <w:p w14:paraId="5674CED3">
            <w:pPr>
              <w:keepNext w:val="0"/>
              <w:keepLines w:val="0"/>
              <w:widowControl/>
              <w:suppressLineNumbers w:val="0"/>
              <w:spacing w:after="0"/>
              <w:jc w:val="left"/>
              <w:rPr>
                <w:rFonts w:hint="default" w:ascii="Times New Roman" w:hAnsi="Times New Roman" w:cs="Times New Roman"/>
                <w:sz w:val="18"/>
                <w:szCs w:val="18"/>
              </w:rPr>
            </w:pPr>
            <w:r>
              <w:rPr>
                <w:rFonts w:hint="default" w:ascii="Times New Roman" w:hAnsi="Times New Roman" w:eastAsia="宋体" w:cs="Times New Roman"/>
                <w:snapToGrid w:val="0"/>
                <w:color w:val="000000"/>
                <w:kern w:val="0"/>
                <w:sz w:val="18"/>
                <w:szCs w:val="18"/>
                <w:lang w:val="en-US" w:eastAsia="zh-CN" w:bidi="ar"/>
              </w:rPr>
              <w:t>Energy/Sampling/INT8; external</w:t>
            </w:r>
            <w:r>
              <w:rPr>
                <w:rFonts w:hint="default" w:ascii="Times New Roman" w:hAnsi="Times New Roman" w:eastAsia="宋体" w:cs="Times New Roman"/>
                <w:snapToGrid w:val="0"/>
                <w:color w:val="000000"/>
                <w:kern w:val="0"/>
                <w:sz w:val="18"/>
                <w:szCs w:val="18"/>
                <w:lang w:val="en-US" w:eastAsia="zh-CN" w:bidi="ar"/>
              </w:rPr>
              <w:noBreakHyphen/>
            </w:r>
            <w:r>
              <w:rPr>
                <w:rFonts w:hint="default" w:ascii="Times New Roman" w:hAnsi="Times New Roman" w:eastAsia="宋体" w:cs="Times New Roman"/>
                <w:snapToGrid w:val="0"/>
                <w:color w:val="000000"/>
                <w:kern w:val="0"/>
                <w:sz w:val="18"/>
                <w:szCs w:val="18"/>
                <w:lang w:val="en-US" w:eastAsia="zh-CN" w:bidi="ar"/>
              </w:rPr>
              <w:t>meter spot</w:t>
            </w:r>
            <w:r>
              <w:rPr>
                <w:rFonts w:hint="default" w:ascii="Times New Roman" w:hAnsi="Times New Roman" w:eastAsia="宋体" w:cs="Times New Roman"/>
                <w:snapToGrid w:val="0"/>
                <w:color w:val="000000"/>
                <w:kern w:val="0"/>
                <w:sz w:val="18"/>
                <w:szCs w:val="18"/>
                <w:lang w:val="en-US" w:eastAsia="zh-CN" w:bidi="ar"/>
              </w:rPr>
              <w:noBreakHyphen/>
            </w:r>
            <w:r>
              <w:rPr>
                <w:rFonts w:hint="default" w:ascii="Times New Roman" w:hAnsi="Times New Roman" w:eastAsia="宋体" w:cs="Times New Roman"/>
                <w:snapToGrid w:val="0"/>
                <w:color w:val="000000"/>
                <w:kern w:val="0"/>
                <w:sz w:val="18"/>
                <w:szCs w:val="18"/>
                <w:lang w:val="en-US" w:eastAsia="zh-CN" w:bidi="ar"/>
              </w:rPr>
              <w:t>checks</w:t>
            </w:r>
          </w:p>
        </w:tc>
      </w:tr>
      <w:tr w14:paraId="0F20A116">
        <w:tblPrEx>
          <w:tblCellMar>
            <w:top w:w="43" w:type="dxa"/>
            <w:left w:w="0" w:type="dxa"/>
            <w:bottom w:w="0" w:type="dxa"/>
            <w:right w:w="0" w:type="dxa"/>
          </w:tblCellMar>
        </w:tblPrEx>
        <w:trPr>
          <w:trHeight w:val="598" w:hRule="atLeast"/>
        </w:trPr>
        <w:tc>
          <w:tcPr>
            <w:tcW w:w="1609" w:type="dxa"/>
            <w:tcBorders>
              <w:top w:val="nil"/>
              <w:left w:val="nil"/>
              <w:bottom w:val="nil"/>
              <w:right w:val="nil"/>
            </w:tcBorders>
            <w:vAlign w:val="center"/>
          </w:tcPr>
          <w:p w14:paraId="11594D31">
            <w:pPr>
              <w:keepNext w:val="0"/>
              <w:keepLines w:val="0"/>
              <w:widowControl/>
              <w:suppressLineNumbers w:val="0"/>
              <w:spacing w:after="0"/>
              <w:jc w:val="left"/>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W9</w:t>
            </w:r>
          </w:p>
        </w:tc>
        <w:tc>
          <w:tcPr>
            <w:tcW w:w="3687" w:type="dxa"/>
            <w:tcBorders>
              <w:top w:val="nil"/>
              <w:left w:val="nil"/>
              <w:bottom w:val="nil"/>
              <w:right w:val="nil"/>
            </w:tcBorders>
            <w:vAlign w:val="center"/>
          </w:tcPr>
          <w:p w14:paraId="262575E5">
            <w:pPr>
              <w:keepNext w:val="0"/>
              <w:keepLines w:val="0"/>
              <w:widowControl/>
              <w:suppressLineNumbers w:val="0"/>
              <w:spacing w:after="0"/>
              <w:jc w:val="left"/>
              <w:rPr>
                <w:rFonts w:hint="default" w:ascii="Times New Roman" w:hAnsi="Times New Roman" w:cs="Times New Roman"/>
                <w:sz w:val="18"/>
                <w:szCs w:val="18"/>
              </w:rPr>
            </w:pPr>
            <w:r>
              <w:rPr>
                <w:rFonts w:hint="default" w:ascii="Times New Roman" w:hAnsi="Times New Roman" w:eastAsia="宋体" w:cs="Times New Roman"/>
                <w:snapToGrid w:val="0"/>
                <w:color w:val="000000"/>
                <w:kern w:val="0"/>
                <w:sz w:val="18"/>
                <w:szCs w:val="18"/>
                <w:lang w:val="en-US" w:eastAsia="zh-CN" w:bidi="ar"/>
              </w:rPr>
              <w:t>OOD/robustness; selective</w:t>
            </w:r>
            <w:r>
              <w:rPr>
                <w:rFonts w:hint="default" w:ascii="Times New Roman" w:hAnsi="Times New Roman" w:eastAsia="宋体" w:cs="Times New Roman"/>
                <w:snapToGrid w:val="0"/>
                <w:color w:val="000000"/>
                <w:kern w:val="0"/>
                <w:sz w:val="18"/>
                <w:szCs w:val="18"/>
                <w:lang w:val="en-US" w:eastAsia="zh-CN" w:bidi="ar"/>
              </w:rPr>
              <w:noBreakHyphen/>
            </w:r>
            <w:r>
              <w:rPr>
                <w:rFonts w:hint="default" w:ascii="Times New Roman" w:hAnsi="Times New Roman" w:eastAsia="宋体" w:cs="Times New Roman"/>
                <w:snapToGrid w:val="0"/>
                <w:color w:val="000000"/>
                <w:kern w:val="0"/>
                <w:sz w:val="18"/>
                <w:szCs w:val="18"/>
                <w:lang w:val="en-US" w:eastAsia="zh-CN" w:bidi="ar"/>
              </w:rPr>
              <w:t>then</w:t>
            </w:r>
            <w:r>
              <w:rPr>
                <w:rFonts w:hint="default" w:ascii="Times New Roman" w:hAnsi="Times New Roman" w:eastAsia="宋体" w:cs="Times New Roman"/>
                <w:snapToGrid w:val="0"/>
                <w:color w:val="000000"/>
                <w:kern w:val="0"/>
                <w:sz w:val="18"/>
                <w:szCs w:val="18"/>
                <w:lang w:val="en-US" w:eastAsia="zh-CN" w:bidi="ar"/>
              </w:rPr>
              <w:noBreakHyphen/>
            </w:r>
            <w:r>
              <w:rPr>
                <w:rFonts w:hint="default" w:ascii="Times New Roman" w:hAnsi="Times New Roman" w:eastAsia="宋体" w:cs="Times New Roman"/>
                <w:snapToGrid w:val="0"/>
                <w:color w:val="000000"/>
                <w:kern w:val="0"/>
                <w:sz w:val="18"/>
                <w:szCs w:val="18"/>
                <w:lang w:val="en-US" w:eastAsia="zh-CN" w:bidi="ar"/>
              </w:rPr>
              <w:t>APS tuning; stats packaging</w:t>
            </w:r>
          </w:p>
        </w:tc>
      </w:tr>
      <w:tr w14:paraId="5700297D">
        <w:tblPrEx>
          <w:tblCellMar>
            <w:top w:w="43" w:type="dxa"/>
            <w:left w:w="0" w:type="dxa"/>
            <w:bottom w:w="0" w:type="dxa"/>
            <w:right w:w="0" w:type="dxa"/>
          </w:tblCellMar>
        </w:tblPrEx>
        <w:trPr>
          <w:trHeight w:val="598" w:hRule="atLeast"/>
        </w:trPr>
        <w:tc>
          <w:tcPr>
            <w:tcW w:w="1609" w:type="dxa"/>
            <w:tcBorders>
              <w:top w:val="nil"/>
              <w:left w:val="nil"/>
              <w:bottom w:val="single" w:color="000000" w:sz="6" w:space="0"/>
              <w:right w:val="nil"/>
            </w:tcBorders>
            <w:vAlign w:val="center"/>
          </w:tcPr>
          <w:p w14:paraId="1612AD59">
            <w:pPr>
              <w:keepNext w:val="0"/>
              <w:keepLines w:val="0"/>
              <w:widowControl/>
              <w:suppressLineNumbers w:val="0"/>
              <w:spacing w:after="0"/>
              <w:jc w:val="left"/>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W10</w:t>
            </w:r>
          </w:p>
        </w:tc>
        <w:tc>
          <w:tcPr>
            <w:tcW w:w="3687" w:type="dxa"/>
            <w:tcBorders>
              <w:top w:val="nil"/>
              <w:left w:val="nil"/>
              <w:bottom w:val="single" w:color="000000" w:sz="6" w:space="0"/>
              <w:right w:val="nil"/>
            </w:tcBorders>
            <w:vAlign w:val="center"/>
          </w:tcPr>
          <w:p w14:paraId="17A1C7EC">
            <w:pPr>
              <w:keepNext w:val="0"/>
              <w:keepLines w:val="0"/>
              <w:widowControl/>
              <w:suppressLineNumbers w:val="0"/>
              <w:spacing w:after="0"/>
              <w:jc w:val="left"/>
              <w:rPr>
                <w:rFonts w:hint="default" w:ascii="Times New Roman" w:hAnsi="Times New Roman" w:cs="Times New Roman"/>
                <w:sz w:val="18"/>
                <w:szCs w:val="18"/>
              </w:rPr>
            </w:pPr>
            <w:r>
              <w:rPr>
                <w:rFonts w:hint="default" w:ascii="Times New Roman" w:hAnsi="Times New Roman" w:eastAsia="宋体" w:cs="Times New Roman"/>
                <w:snapToGrid w:val="0"/>
                <w:color w:val="000000"/>
                <w:kern w:val="0"/>
                <w:sz w:val="18"/>
                <w:szCs w:val="18"/>
                <w:lang w:val="en-US" w:eastAsia="zh-CN" w:bidi="ar"/>
              </w:rPr>
              <w:t>Release bundle (cards, logs, lockfile, Docker, commit hash)</w:t>
            </w:r>
          </w:p>
        </w:tc>
      </w:tr>
    </w:tbl>
    <w:p w14:paraId="3F50750D">
      <w:pPr>
        <w:pStyle w:val="2"/>
        <w:spacing w:before="196" w:line="344" w:lineRule="auto"/>
        <w:ind w:right="54"/>
        <w:rPr>
          <w:rFonts w:hint="default" w:ascii="Times New Roman" w:hAnsi="Times New Roman" w:eastAsia="宋体" w:cs="Times New Roman"/>
          <w:sz w:val="21"/>
          <w:szCs w:val="21"/>
        </w:rPr>
      </w:pPr>
    </w:p>
    <w:p w14:paraId="0A8DE173">
      <w:pPr>
        <w:pStyle w:val="2"/>
        <w:spacing w:before="196" w:line="344" w:lineRule="auto"/>
        <w:ind w:right="54"/>
        <w:rPr>
          <w:rFonts w:hint="default" w:ascii="Times New Roman" w:hAnsi="Times New Roman" w:eastAsia="宋体" w:cs="Times New Roman"/>
          <w:sz w:val="21"/>
          <w:szCs w:val="21"/>
        </w:rPr>
      </w:pPr>
    </w:p>
    <w:p w14:paraId="192524DC">
      <w:pPr>
        <w:pStyle w:val="2"/>
        <w:spacing w:before="196" w:line="344" w:lineRule="auto"/>
        <w:ind w:left="476" w:right="54" w:hanging="368" w:hangingChars="200"/>
        <w:jc w:val="center"/>
        <w:rPr>
          <w:sz w:val="18"/>
          <w:szCs w:val="18"/>
        </w:rPr>
      </w:pPr>
      <w:r>
        <w:rPr>
          <w:color w:val="231F20"/>
          <w:spacing w:val="2"/>
          <w:sz w:val="18"/>
          <w:szCs w:val="18"/>
        </w:rPr>
        <w:t>TABLE</w:t>
      </w:r>
      <w:r>
        <w:rPr>
          <w:color w:val="231F20"/>
          <w:spacing w:val="20"/>
          <w:w w:val="102"/>
          <w:sz w:val="18"/>
          <w:szCs w:val="18"/>
        </w:rPr>
        <w:t xml:space="preserve"> </w:t>
      </w:r>
      <w:r>
        <w:rPr>
          <w:rFonts w:hint="eastAsia" w:eastAsia="宋体"/>
          <w:color w:val="231F20"/>
          <w:spacing w:val="20"/>
          <w:w w:val="102"/>
          <w:sz w:val="18"/>
          <w:szCs w:val="18"/>
          <w:lang w:val="en-US" w:eastAsia="zh-CN"/>
        </w:rPr>
        <w:t>4</w:t>
      </w:r>
      <w:r>
        <w:rPr>
          <w:color w:val="231F20"/>
          <w:spacing w:val="2"/>
          <w:sz w:val="18"/>
          <w:szCs w:val="18"/>
        </w:rPr>
        <w:t>.</w:t>
      </w:r>
      <w:r>
        <w:rPr>
          <w:color w:val="231F20"/>
          <w:spacing w:val="10"/>
          <w:w w:val="102"/>
          <w:sz w:val="18"/>
          <w:szCs w:val="18"/>
        </w:rPr>
        <w:t xml:space="preserve"> </w:t>
      </w:r>
      <w:r>
        <w:rPr>
          <w:rFonts w:hint="eastAsia"/>
          <w:color w:val="231F20"/>
          <w:spacing w:val="2"/>
          <w:sz w:val="18"/>
          <w:szCs w:val="18"/>
        </w:rPr>
        <w:t>Risk register</w:t>
      </w:r>
    </w:p>
    <w:tbl>
      <w:tblPr>
        <w:tblStyle w:val="10"/>
        <w:tblpPr w:leftFromText="180" w:rightFromText="180" w:vertAnchor="text" w:horzAnchor="page" w:tblpX="1534" w:tblpY="23"/>
        <w:tblOverlap w:val="never"/>
        <w:tblW w:w="9296" w:type="dxa"/>
        <w:tblInd w:w="0" w:type="dxa"/>
        <w:tblLayout w:type="autofit"/>
        <w:tblCellMar>
          <w:top w:w="43" w:type="dxa"/>
          <w:left w:w="0" w:type="dxa"/>
          <w:bottom w:w="0" w:type="dxa"/>
          <w:right w:w="0" w:type="dxa"/>
        </w:tblCellMar>
      </w:tblPr>
      <w:tblGrid>
        <w:gridCol w:w="1212"/>
        <w:gridCol w:w="2779"/>
        <w:gridCol w:w="1697"/>
        <w:gridCol w:w="1804"/>
        <w:gridCol w:w="1804"/>
      </w:tblGrid>
      <w:tr w14:paraId="1CE98832">
        <w:tblPrEx>
          <w:tblCellMar>
            <w:top w:w="43" w:type="dxa"/>
            <w:left w:w="0" w:type="dxa"/>
            <w:bottom w:w="0" w:type="dxa"/>
            <w:right w:w="0" w:type="dxa"/>
          </w:tblCellMar>
        </w:tblPrEx>
        <w:trPr>
          <w:trHeight w:val="699" w:hRule="atLeast"/>
        </w:trPr>
        <w:tc>
          <w:tcPr>
            <w:tcW w:w="1212" w:type="dxa"/>
            <w:tcBorders>
              <w:top w:val="single" w:color="000000" w:sz="6" w:space="0"/>
              <w:left w:val="nil"/>
              <w:bottom w:val="single" w:color="000000" w:sz="4" w:space="0"/>
              <w:right w:val="nil"/>
            </w:tcBorders>
            <w:vAlign w:val="center"/>
          </w:tcPr>
          <w:p w14:paraId="30067AC0">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b/>
                <w:bCs/>
                <w:snapToGrid w:val="0"/>
                <w:color w:val="000000"/>
                <w:kern w:val="0"/>
                <w:sz w:val="18"/>
                <w:szCs w:val="18"/>
                <w:lang w:val="en-US" w:eastAsia="zh-CN" w:bidi="ar"/>
              </w:rPr>
              <w:t>Risk</w:t>
            </w:r>
          </w:p>
        </w:tc>
        <w:tc>
          <w:tcPr>
            <w:tcW w:w="2779" w:type="dxa"/>
            <w:tcBorders>
              <w:top w:val="single" w:color="000000" w:sz="6" w:space="0"/>
              <w:left w:val="nil"/>
              <w:bottom w:val="single" w:color="000000" w:sz="4" w:space="0"/>
              <w:right w:val="nil"/>
            </w:tcBorders>
            <w:vAlign w:val="center"/>
          </w:tcPr>
          <w:p w14:paraId="3D5A18C2">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b/>
                <w:bCs/>
                <w:snapToGrid w:val="0"/>
                <w:color w:val="000000"/>
                <w:kern w:val="0"/>
                <w:sz w:val="18"/>
                <w:szCs w:val="18"/>
                <w:lang w:val="en-US" w:eastAsia="zh-CN" w:bidi="ar"/>
              </w:rPr>
              <w:t>Trigger</w:t>
            </w:r>
          </w:p>
        </w:tc>
        <w:tc>
          <w:tcPr>
            <w:tcW w:w="1697" w:type="dxa"/>
            <w:tcBorders>
              <w:top w:val="single" w:color="000000" w:sz="6" w:space="0"/>
              <w:left w:val="nil"/>
              <w:bottom w:val="single" w:color="000000" w:sz="4" w:space="0"/>
              <w:right w:val="nil"/>
            </w:tcBorders>
            <w:vAlign w:val="center"/>
          </w:tcPr>
          <w:p w14:paraId="64D413FD">
            <w:pPr>
              <w:keepNext w:val="0"/>
              <w:keepLines w:val="0"/>
              <w:widowControl/>
              <w:suppressLineNumbers w:val="0"/>
              <w:spacing w:after="0"/>
              <w:jc w:val="center"/>
              <w:rPr>
                <w:rFonts w:hint="default" w:ascii="Times New Roman" w:hAnsi="Times New Roman" w:cs="Times New Roman"/>
                <w:sz w:val="18"/>
                <w:szCs w:val="18"/>
              </w:rPr>
            </w:pPr>
            <w:r>
              <w:rPr>
                <w:rFonts w:hint="default" w:ascii="Times New Roman" w:hAnsi="Times New Roman" w:eastAsia="宋体" w:cs="Times New Roman"/>
                <w:b/>
                <w:bCs/>
                <w:snapToGrid w:val="0"/>
                <w:color w:val="000000"/>
                <w:kern w:val="0"/>
                <w:sz w:val="18"/>
                <w:szCs w:val="18"/>
                <w:lang w:val="en-US" w:eastAsia="zh-CN" w:bidi="ar"/>
              </w:rPr>
              <w:t>Impact</w:t>
            </w:r>
          </w:p>
        </w:tc>
        <w:tc>
          <w:tcPr>
            <w:tcW w:w="1804" w:type="dxa"/>
            <w:tcBorders>
              <w:top w:val="single" w:color="000000" w:sz="6" w:space="0"/>
              <w:left w:val="nil"/>
              <w:bottom w:val="single" w:color="000000" w:sz="4" w:space="0"/>
              <w:right w:val="nil"/>
            </w:tcBorders>
            <w:vAlign w:val="center"/>
          </w:tcPr>
          <w:p w14:paraId="2A83801A">
            <w:pPr>
              <w:keepNext w:val="0"/>
              <w:keepLines w:val="0"/>
              <w:widowControl/>
              <w:suppressLineNumbers w:val="0"/>
              <w:spacing w:after="0"/>
              <w:jc w:val="center"/>
              <w:rPr>
                <w:rFonts w:hint="default" w:ascii="Times New Roman" w:hAnsi="Times New Roman" w:cs="Times New Roman"/>
                <w:b/>
                <w:sz w:val="18"/>
                <w:szCs w:val="18"/>
              </w:rPr>
            </w:pPr>
            <w:r>
              <w:rPr>
                <w:rFonts w:hint="default" w:ascii="Times New Roman" w:hAnsi="Times New Roman" w:eastAsia="宋体" w:cs="Times New Roman"/>
                <w:b/>
                <w:bCs/>
                <w:snapToGrid w:val="0"/>
                <w:color w:val="000000"/>
                <w:kern w:val="0"/>
                <w:sz w:val="18"/>
                <w:szCs w:val="18"/>
                <w:lang w:val="en-US" w:eastAsia="zh-CN" w:bidi="ar"/>
              </w:rPr>
              <w:t>Mitigation</w:t>
            </w:r>
          </w:p>
        </w:tc>
        <w:tc>
          <w:tcPr>
            <w:tcW w:w="1804" w:type="dxa"/>
            <w:tcBorders>
              <w:top w:val="single" w:color="000000" w:sz="6" w:space="0"/>
              <w:left w:val="nil"/>
              <w:bottom w:val="single" w:color="000000" w:sz="4" w:space="0"/>
              <w:right w:val="nil"/>
            </w:tcBorders>
            <w:vAlign w:val="center"/>
          </w:tcPr>
          <w:p w14:paraId="4B2A4114">
            <w:pPr>
              <w:keepNext w:val="0"/>
              <w:keepLines w:val="0"/>
              <w:widowControl/>
              <w:suppressLineNumbers w:val="0"/>
              <w:spacing w:after="0"/>
              <w:jc w:val="center"/>
              <w:rPr>
                <w:rFonts w:hint="default" w:ascii="Times New Roman" w:hAnsi="Times New Roman" w:eastAsia="宋体" w:cs="Times New Roman"/>
                <w:b/>
                <w:bCs/>
                <w:snapToGrid w:val="0"/>
                <w:color w:val="000000"/>
                <w:kern w:val="0"/>
                <w:sz w:val="18"/>
                <w:szCs w:val="18"/>
                <w:lang w:val="en-US" w:eastAsia="zh-CN" w:bidi="ar"/>
              </w:rPr>
            </w:pPr>
            <w:r>
              <w:rPr>
                <w:rFonts w:hint="default" w:ascii="Times New Roman" w:hAnsi="Times New Roman" w:eastAsia="宋体" w:cs="Times New Roman"/>
                <w:b/>
                <w:bCs/>
                <w:snapToGrid w:val="0"/>
                <w:color w:val="000000"/>
                <w:kern w:val="0"/>
                <w:sz w:val="18"/>
                <w:szCs w:val="18"/>
                <w:lang w:val="en-US" w:eastAsia="zh-CN" w:bidi="ar"/>
              </w:rPr>
              <w:t>Residual</w:t>
            </w:r>
          </w:p>
        </w:tc>
      </w:tr>
      <w:tr w14:paraId="1611261D">
        <w:tblPrEx>
          <w:tblCellMar>
            <w:top w:w="43" w:type="dxa"/>
            <w:left w:w="0" w:type="dxa"/>
            <w:bottom w:w="0" w:type="dxa"/>
            <w:right w:w="0" w:type="dxa"/>
          </w:tblCellMar>
        </w:tblPrEx>
        <w:trPr>
          <w:trHeight w:val="637" w:hRule="atLeast"/>
        </w:trPr>
        <w:tc>
          <w:tcPr>
            <w:tcW w:w="1212" w:type="dxa"/>
            <w:tcBorders>
              <w:top w:val="single" w:color="000000" w:sz="4" w:space="0"/>
              <w:left w:val="nil"/>
              <w:bottom w:val="nil"/>
              <w:right w:val="nil"/>
            </w:tcBorders>
            <w:vAlign w:val="center"/>
          </w:tcPr>
          <w:p w14:paraId="5E156BC8">
            <w:pPr>
              <w:keepNext w:val="0"/>
              <w:keepLines w:val="0"/>
              <w:widowControl/>
              <w:suppressLineNumbers w:val="0"/>
              <w:spacing w:after="0"/>
              <w:jc w:val="center"/>
              <w:rPr>
                <w:rFonts w:hint="default" w:ascii="Times New Roman" w:hAnsi="Times New Roman" w:cs="Times New Roman"/>
                <w:sz w:val="18"/>
                <w:szCs w:val="18"/>
                <w:lang w:val="en-US"/>
              </w:rPr>
            </w:pPr>
            <w:r>
              <w:rPr>
                <w:rFonts w:hint="default" w:ascii="Times New Roman" w:hAnsi="Times New Roman" w:eastAsia="宋体" w:cs="Times New Roman"/>
                <w:snapToGrid w:val="0"/>
                <w:color w:val="000000"/>
                <w:kern w:val="0"/>
                <w:sz w:val="18"/>
                <w:szCs w:val="18"/>
                <w:lang w:val="en-US" w:eastAsia="zh-CN" w:bidi="ar"/>
              </w:rPr>
              <w:t>Energy telemetry drift</w:t>
            </w:r>
          </w:p>
        </w:tc>
        <w:tc>
          <w:tcPr>
            <w:tcW w:w="2779" w:type="dxa"/>
            <w:tcBorders>
              <w:top w:val="single" w:color="000000" w:sz="4" w:space="0"/>
              <w:left w:val="nil"/>
              <w:bottom w:val="nil"/>
              <w:right w:val="nil"/>
            </w:tcBorders>
            <w:vAlign w:val="center"/>
          </w:tcPr>
          <w:p w14:paraId="2F79BBA5">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Thermal throttling/background tasks</w:t>
            </w:r>
          </w:p>
        </w:tc>
        <w:tc>
          <w:tcPr>
            <w:tcW w:w="1697" w:type="dxa"/>
            <w:tcBorders>
              <w:top w:val="single" w:color="000000" w:sz="4" w:space="0"/>
              <w:left w:val="nil"/>
              <w:bottom w:val="nil"/>
              <w:right w:val="nil"/>
            </w:tcBorders>
            <w:vAlign w:val="center"/>
          </w:tcPr>
          <w:p w14:paraId="41539BC9">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Biased energy</w:t>
            </w:r>
          </w:p>
        </w:tc>
        <w:tc>
          <w:tcPr>
            <w:tcW w:w="1804" w:type="dxa"/>
            <w:tcBorders>
              <w:top w:val="single" w:color="000000" w:sz="4" w:space="0"/>
              <w:left w:val="nil"/>
              <w:bottom w:val="nil"/>
              <w:right w:val="nil"/>
            </w:tcBorders>
            <w:vAlign w:val="center"/>
          </w:tcPr>
          <w:p w14:paraId="2B987FEF">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 xml:space="preserve">Interleaving; MAD filter; cold/warm runs; </w:t>
            </w:r>
            <w:r>
              <w:rPr>
                <w:rStyle w:val="5"/>
                <w:rFonts w:hint="default" w:ascii="Times New Roman" w:hAnsi="Times New Roman" w:eastAsia="宋体" w:cs="Times New Roman"/>
                <w:snapToGrid w:val="0"/>
                <w:color w:val="000000"/>
                <w:kern w:val="0"/>
                <w:sz w:val="18"/>
                <w:szCs w:val="18"/>
                <w:lang w:val="en-US" w:eastAsia="zh-CN" w:bidi="ar"/>
              </w:rPr>
              <w:t>USB meter 10</w:t>
            </w:r>
            <w:r>
              <w:rPr>
                <w:rStyle w:val="5"/>
                <w:rFonts w:hint="default" w:ascii="Times New Roman" w:hAnsi="Times New Roman" w:eastAsia="宋体" w:cs="Times New Roman"/>
                <w:snapToGrid w:val="0"/>
                <w:color w:val="000000"/>
                <w:kern w:val="0"/>
                <w:sz w:val="18"/>
                <w:szCs w:val="18"/>
                <w:lang w:val="en-US" w:eastAsia="zh-CN" w:bidi="ar"/>
              </w:rPr>
              <w:noBreakHyphen/>
            </w:r>
            <w:r>
              <w:rPr>
                <w:rStyle w:val="5"/>
                <w:rFonts w:hint="default" w:ascii="Times New Roman" w:hAnsi="Times New Roman" w:eastAsia="宋体" w:cs="Times New Roman"/>
                <w:snapToGrid w:val="0"/>
                <w:color w:val="000000"/>
                <w:kern w:val="0"/>
                <w:sz w:val="18"/>
                <w:szCs w:val="18"/>
                <w:lang w:val="en-US" w:eastAsia="zh-CN" w:bidi="ar"/>
              </w:rPr>
              <w:t>trial</w:t>
            </w:r>
            <w:r>
              <w:rPr>
                <w:rFonts w:hint="default" w:ascii="Times New Roman" w:hAnsi="Times New Roman" w:eastAsia="宋体" w:cs="Times New Roman"/>
                <w:snapToGrid w:val="0"/>
                <w:color w:val="000000"/>
                <w:kern w:val="0"/>
                <w:sz w:val="18"/>
                <w:szCs w:val="18"/>
                <w:lang w:val="en-US" w:eastAsia="zh-CN" w:bidi="ar"/>
              </w:rPr>
              <w:t xml:space="preserve"> spot</w:t>
            </w:r>
            <w:r>
              <w:rPr>
                <w:rFonts w:hint="default" w:ascii="Times New Roman" w:hAnsi="Times New Roman" w:eastAsia="宋体" w:cs="Times New Roman"/>
                <w:snapToGrid w:val="0"/>
                <w:color w:val="000000"/>
                <w:kern w:val="0"/>
                <w:sz w:val="18"/>
                <w:szCs w:val="18"/>
                <w:lang w:val="en-US" w:eastAsia="zh-CN" w:bidi="ar"/>
              </w:rPr>
              <w:noBreakHyphen/>
            </w:r>
            <w:r>
              <w:rPr>
                <w:rFonts w:hint="default" w:ascii="Times New Roman" w:hAnsi="Times New Roman" w:eastAsia="宋体" w:cs="Times New Roman"/>
                <w:snapToGrid w:val="0"/>
                <w:color w:val="000000"/>
                <w:kern w:val="0"/>
                <w:sz w:val="18"/>
                <w:szCs w:val="18"/>
                <w:lang w:val="en-US" w:eastAsia="zh-CN" w:bidi="ar"/>
              </w:rPr>
              <w:t>check</w:t>
            </w:r>
          </w:p>
        </w:tc>
        <w:tc>
          <w:tcPr>
            <w:tcW w:w="1804" w:type="dxa"/>
            <w:tcBorders>
              <w:top w:val="single" w:color="000000" w:sz="4" w:space="0"/>
              <w:left w:val="nil"/>
              <w:bottom w:val="nil"/>
              <w:right w:val="nil"/>
            </w:tcBorders>
            <w:vAlign w:val="center"/>
          </w:tcPr>
          <w:p w14:paraId="6FFD4E00">
            <w:pPr>
              <w:keepNext w:val="0"/>
              <w:keepLines w:val="0"/>
              <w:widowControl/>
              <w:suppressLineNumbers w:val="0"/>
              <w:spacing w:after="0"/>
              <w:jc w:val="center"/>
              <w:rPr>
                <w:rFonts w:hint="default" w:ascii="Times New Roman" w:hAnsi="Times New Roman" w:eastAsia="宋体" w:cs="Times New Roman"/>
                <w:snapToGrid w:val="0"/>
                <w:color w:val="000000"/>
                <w:kern w:val="0"/>
                <w:sz w:val="18"/>
                <w:szCs w:val="18"/>
                <w:lang w:val="en-US" w:eastAsia="zh-CN" w:bidi="ar"/>
              </w:rPr>
            </w:pPr>
            <w:r>
              <w:rPr>
                <w:rFonts w:hint="default" w:ascii="Times New Roman" w:hAnsi="Times New Roman" w:eastAsia="宋体" w:cs="Times New Roman"/>
                <w:snapToGrid w:val="0"/>
                <w:color w:val="000000"/>
                <w:kern w:val="0"/>
                <w:sz w:val="18"/>
                <w:szCs w:val="18"/>
                <w:lang w:val="en-US" w:eastAsia="zh-CN" w:bidi="ar"/>
              </w:rPr>
              <w:t>Low–Med</w:t>
            </w:r>
          </w:p>
        </w:tc>
      </w:tr>
      <w:tr w14:paraId="328A0F8B">
        <w:tblPrEx>
          <w:tblCellMar>
            <w:top w:w="43" w:type="dxa"/>
            <w:left w:w="0" w:type="dxa"/>
            <w:bottom w:w="0" w:type="dxa"/>
            <w:right w:w="0" w:type="dxa"/>
          </w:tblCellMar>
        </w:tblPrEx>
        <w:trPr>
          <w:trHeight w:val="988" w:hRule="atLeast"/>
        </w:trPr>
        <w:tc>
          <w:tcPr>
            <w:tcW w:w="1212" w:type="dxa"/>
            <w:tcBorders>
              <w:top w:val="nil"/>
              <w:left w:val="nil"/>
              <w:bottom w:val="nil"/>
              <w:right w:val="nil"/>
            </w:tcBorders>
            <w:vAlign w:val="center"/>
          </w:tcPr>
          <w:p w14:paraId="7503FB85">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Label taxonomy conflicts</w:t>
            </w:r>
          </w:p>
        </w:tc>
        <w:tc>
          <w:tcPr>
            <w:tcW w:w="2779" w:type="dxa"/>
            <w:tcBorders>
              <w:top w:val="nil"/>
              <w:left w:val="nil"/>
              <w:bottom w:val="nil"/>
              <w:right w:val="nil"/>
            </w:tcBorders>
            <w:vAlign w:val="center"/>
          </w:tcPr>
          <w:p w14:paraId="417DE48A">
            <w:pPr>
              <w:keepNext w:val="0"/>
              <w:keepLines w:val="0"/>
              <w:widowControl/>
              <w:suppressLineNumbers w:val="0"/>
              <w:spacing w:after="0"/>
              <w:jc w:val="center"/>
              <w:rPr>
                <w:rFonts w:hint="default" w:ascii="Times New Roman" w:hAnsi="Times New Roman" w:cs="Times New Roman"/>
                <w:sz w:val="18"/>
                <w:szCs w:val="18"/>
              </w:rPr>
            </w:pPr>
            <w:r>
              <w:rPr>
                <w:rFonts w:hint="default" w:ascii="Times New Roman" w:hAnsi="Times New Roman" w:eastAsia="宋体" w:cs="Times New Roman"/>
                <w:snapToGrid w:val="0"/>
                <w:color w:val="000000"/>
                <w:kern w:val="0"/>
                <w:sz w:val="18"/>
                <w:szCs w:val="18"/>
                <w:lang w:val="en-US" w:eastAsia="zh-CN" w:bidi="ar"/>
              </w:rPr>
              <w:t>Non</w:t>
            </w:r>
            <w:r>
              <w:rPr>
                <w:rFonts w:hint="default" w:ascii="Times New Roman" w:hAnsi="Times New Roman" w:eastAsia="宋体" w:cs="Times New Roman"/>
                <w:snapToGrid w:val="0"/>
                <w:color w:val="000000"/>
                <w:kern w:val="0"/>
                <w:sz w:val="18"/>
                <w:szCs w:val="18"/>
                <w:lang w:val="en-US" w:eastAsia="zh-CN" w:bidi="ar"/>
              </w:rPr>
              <w:noBreakHyphen/>
            </w:r>
            <w:r>
              <w:rPr>
                <w:rFonts w:hint="default" w:ascii="Times New Roman" w:hAnsi="Times New Roman" w:eastAsia="宋体" w:cs="Times New Roman"/>
                <w:snapToGrid w:val="0"/>
                <w:color w:val="000000"/>
                <w:kern w:val="0"/>
                <w:sz w:val="18"/>
                <w:szCs w:val="18"/>
                <w:lang w:val="en-US" w:eastAsia="zh-CN" w:bidi="ar"/>
              </w:rPr>
              <w:t>invertible mappings</w:t>
            </w:r>
          </w:p>
        </w:tc>
        <w:tc>
          <w:tcPr>
            <w:tcW w:w="1697" w:type="dxa"/>
            <w:tcBorders>
              <w:top w:val="nil"/>
              <w:left w:val="nil"/>
              <w:bottom w:val="nil"/>
              <w:right w:val="nil"/>
            </w:tcBorders>
            <w:vAlign w:val="center"/>
          </w:tcPr>
          <w:p w14:paraId="1FE784B7">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Misleading transfer claims</w:t>
            </w:r>
          </w:p>
        </w:tc>
        <w:tc>
          <w:tcPr>
            <w:tcW w:w="1804" w:type="dxa"/>
            <w:tcBorders>
              <w:top w:val="nil"/>
              <w:left w:val="nil"/>
              <w:bottom w:val="nil"/>
              <w:right w:val="nil"/>
            </w:tcBorders>
            <w:vAlign w:val="center"/>
          </w:tcPr>
          <w:p w14:paraId="2BF080ED">
            <w:pPr>
              <w:keepNext w:val="0"/>
              <w:keepLines w:val="0"/>
              <w:widowControl/>
              <w:suppressLineNumbers w:val="0"/>
              <w:spacing w:after="0"/>
              <w:jc w:val="center"/>
              <w:rPr>
                <w:rFonts w:hint="default" w:ascii="Times New Roman" w:hAnsi="Times New Roman" w:cs="Times New Roman"/>
                <w:sz w:val="18"/>
                <w:szCs w:val="18"/>
              </w:rPr>
            </w:pPr>
            <w:r>
              <w:rPr>
                <w:rFonts w:hint="default" w:ascii="Times New Roman" w:hAnsi="Times New Roman" w:eastAsia="宋体" w:cs="Times New Roman"/>
                <w:snapToGrid w:val="0"/>
                <w:color w:val="000000"/>
                <w:kern w:val="0"/>
                <w:sz w:val="18"/>
                <w:szCs w:val="18"/>
                <w:lang w:val="en-US" w:eastAsia="zh-CN" w:bidi="ar"/>
              </w:rPr>
              <w:t>Dual metrics (aligned vs all</w:t>
            </w:r>
            <w:r>
              <w:rPr>
                <w:rFonts w:hint="default" w:ascii="Times New Roman" w:hAnsi="Times New Roman" w:eastAsia="宋体" w:cs="Times New Roman"/>
                <w:snapToGrid w:val="0"/>
                <w:color w:val="000000"/>
                <w:kern w:val="0"/>
                <w:sz w:val="18"/>
                <w:szCs w:val="18"/>
                <w:lang w:val="en-US" w:eastAsia="zh-CN" w:bidi="ar"/>
              </w:rPr>
              <w:noBreakHyphen/>
            </w:r>
            <w:r>
              <w:rPr>
                <w:rFonts w:hint="default" w:ascii="Times New Roman" w:hAnsi="Times New Roman" w:eastAsia="宋体" w:cs="Times New Roman"/>
                <w:snapToGrid w:val="0"/>
                <w:color w:val="000000"/>
                <w:kern w:val="0"/>
                <w:sz w:val="18"/>
                <w:szCs w:val="18"/>
                <w:lang w:val="en-US" w:eastAsia="zh-CN" w:bidi="ar"/>
              </w:rPr>
              <w:t>class) + public scripts</w:t>
            </w:r>
          </w:p>
        </w:tc>
        <w:tc>
          <w:tcPr>
            <w:tcW w:w="1804" w:type="dxa"/>
            <w:tcBorders>
              <w:top w:val="nil"/>
              <w:left w:val="nil"/>
              <w:bottom w:val="nil"/>
              <w:right w:val="nil"/>
            </w:tcBorders>
            <w:vAlign w:val="center"/>
          </w:tcPr>
          <w:p w14:paraId="2949C581">
            <w:pPr>
              <w:keepNext w:val="0"/>
              <w:keepLines w:val="0"/>
              <w:widowControl/>
              <w:suppressLineNumbers w:val="0"/>
              <w:spacing w:after="0"/>
              <w:jc w:val="center"/>
              <w:rPr>
                <w:rFonts w:hint="default" w:ascii="Times New Roman" w:hAnsi="Times New Roman" w:eastAsia="宋体" w:cs="Times New Roman"/>
                <w:snapToGrid w:val="0"/>
                <w:color w:val="000000"/>
                <w:kern w:val="0"/>
                <w:sz w:val="18"/>
                <w:szCs w:val="18"/>
                <w:lang w:val="en-US" w:eastAsia="zh-CN" w:bidi="ar"/>
              </w:rPr>
            </w:pPr>
            <w:r>
              <w:rPr>
                <w:rFonts w:hint="default" w:ascii="Times New Roman" w:hAnsi="Times New Roman" w:eastAsia="宋体" w:cs="Times New Roman"/>
                <w:snapToGrid w:val="0"/>
                <w:color w:val="000000"/>
                <w:kern w:val="0"/>
                <w:sz w:val="18"/>
                <w:szCs w:val="18"/>
                <w:lang w:val="en-US" w:eastAsia="zh-CN" w:bidi="ar"/>
              </w:rPr>
              <w:t>Low</w:t>
            </w:r>
          </w:p>
        </w:tc>
      </w:tr>
      <w:tr w14:paraId="3863C923">
        <w:tblPrEx>
          <w:tblCellMar>
            <w:top w:w="43" w:type="dxa"/>
            <w:left w:w="0" w:type="dxa"/>
            <w:bottom w:w="0" w:type="dxa"/>
            <w:right w:w="0" w:type="dxa"/>
          </w:tblCellMar>
        </w:tblPrEx>
        <w:trPr>
          <w:trHeight w:val="608" w:hRule="atLeast"/>
        </w:trPr>
        <w:tc>
          <w:tcPr>
            <w:tcW w:w="1212" w:type="dxa"/>
            <w:tcBorders>
              <w:top w:val="nil"/>
              <w:left w:val="nil"/>
              <w:bottom w:val="nil"/>
              <w:right w:val="nil"/>
            </w:tcBorders>
            <w:vAlign w:val="center"/>
          </w:tcPr>
          <w:p w14:paraId="6A6C7E1F">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APS under</w:t>
            </w:r>
            <w:r>
              <w:rPr>
                <w:rFonts w:hint="default" w:ascii="Times New Roman" w:hAnsi="Times New Roman" w:eastAsia="宋体" w:cs="Times New Roman"/>
                <w:snapToGrid w:val="0"/>
                <w:color w:val="000000"/>
                <w:kern w:val="0"/>
                <w:sz w:val="18"/>
                <w:szCs w:val="18"/>
                <w:lang w:val="en-US" w:eastAsia="zh-CN" w:bidi="ar"/>
              </w:rPr>
              <w:noBreakHyphen/>
            </w:r>
            <w:r>
              <w:rPr>
                <w:rFonts w:hint="default" w:ascii="Times New Roman" w:hAnsi="Times New Roman" w:eastAsia="宋体" w:cs="Times New Roman"/>
                <w:snapToGrid w:val="0"/>
                <w:color w:val="000000"/>
                <w:kern w:val="0"/>
                <w:sz w:val="18"/>
                <w:szCs w:val="18"/>
                <w:lang w:val="en-US" w:eastAsia="zh-CN" w:bidi="ar"/>
              </w:rPr>
              <w:t>coverage</w:t>
            </w:r>
          </w:p>
        </w:tc>
        <w:tc>
          <w:tcPr>
            <w:tcW w:w="2779" w:type="dxa"/>
            <w:tcBorders>
              <w:top w:val="nil"/>
              <w:left w:val="nil"/>
              <w:bottom w:val="nil"/>
              <w:right w:val="nil"/>
            </w:tcBorders>
            <w:vAlign w:val="center"/>
          </w:tcPr>
          <w:p w14:paraId="68750BD9">
            <w:pPr>
              <w:keepNext w:val="0"/>
              <w:keepLines w:val="0"/>
              <w:widowControl/>
              <w:suppressLineNumbers w:val="0"/>
              <w:spacing w:after="0"/>
              <w:jc w:val="center"/>
              <w:rPr>
                <w:rFonts w:hint="default" w:ascii="Times New Roman" w:hAnsi="Times New Roman" w:cs="Times New Roman"/>
                <w:sz w:val="18"/>
                <w:szCs w:val="18"/>
              </w:rPr>
            </w:pPr>
            <w:r>
              <w:rPr>
                <w:rFonts w:hint="default" w:ascii="Times New Roman" w:hAnsi="Times New Roman" w:eastAsia="宋体" w:cs="Times New Roman"/>
                <w:snapToGrid w:val="0"/>
                <w:color w:val="000000"/>
                <w:kern w:val="0"/>
                <w:sz w:val="18"/>
                <w:szCs w:val="18"/>
                <w:lang w:val="en-US" w:eastAsia="zh-CN" w:bidi="ar"/>
              </w:rPr>
              <w:t>Coverage &lt; 85%</w:t>
            </w:r>
          </w:p>
        </w:tc>
        <w:tc>
          <w:tcPr>
            <w:tcW w:w="1697" w:type="dxa"/>
            <w:tcBorders>
              <w:top w:val="nil"/>
              <w:left w:val="nil"/>
              <w:bottom w:val="nil"/>
              <w:right w:val="nil"/>
            </w:tcBorders>
            <w:vAlign w:val="center"/>
          </w:tcPr>
          <w:p w14:paraId="57E9503A">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Safety risk</w:t>
            </w:r>
          </w:p>
        </w:tc>
        <w:tc>
          <w:tcPr>
            <w:tcW w:w="1804" w:type="dxa"/>
            <w:tcBorders>
              <w:top w:val="nil"/>
              <w:left w:val="nil"/>
              <w:bottom w:val="nil"/>
              <w:right w:val="nil"/>
            </w:tcBorders>
            <w:vAlign w:val="center"/>
          </w:tcPr>
          <w:p w14:paraId="2A50AC17">
            <w:pPr>
              <w:keepNext w:val="0"/>
              <w:keepLines w:val="0"/>
              <w:widowControl/>
              <w:suppressLineNumbers w:val="0"/>
              <w:spacing w:after="0"/>
              <w:jc w:val="center"/>
              <w:rPr>
                <w:rFonts w:hint="default" w:ascii="Times New Roman" w:hAnsi="Times New Roman" w:cs="Times New Roman"/>
                <w:sz w:val="18"/>
                <w:szCs w:val="18"/>
              </w:rPr>
            </w:pPr>
            <w:r>
              <w:rPr>
                <w:rFonts w:hint="default" w:ascii="Times New Roman" w:hAnsi="Times New Roman" w:eastAsia="宋体" w:cs="Times New Roman"/>
                <w:snapToGrid w:val="0"/>
                <w:color w:val="000000"/>
                <w:kern w:val="0"/>
                <w:sz w:val="18"/>
                <w:szCs w:val="18"/>
                <w:lang w:val="en-US" w:eastAsia="zh-CN" w:bidi="ar"/>
              </w:rPr>
              <w:t>Mondrian APS; widen calibration; report mean set size</w:t>
            </w:r>
          </w:p>
        </w:tc>
        <w:tc>
          <w:tcPr>
            <w:tcW w:w="1804" w:type="dxa"/>
            <w:tcBorders>
              <w:top w:val="nil"/>
              <w:left w:val="nil"/>
              <w:bottom w:val="nil"/>
              <w:right w:val="nil"/>
            </w:tcBorders>
            <w:vAlign w:val="center"/>
          </w:tcPr>
          <w:p w14:paraId="29983BE4">
            <w:pPr>
              <w:keepNext w:val="0"/>
              <w:keepLines w:val="0"/>
              <w:widowControl/>
              <w:suppressLineNumbers w:val="0"/>
              <w:spacing w:after="0"/>
              <w:jc w:val="center"/>
              <w:rPr>
                <w:rFonts w:hint="default" w:ascii="Times New Roman" w:hAnsi="Times New Roman" w:eastAsia="宋体" w:cs="Times New Roman"/>
                <w:snapToGrid w:val="0"/>
                <w:color w:val="000000"/>
                <w:kern w:val="0"/>
                <w:sz w:val="18"/>
                <w:szCs w:val="18"/>
                <w:lang w:val="en-US" w:eastAsia="zh-CN" w:bidi="ar"/>
              </w:rPr>
            </w:pPr>
            <w:r>
              <w:rPr>
                <w:rFonts w:hint="default" w:ascii="Times New Roman" w:hAnsi="Times New Roman" w:eastAsia="宋体" w:cs="Times New Roman"/>
                <w:snapToGrid w:val="0"/>
                <w:color w:val="000000"/>
                <w:kern w:val="0"/>
                <w:sz w:val="18"/>
                <w:szCs w:val="18"/>
                <w:lang w:val="en-US" w:eastAsia="zh-CN" w:bidi="ar"/>
              </w:rPr>
              <w:t>Low</w:t>
            </w:r>
          </w:p>
        </w:tc>
      </w:tr>
      <w:tr w14:paraId="34AE756D">
        <w:tblPrEx>
          <w:tblCellMar>
            <w:top w:w="43" w:type="dxa"/>
            <w:left w:w="0" w:type="dxa"/>
            <w:bottom w:w="0" w:type="dxa"/>
            <w:right w:w="0" w:type="dxa"/>
          </w:tblCellMar>
        </w:tblPrEx>
        <w:trPr>
          <w:trHeight w:val="608" w:hRule="atLeast"/>
        </w:trPr>
        <w:tc>
          <w:tcPr>
            <w:tcW w:w="1212" w:type="dxa"/>
            <w:tcBorders>
              <w:top w:val="nil"/>
              <w:left w:val="nil"/>
              <w:bottom w:val="nil"/>
              <w:right w:val="nil"/>
            </w:tcBorders>
            <w:vAlign w:val="center"/>
          </w:tcPr>
          <w:p w14:paraId="198B3F57">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Time overrun</w:t>
            </w:r>
          </w:p>
        </w:tc>
        <w:tc>
          <w:tcPr>
            <w:tcW w:w="2779" w:type="dxa"/>
            <w:tcBorders>
              <w:top w:val="nil"/>
              <w:left w:val="nil"/>
              <w:bottom w:val="nil"/>
              <w:right w:val="nil"/>
            </w:tcBorders>
            <w:vAlign w:val="center"/>
          </w:tcPr>
          <w:p w14:paraId="15DC4221">
            <w:pPr>
              <w:keepNext w:val="0"/>
              <w:keepLines w:val="0"/>
              <w:widowControl/>
              <w:suppressLineNumbers w:val="0"/>
              <w:spacing w:after="0"/>
              <w:jc w:val="center"/>
              <w:rPr>
                <w:rFonts w:hint="default" w:ascii="Times New Roman" w:hAnsi="Times New Roman" w:cs="Times New Roman"/>
                <w:sz w:val="18"/>
                <w:szCs w:val="18"/>
              </w:rPr>
            </w:pPr>
            <w:r>
              <w:rPr>
                <w:rFonts w:hint="default" w:ascii="Times New Roman" w:hAnsi="Times New Roman" w:eastAsia="宋体" w:cs="Times New Roman"/>
                <w:snapToGrid w:val="0"/>
                <w:color w:val="000000"/>
                <w:kern w:val="0"/>
                <w:sz w:val="18"/>
                <w:szCs w:val="18"/>
                <w:lang w:val="en-US" w:eastAsia="zh-CN" w:bidi="ar"/>
              </w:rPr>
              <w:t>Model grid too large</w:t>
            </w:r>
          </w:p>
        </w:tc>
        <w:tc>
          <w:tcPr>
            <w:tcW w:w="1697" w:type="dxa"/>
            <w:tcBorders>
              <w:top w:val="nil"/>
              <w:left w:val="nil"/>
              <w:bottom w:val="nil"/>
              <w:right w:val="nil"/>
            </w:tcBorders>
            <w:vAlign w:val="center"/>
          </w:tcPr>
          <w:p w14:paraId="14907039">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Scope creep</w:t>
            </w:r>
          </w:p>
        </w:tc>
        <w:tc>
          <w:tcPr>
            <w:tcW w:w="1804" w:type="dxa"/>
            <w:tcBorders>
              <w:top w:val="nil"/>
              <w:left w:val="nil"/>
              <w:bottom w:val="nil"/>
              <w:right w:val="nil"/>
            </w:tcBorders>
            <w:vAlign w:val="center"/>
          </w:tcPr>
          <w:p w14:paraId="17C82BD8">
            <w:pPr>
              <w:keepNext w:val="0"/>
              <w:keepLines w:val="0"/>
              <w:widowControl/>
              <w:suppressLineNumbers w:val="0"/>
              <w:spacing w:after="0"/>
              <w:jc w:val="center"/>
              <w:rPr>
                <w:rFonts w:hint="default" w:ascii="Times New Roman" w:hAnsi="Times New Roman" w:cs="Times New Roman"/>
                <w:sz w:val="18"/>
                <w:szCs w:val="18"/>
              </w:rPr>
            </w:pPr>
            <w:r>
              <w:rPr>
                <w:rFonts w:hint="default" w:ascii="Times New Roman" w:hAnsi="Times New Roman" w:eastAsia="宋体" w:cs="Times New Roman"/>
                <w:snapToGrid w:val="0"/>
                <w:color w:val="000000"/>
                <w:kern w:val="0"/>
                <w:sz w:val="18"/>
                <w:szCs w:val="18"/>
                <w:lang w:val="en-US" w:eastAsia="zh-CN" w:bidi="ar"/>
              </w:rPr>
              <w:t>Gate</w:t>
            </w:r>
            <w:r>
              <w:rPr>
                <w:rFonts w:hint="default" w:ascii="Times New Roman" w:hAnsi="Times New Roman" w:eastAsia="宋体" w:cs="Times New Roman"/>
                <w:snapToGrid w:val="0"/>
                <w:color w:val="000000"/>
                <w:kern w:val="0"/>
                <w:sz w:val="18"/>
                <w:szCs w:val="18"/>
                <w:lang w:val="en-US" w:eastAsia="zh-CN" w:bidi="ar"/>
              </w:rPr>
              <w:noBreakHyphen/>
            </w:r>
            <w:r>
              <w:rPr>
                <w:rFonts w:hint="default" w:ascii="Times New Roman" w:hAnsi="Times New Roman" w:eastAsia="宋体" w:cs="Times New Roman"/>
                <w:snapToGrid w:val="0"/>
                <w:color w:val="000000"/>
                <w:kern w:val="0"/>
                <w:sz w:val="18"/>
                <w:szCs w:val="18"/>
                <w:lang w:val="en-US" w:eastAsia="zh-CN" w:bidi="ar"/>
              </w:rPr>
              <w:t>based pruning to champions only</w:t>
            </w:r>
          </w:p>
        </w:tc>
        <w:tc>
          <w:tcPr>
            <w:tcW w:w="1804" w:type="dxa"/>
            <w:tcBorders>
              <w:top w:val="nil"/>
              <w:left w:val="nil"/>
              <w:bottom w:val="nil"/>
              <w:right w:val="nil"/>
            </w:tcBorders>
            <w:vAlign w:val="center"/>
          </w:tcPr>
          <w:p w14:paraId="31BE26B8">
            <w:pPr>
              <w:keepNext w:val="0"/>
              <w:keepLines w:val="0"/>
              <w:widowControl/>
              <w:suppressLineNumbers w:val="0"/>
              <w:spacing w:after="0"/>
              <w:jc w:val="center"/>
              <w:rPr>
                <w:rFonts w:hint="default" w:ascii="Times New Roman" w:hAnsi="Times New Roman" w:eastAsia="宋体" w:cs="Times New Roman"/>
                <w:snapToGrid w:val="0"/>
                <w:color w:val="000000"/>
                <w:kern w:val="0"/>
                <w:sz w:val="18"/>
                <w:szCs w:val="18"/>
                <w:lang w:val="en-US" w:eastAsia="zh-CN" w:bidi="ar"/>
              </w:rPr>
            </w:pPr>
            <w:r>
              <w:rPr>
                <w:rFonts w:hint="default" w:ascii="Times New Roman" w:hAnsi="Times New Roman" w:eastAsia="宋体" w:cs="Times New Roman"/>
                <w:snapToGrid w:val="0"/>
                <w:color w:val="000000"/>
                <w:kern w:val="0"/>
                <w:sz w:val="18"/>
                <w:szCs w:val="18"/>
                <w:lang w:val="en-US" w:eastAsia="zh-CN" w:bidi="ar"/>
              </w:rPr>
              <w:t>Low</w:t>
            </w:r>
          </w:p>
        </w:tc>
      </w:tr>
    </w:tbl>
    <w:p w14:paraId="7A676D69">
      <w:pPr>
        <w:pStyle w:val="2"/>
        <w:spacing w:before="198" w:line="344" w:lineRule="auto"/>
        <w:rPr>
          <w:sz w:val="24"/>
          <w:szCs w:val="24"/>
        </w:rPr>
      </w:pPr>
    </w:p>
    <w:p w14:paraId="19F6D0FA">
      <w:pPr>
        <w:pStyle w:val="2"/>
        <w:spacing w:before="196" w:line="344" w:lineRule="auto"/>
        <w:ind w:left="476" w:right="54" w:hanging="368" w:hangingChars="200"/>
        <w:jc w:val="center"/>
        <w:rPr>
          <w:sz w:val="24"/>
          <w:szCs w:val="24"/>
        </w:rPr>
      </w:pPr>
      <w:r>
        <w:rPr>
          <w:color w:val="231F20"/>
          <w:spacing w:val="2"/>
          <w:sz w:val="18"/>
          <w:szCs w:val="18"/>
        </w:rPr>
        <w:t>TABLE</w:t>
      </w:r>
      <w:r>
        <w:rPr>
          <w:color w:val="231F20"/>
          <w:spacing w:val="20"/>
          <w:w w:val="102"/>
          <w:sz w:val="18"/>
          <w:szCs w:val="18"/>
        </w:rPr>
        <w:t xml:space="preserve"> </w:t>
      </w:r>
      <w:r>
        <w:rPr>
          <w:rFonts w:hint="eastAsia" w:eastAsia="宋体"/>
          <w:color w:val="231F20"/>
          <w:spacing w:val="20"/>
          <w:w w:val="102"/>
          <w:sz w:val="18"/>
          <w:szCs w:val="18"/>
          <w:lang w:val="en-US" w:eastAsia="zh-CN"/>
        </w:rPr>
        <w:t>5</w:t>
      </w:r>
      <w:r>
        <w:rPr>
          <w:color w:val="231F20"/>
          <w:spacing w:val="2"/>
          <w:sz w:val="18"/>
          <w:szCs w:val="18"/>
        </w:rPr>
        <w:t>.</w:t>
      </w:r>
      <w:r>
        <w:rPr>
          <w:color w:val="231F20"/>
          <w:spacing w:val="10"/>
          <w:w w:val="102"/>
          <w:sz w:val="18"/>
          <w:szCs w:val="18"/>
        </w:rPr>
        <w:t xml:space="preserve"> </w:t>
      </w:r>
      <w:r>
        <w:rPr>
          <w:rFonts w:hint="eastAsia"/>
          <w:color w:val="231F20"/>
          <w:spacing w:val="2"/>
          <w:sz w:val="18"/>
          <w:szCs w:val="18"/>
        </w:rPr>
        <w:t>Domain‑shift factors (diagnosis → mitigation)</w:t>
      </w:r>
    </w:p>
    <w:tbl>
      <w:tblPr>
        <w:tblStyle w:val="10"/>
        <w:tblpPr w:leftFromText="180" w:rightFromText="180" w:vertAnchor="text" w:horzAnchor="page" w:tblpX="1534" w:tblpY="23"/>
        <w:tblOverlap w:val="never"/>
        <w:tblW w:w="9941" w:type="dxa"/>
        <w:tblInd w:w="0" w:type="dxa"/>
        <w:tblLayout w:type="autofit"/>
        <w:tblCellMar>
          <w:top w:w="43" w:type="dxa"/>
          <w:left w:w="0" w:type="dxa"/>
          <w:bottom w:w="0" w:type="dxa"/>
          <w:right w:w="0" w:type="dxa"/>
        </w:tblCellMar>
      </w:tblPr>
      <w:tblGrid>
        <w:gridCol w:w="2119"/>
        <w:gridCol w:w="4857"/>
        <w:gridCol w:w="2965"/>
      </w:tblGrid>
      <w:tr w14:paraId="522BCED6">
        <w:tblPrEx>
          <w:tblCellMar>
            <w:top w:w="43" w:type="dxa"/>
            <w:left w:w="0" w:type="dxa"/>
            <w:bottom w:w="0" w:type="dxa"/>
            <w:right w:w="0" w:type="dxa"/>
          </w:tblCellMar>
        </w:tblPrEx>
        <w:trPr>
          <w:trHeight w:val="704" w:hRule="atLeast"/>
        </w:trPr>
        <w:tc>
          <w:tcPr>
            <w:tcW w:w="1609" w:type="dxa"/>
            <w:tcBorders>
              <w:top w:val="single" w:color="000000" w:sz="6" w:space="0"/>
              <w:left w:val="nil"/>
              <w:bottom w:val="single" w:color="000000" w:sz="4" w:space="0"/>
              <w:right w:val="nil"/>
            </w:tcBorders>
            <w:vAlign w:val="center"/>
          </w:tcPr>
          <w:p w14:paraId="5CEFCA29">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b/>
                <w:bCs/>
                <w:snapToGrid w:val="0"/>
                <w:color w:val="000000"/>
                <w:kern w:val="0"/>
                <w:sz w:val="18"/>
                <w:szCs w:val="18"/>
                <w:lang w:val="en-US" w:eastAsia="zh-CN" w:bidi="ar"/>
              </w:rPr>
              <w:t>Factor</w:t>
            </w:r>
          </w:p>
        </w:tc>
        <w:tc>
          <w:tcPr>
            <w:tcW w:w="3687" w:type="dxa"/>
            <w:tcBorders>
              <w:top w:val="single" w:color="000000" w:sz="6" w:space="0"/>
              <w:left w:val="nil"/>
              <w:bottom w:val="single" w:color="000000" w:sz="4" w:space="0"/>
              <w:right w:val="nil"/>
            </w:tcBorders>
            <w:vAlign w:val="center"/>
          </w:tcPr>
          <w:p w14:paraId="2B0DBB2F">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b/>
                <w:bCs/>
                <w:snapToGrid w:val="0"/>
                <w:color w:val="000000"/>
                <w:kern w:val="0"/>
                <w:sz w:val="18"/>
                <w:szCs w:val="18"/>
                <w:lang w:val="en-US" w:eastAsia="zh-CN" w:bidi="ar"/>
              </w:rPr>
              <w:t>Evidence pattern</w:t>
            </w:r>
          </w:p>
        </w:tc>
        <w:tc>
          <w:tcPr>
            <w:tcW w:w="2251" w:type="dxa"/>
            <w:tcBorders>
              <w:top w:val="single" w:color="000000" w:sz="6" w:space="0"/>
              <w:left w:val="nil"/>
              <w:bottom w:val="single" w:color="000000" w:sz="4" w:space="0"/>
              <w:right w:val="nil"/>
            </w:tcBorders>
            <w:vAlign w:val="center"/>
          </w:tcPr>
          <w:p w14:paraId="1AB1F0CE">
            <w:pPr>
              <w:keepNext w:val="0"/>
              <w:keepLines w:val="0"/>
              <w:widowControl/>
              <w:suppressLineNumbers w:val="0"/>
              <w:spacing w:after="0"/>
              <w:jc w:val="center"/>
              <w:rPr>
                <w:rFonts w:hint="default" w:ascii="Times New Roman" w:hAnsi="Times New Roman" w:cs="Times New Roman"/>
                <w:sz w:val="18"/>
                <w:szCs w:val="18"/>
              </w:rPr>
            </w:pPr>
            <w:r>
              <w:rPr>
                <w:rFonts w:hint="default" w:ascii="Times New Roman" w:hAnsi="Times New Roman" w:eastAsia="宋体" w:cs="Times New Roman"/>
                <w:b/>
                <w:bCs/>
                <w:snapToGrid w:val="0"/>
                <w:color w:val="000000"/>
                <w:kern w:val="0"/>
                <w:sz w:val="18"/>
                <w:szCs w:val="18"/>
                <w:lang w:val="en-US" w:eastAsia="zh-CN" w:bidi="ar"/>
              </w:rPr>
              <w:t>Mitigation in this project</w:t>
            </w:r>
          </w:p>
        </w:tc>
      </w:tr>
      <w:tr w14:paraId="7FFBC93A">
        <w:tblPrEx>
          <w:tblCellMar>
            <w:top w:w="43" w:type="dxa"/>
            <w:left w:w="0" w:type="dxa"/>
            <w:bottom w:w="0" w:type="dxa"/>
            <w:right w:w="0" w:type="dxa"/>
          </w:tblCellMar>
        </w:tblPrEx>
        <w:trPr>
          <w:trHeight w:val="641" w:hRule="atLeast"/>
        </w:trPr>
        <w:tc>
          <w:tcPr>
            <w:tcW w:w="1609" w:type="dxa"/>
            <w:tcBorders>
              <w:top w:val="single" w:color="000000" w:sz="4" w:space="0"/>
              <w:left w:val="nil"/>
              <w:bottom w:val="nil"/>
              <w:right w:val="nil"/>
            </w:tcBorders>
            <w:vAlign w:val="center"/>
          </w:tcPr>
          <w:p w14:paraId="469A9454">
            <w:pPr>
              <w:keepNext w:val="0"/>
              <w:keepLines w:val="0"/>
              <w:widowControl/>
              <w:suppressLineNumbers w:val="0"/>
              <w:spacing w:after="0"/>
              <w:jc w:val="center"/>
              <w:rPr>
                <w:rFonts w:hint="default" w:ascii="Times New Roman" w:hAnsi="Times New Roman" w:cs="Times New Roman"/>
                <w:sz w:val="18"/>
                <w:szCs w:val="18"/>
                <w:lang w:val="en-US"/>
              </w:rPr>
            </w:pPr>
            <w:r>
              <w:rPr>
                <w:rFonts w:hint="default" w:ascii="Times New Roman" w:hAnsi="Times New Roman" w:eastAsia="宋体" w:cs="Times New Roman"/>
                <w:snapToGrid w:val="0"/>
                <w:color w:val="000000"/>
                <w:kern w:val="0"/>
                <w:sz w:val="18"/>
                <w:szCs w:val="18"/>
                <w:lang w:val="en-US" w:eastAsia="zh-CN" w:bidi="ar"/>
              </w:rPr>
              <w:t>Device noise spectra</w:t>
            </w:r>
          </w:p>
        </w:tc>
        <w:tc>
          <w:tcPr>
            <w:tcW w:w="3687" w:type="dxa"/>
            <w:tcBorders>
              <w:top w:val="single" w:color="000000" w:sz="4" w:space="0"/>
              <w:left w:val="nil"/>
              <w:bottom w:val="nil"/>
              <w:right w:val="nil"/>
            </w:tcBorders>
            <w:vAlign w:val="center"/>
          </w:tcPr>
          <w:p w14:paraId="1ACC57F9">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Cross</w:t>
            </w:r>
            <w:r>
              <w:rPr>
                <w:rFonts w:hint="default" w:ascii="Times New Roman" w:hAnsi="Times New Roman" w:eastAsia="宋体" w:cs="Times New Roman"/>
                <w:snapToGrid w:val="0"/>
                <w:color w:val="000000"/>
                <w:kern w:val="0"/>
                <w:sz w:val="18"/>
                <w:szCs w:val="18"/>
                <w:lang w:val="en-US" w:eastAsia="zh-CN" w:bidi="ar"/>
              </w:rPr>
              <w:noBreakHyphen/>
            </w:r>
            <w:r>
              <w:rPr>
                <w:rFonts w:hint="default" w:ascii="Times New Roman" w:hAnsi="Times New Roman" w:eastAsia="宋体" w:cs="Times New Roman"/>
                <w:snapToGrid w:val="0"/>
                <w:color w:val="000000"/>
                <w:kern w:val="0"/>
                <w:sz w:val="18"/>
                <w:szCs w:val="18"/>
                <w:lang w:val="en-US" w:eastAsia="zh-CN" w:bidi="ar"/>
              </w:rPr>
              <w:t>dataset spectral skew</w:t>
            </w:r>
          </w:p>
        </w:tc>
        <w:tc>
          <w:tcPr>
            <w:tcW w:w="2251" w:type="dxa"/>
            <w:tcBorders>
              <w:top w:val="single" w:color="000000" w:sz="4" w:space="0"/>
              <w:left w:val="nil"/>
              <w:bottom w:val="nil"/>
              <w:right w:val="nil"/>
            </w:tcBorders>
            <w:vAlign w:val="center"/>
          </w:tcPr>
          <w:p w14:paraId="633B6254">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Anti</w:t>
            </w:r>
            <w:r>
              <w:rPr>
                <w:rFonts w:hint="default" w:ascii="Times New Roman" w:hAnsi="Times New Roman" w:eastAsia="宋体" w:cs="Times New Roman"/>
                <w:snapToGrid w:val="0"/>
                <w:color w:val="000000"/>
                <w:kern w:val="0"/>
                <w:sz w:val="18"/>
                <w:szCs w:val="18"/>
                <w:lang w:val="en-US" w:eastAsia="zh-CN" w:bidi="ar"/>
              </w:rPr>
              <w:noBreakHyphen/>
            </w:r>
            <w:r>
              <w:rPr>
                <w:rFonts w:hint="default" w:ascii="Times New Roman" w:hAnsi="Times New Roman" w:eastAsia="宋体" w:cs="Times New Roman"/>
                <w:snapToGrid w:val="0"/>
                <w:color w:val="000000"/>
                <w:kern w:val="0"/>
                <w:sz w:val="18"/>
                <w:szCs w:val="18"/>
                <w:lang w:val="en-US" w:eastAsia="zh-CN" w:bidi="ar"/>
              </w:rPr>
              <w:t>alias FIR; per</w:t>
            </w:r>
            <w:r>
              <w:rPr>
                <w:rFonts w:hint="default" w:ascii="Times New Roman" w:hAnsi="Times New Roman" w:eastAsia="宋体" w:cs="Times New Roman"/>
                <w:snapToGrid w:val="0"/>
                <w:color w:val="000000"/>
                <w:kern w:val="0"/>
                <w:sz w:val="18"/>
                <w:szCs w:val="18"/>
                <w:lang w:val="en-US" w:eastAsia="zh-CN" w:bidi="ar"/>
              </w:rPr>
              <w:noBreakHyphen/>
            </w:r>
            <w:r>
              <w:rPr>
                <w:rFonts w:hint="default" w:ascii="Times New Roman" w:hAnsi="Times New Roman" w:eastAsia="宋体" w:cs="Times New Roman"/>
                <w:snapToGrid w:val="0"/>
                <w:color w:val="000000"/>
                <w:kern w:val="0"/>
                <w:sz w:val="18"/>
                <w:szCs w:val="18"/>
                <w:lang w:val="en-US" w:eastAsia="zh-CN" w:bidi="ar"/>
              </w:rPr>
              <w:t>subject z</w:t>
            </w:r>
            <w:r>
              <w:rPr>
                <w:rFonts w:hint="default" w:ascii="Times New Roman" w:hAnsi="Times New Roman" w:eastAsia="宋体" w:cs="Times New Roman"/>
                <w:snapToGrid w:val="0"/>
                <w:color w:val="000000"/>
                <w:kern w:val="0"/>
                <w:sz w:val="18"/>
                <w:szCs w:val="18"/>
                <w:lang w:val="en-US" w:eastAsia="zh-CN" w:bidi="ar"/>
              </w:rPr>
              <w:noBreakHyphen/>
            </w:r>
            <w:r>
              <w:rPr>
                <w:rFonts w:hint="default" w:ascii="Times New Roman" w:hAnsi="Times New Roman" w:eastAsia="宋体" w:cs="Times New Roman"/>
                <w:snapToGrid w:val="0"/>
                <w:color w:val="000000"/>
                <w:kern w:val="0"/>
                <w:sz w:val="18"/>
                <w:szCs w:val="18"/>
                <w:lang w:val="en-US" w:eastAsia="zh-CN" w:bidi="ar"/>
              </w:rPr>
              <w:t>score; spectral tokens in STG</w:t>
            </w:r>
            <w:r>
              <w:rPr>
                <w:rFonts w:hint="default" w:ascii="Times New Roman" w:hAnsi="Times New Roman" w:eastAsia="宋体" w:cs="Times New Roman"/>
                <w:snapToGrid w:val="0"/>
                <w:color w:val="000000"/>
                <w:kern w:val="0"/>
                <w:sz w:val="18"/>
                <w:szCs w:val="18"/>
                <w:lang w:val="en-US" w:eastAsia="zh-CN" w:bidi="ar"/>
              </w:rPr>
              <w:noBreakHyphen/>
            </w:r>
            <w:r>
              <w:rPr>
                <w:rFonts w:hint="default" w:ascii="Times New Roman" w:hAnsi="Times New Roman" w:eastAsia="宋体" w:cs="Times New Roman"/>
                <w:snapToGrid w:val="0"/>
                <w:color w:val="000000"/>
                <w:kern w:val="0"/>
                <w:sz w:val="18"/>
                <w:szCs w:val="18"/>
                <w:lang w:val="en-US" w:eastAsia="zh-CN" w:bidi="ar"/>
              </w:rPr>
              <w:t>Former</w:t>
            </w:r>
          </w:p>
        </w:tc>
      </w:tr>
      <w:tr w14:paraId="6BF3A2F7">
        <w:tblPrEx>
          <w:tblCellMar>
            <w:top w:w="43" w:type="dxa"/>
            <w:left w:w="0" w:type="dxa"/>
            <w:bottom w:w="0" w:type="dxa"/>
            <w:right w:w="0" w:type="dxa"/>
          </w:tblCellMar>
        </w:tblPrEx>
        <w:trPr>
          <w:trHeight w:val="503" w:hRule="atLeast"/>
        </w:trPr>
        <w:tc>
          <w:tcPr>
            <w:tcW w:w="1609" w:type="dxa"/>
            <w:tcBorders>
              <w:top w:val="nil"/>
              <w:left w:val="nil"/>
              <w:bottom w:val="nil"/>
              <w:right w:val="nil"/>
            </w:tcBorders>
            <w:vAlign w:val="center"/>
          </w:tcPr>
          <w:p w14:paraId="68409FFB">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Wear</w:t>
            </w:r>
            <w:r>
              <w:rPr>
                <w:rFonts w:hint="default" w:ascii="Times New Roman" w:hAnsi="Times New Roman" w:eastAsia="宋体" w:cs="Times New Roman"/>
                <w:snapToGrid w:val="0"/>
                <w:color w:val="000000"/>
                <w:kern w:val="0"/>
                <w:sz w:val="18"/>
                <w:szCs w:val="18"/>
                <w:lang w:val="en-US" w:eastAsia="zh-CN" w:bidi="ar"/>
              </w:rPr>
              <w:noBreakHyphen/>
            </w:r>
            <w:r>
              <w:rPr>
                <w:rFonts w:hint="default" w:ascii="Times New Roman" w:hAnsi="Times New Roman" w:eastAsia="宋体" w:cs="Times New Roman"/>
                <w:snapToGrid w:val="0"/>
                <w:color w:val="000000"/>
                <w:kern w:val="0"/>
                <w:sz w:val="18"/>
                <w:szCs w:val="18"/>
                <w:lang w:val="en-US" w:eastAsia="zh-CN" w:bidi="ar"/>
              </w:rPr>
              <w:t>location mismatch</w:t>
            </w:r>
          </w:p>
        </w:tc>
        <w:tc>
          <w:tcPr>
            <w:tcW w:w="3687" w:type="dxa"/>
            <w:tcBorders>
              <w:top w:val="nil"/>
              <w:left w:val="nil"/>
              <w:bottom w:val="nil"/>
              <w:right w:val="nil"/>
            </w:tcBorders>
            <w:vAlign w:val="center"/>
          </w:tcPr>
          <w:p w14:paraId="0F6A07C2">
            <w:pPr>
              <w:keepNext w:val="0"/>
              <w:keepLines w:val="0"/>
              <w:widowControl/>
              <w:suppressLineNumbers w:val="0"/>
              <w:spacing w:after="0"/>
              <w:jc w:val="center"/>
              <w:rPr>
                <w:rFonts w:hint="default" w:ascii="Times New Roman" w:hAnsi="Times New Roman" w:cs="Times New Roman"/>
                <w:sz w:val="18"/>
                <w:szCs w:val="18"/>
              </w:rPr>
            </w:pPr>
            <w:r>
              <w:rPr>
                <w:rFonts w:hint="default" w:ascii="Times New Roman" w:hAnsi="Times New Roman" w:eastAsia="宋体" w:cs="Times New Roman"/>
                <w:snapToGrid w:val="0"/>
                <w:color w:val="000000"/>
                <w:kern w:val="0"/>
                <w:sz w:val="18"/>
                <w:szCs w:val="18"/>
                <w:lang w:val="en-US" w:eastAsia="zh-CN" w:bidi="ar"/>
              </w:rPr>
              <w:t>Systematic axis/variance change</w:t>
            </w:r>
          </w:p>
        </w:tc>
        <w:tc>
          <w:tcPr>
            <w:tcW w:w="2251" w:type="dxa"/>
            <w:tcBorders>
              <w:top w:val="nil"/>
              <w:left w:val="nil"/>
              <w:bottom w:val="nil"/>
              <w:right w:val="nil"/>
            </w:tcBorders>
            <w:vAlign w:val="center"/>
          </w:tcPr>
          <w:p w14:paraId="289755D1">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Axis harmonisation; slice reporting; threshold review</w:t>
            </w:r>
          </w:p>
        </w:tc>
      </w:tr>
      <w:tr w14:paraId="08BE2496">
        <w:tblPrEx>
          <w:tblCellMar>
            <w:top w:w="43" w:type="dxa"/>
            <w:left w:w="0" w:type="dxa"/>
            <w:bottom w:w="0" w:type="dxa"/>
            <w:right w:w="0" w:type="dxa"/>
          </w:tblCellMar>
        </w:tblPrEx>
        <w:trPr>
          <w:trHeight w:val="503" w:hRule="atLeast"/>
        </w:trPr>
        <w:tc>
          <w:tcPr>
            <w:tcW w:w="1609" w:type="dxa"/>
            <w:tcBorders>
              <w:top w:val="nil"/>
              <w:left w:val="nil"/>
              <w:bottom w:val="nil"/>
              <w:right w:val="nil"/>
            </w:tcBorders>
            <w:vAlign w:val="center"/>
          </w:tcPr>
          <w:p w14:paraId="1302D0C9">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Label semantics non</w:t>
            </w:r>
            <w:r>
              <w:rPr>
                <w:rFonts w:hint="default" w:ascii="Times New Roman" w:hAnsi="Times New Roman" w:eastAsia="宋体" w:cs="Times New Roman"/>
                <w:snapToGrid w:val="0"/>
                <w:color w:val="000000"/>
                <w:kern w:val="0"/>
                <w:sz w:val="18"/>
                <w:szCs w:val="18"/>
                <w:lang w:val="en-US" w:eastAsia="zh-CN" w:bidi="ar"/>
              </w:rPr>
              <w:noBreakHyphen/>
            </w:r>
            <w:r>
              <w:rPr>
                <w:rFonts w:hint="default" w:ascii="Times New Roman" w:hAnsi="Times New Roman" w:eastAsia="宋体" w:cs="Times New Roman"/>
                <w:snapToGrid w:val="0"/>
                <w:color w:val="000000"/>
                <w:kern w:val="0"/>
                <w:sz w:val="18"/>
                <w:szCs w:val="18"/>
                <w:lang w:val="en-US" w:eastAsia="zh-CN" w:bidi="ar"/>
              </w:rPr>
              <w:t>invertible</w:t>
            </w:r>
          </w:p>
        </w:tc>
        <w:tc>
          <w:tcPr>
            <w:tcW w:w="3687" w:type="dxa"/>
            <w:tcBorders>
              <w:top w:val="nil"/>
              <w:left w:val="nil"/>
              <w:bottom w:val="nil"/>
              <w:right w:val="nil"/>
            </w:tcBorders>
            <w:vAlign w:val="center"/>
          </w:tcPr>
          <w:p w14:paraId="2285CAA6">
            <w:pPr>
              <w:keepNext w:val="0"/>
              <w:keepLines w:val="0"/>
              <w:widowControl/>
              <w:suppressLineNumbers w:val="0"/>
              <w:spacing w:after="0"/>
              <w:jc w:val="center"/>
              <w:rPr>
                <w:rFonts w:hint="default" w:ascii="Times New Roman" w:hAnsi="Times New Roman" w:cs="Times New Roman"/>
                <w:sz w:val="18"/>
                <w:szCs w:val="18"/>
              </w:rPr>
            </w:pPr>
            <w:r>
              <w:rPr>
                <w:rFonts w:hint="default" w:ascii="Times New Roman" w:hAnsi="Times New Roman" w:eastAsia="宋体" w:cs="Times New Roman"/>
                <w:snapToGrid w:val="0"/>
                <w:color w:val="000000"/>
                <w:kern w:val="0"/>
                <w:sz w:val="18"/>
                <w:szCs w:val="18"/>
                <w:lang w:val="en-US" w:eastAsia="zh-CN" w:bidi="ar"/>
              </w:rPr>
              <w:t>“Stairs” vs “stairs</w:t>
            </w:r>
            <w:r>
              <w:rPr>
                <w:rFonts w:hint="default" w:ascii="Times New Roman" w:hAnsi="Times New Roman" w:eastAsia="宋体" w:cs="Times New Roman"/>
                <w:snapToGrid w:val="0"/>
                <w:color w:val="000000"/>
                <w:kern w:val="0"/>
                <w:sz w:val="18"/>
                <w:szCs w:val="18"/>
                <w:lang w:val="en-US" w:eastAsia="zh-CN" w:bidi="ar"/>
              </w:rPr>
              <w:noBreakHyphen/>
            </w:r>
            <w:r>
              <w:rPr>
                <w:rFonts w:hint="default" w:ascii="Times New Roman" w:hAnsi="Times New Roman" w:eastAsia="宋体" w:cs="Times New Roman"/>
                <w:snapToGrid w:val="0"/>
                <w:color w:val="000000"/>
                <w:kern w:val="0"/>
                <w:sz w:val="18"/>
                <w:szCs w:val="18"/>
                <w:lang w:val="en-US" w:eastAsia="zh-CN" w:bidi="ar"/>
              </w:rPr>
              <w:t>up/down”</w:t>
            </w:r>
          </w:p>
        </w:tc>
        <w:tc>
          <w:tcPr>
            <w:tcW w:w="2251" w:type="dxa"/>
            <w:tcBorders>
              <w:top w:val="nil"/>
              <w:left w:val="nil"/>
              <w:bottom w:val="nil"/>
              <w:right w:val="nil"/>
            </w:tcBorders>
            <w:vAlign w:val="center"/>
          </w:tcPr>
          <w:p w14:paraId="467753CA">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Aligned</w:t>
            </w:r>
            <w:r>
              <w:rPr>
                <w:rFonts w:hint="default" w:ascii="Times New Roman" w:hAnsi="Times New Roman" w:eastAsia="宋体" w:cs="Times New Roman"/>
                <w:snapToGrid w:val="0"/>
                <w:color w:val="000000"/>
                <w:kern w:val="0"/>
                <w:sz w:val="18"/>
                <w:szCs w:val="18"/>
                <w:lang w:val="en-US" w:eastAsia="zh-CN" w:bidi="ar"/>
              </w:rPr>
              <w:noBreakHyphen/>
            </w:r>
            <w:r>
              <w:rPr>
                <w:rFonts w:hint="default" w:ascii="Times New Roman" w:hAnsi="Times New Roman" w:eastAsia="宋体" w:cs="Times New Roman"/>
                <w:snapToGrid w:val="0"/>
                <w:color w:val="000000"/>
                <w:kern w:val="0"/>
                <w:sz w:val="18"/>
                <w:szCs w:val="18"/>
                <w:lang w:val="en-US" w:eastAsia="zh-CN" w:bidi="ar"/>
              </w:rPr>
              <w:t>only + all</w:t>
            </w:r>
            <w:r>
              <w:rPr>
                <w:rFonts w:hint="default" w:ascii="Times New Roman" w:hAnsi="Times New Roman" w:eastAsia="宋体" w:cs="Times New Roman"/>
                <w:snapToGrid w:val="0"/>
                <w:color w:val="000000"/>
                <w:kern w:val="0"/>
                <w:sz w:val="18"/>
                <w:szCs w:val="18"/>
                <w:lang w:val="en-US" w:eastAsia="zh-CN" w:bidi="ar"/>
              </w:rPr>
              <w:noBreakHyphen/>
            </w:r>
            <w:r>
              <w:rPr>
                <w:rFonts w:hint="default" w:ascii="Times New Roman" w:hAnsi="Times New Roman" w:eastAsia="宋体" w:cs="Times New Roman"/>
                <w:snapToGrid w:val="0"/>
                <w:color w:val="000000"/>
                <w:kern w:val="0"/>
                <w:sz w:val="18"/>
                <w:szCs w:val="18"/>
                <w:lang w:val="en-US" w:eastAsia="zh-CN" w:bidi="ar"/>
              </w:rPr>
              <w:t>class metrics; publish mappings; N/A labelling</w:t>
            </w:r>
          </w:p>
        </w:tc>
      </w:tr>
      <w:tr w14:paraId="612C806F">
        <w:tblPrEx>
          <w:tblCellMar>
            <w:top w:w="43" w:type="dxa"/>
            <w:left w:w="0" w:type="dxa"/>
            <w:bottom w:w="0" w:type="dxa"/>
            <w:right w:w="0" w:type="dxa"/>
          </w:tblCellMar>
        </w:tblPrEx>
        <w:trPr>
          <w:trHeight w:val="598" w:hRule="atLeast"/>
        </w:trPr>
        <w:tc>
          <w:tcPr>
            <w:tcW w:w="1609" w:type="dxa"/>
            <w:tcBorders>
              <w:top w:val="nil"/>
              <w:left w:val="nil"/>
              <w:bottom w:val="nil"/>
              <w:right w:val="nil"/>
            </w:tcBorders>
            <w:vAlign w:val="center"/>
          </w:tcPr>
          <w:p w14:paraId="0800EE38">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Sampling</w:t>
            </w:r>
            <w:r>
              <w:rPr>
                <w:rFonts w:hint="default" w:ascii="Times New Roman" w:hAnsi="Times New Roman" w:eastAsia="宋体" w:cs="Times New Roman"/>
                <w:snapToGrid w:val="0"/>
                <w:color w:val="000000"/>
                <w:kern w:val="0"/>
                <w:sz w:val="18"/>
                <w:szCs w:val="18"/>
                <w:lang w:val="en-US" w:eastAsia="zh-CN" w:bidi="ar"/>
              </w:rPr>
              <w:noBreakHyphen/>
            </w:r>
            <w:r>
              <w:rPr>
                <w:rFonts w:hint="default" w:ascii="Times New Roman" w:hAnsi="Times New Roman" w:eastAsia="宋体" w:cs="Times New Roman"/>
                <w:snapToGrid w:val="0"/>
                <w:color w:val="000000"/>
                <w:kern w:val="0"/>
                <w:sz w:val="18"/>
                <w:szCs w:val="18"/>
                <w:lang w:val="en-US" w:eastAsia="zh-CN" w:bidi="ar"/>
              </w:rPr>
              <w:t>rate disparity</w:t>
            </w:r>
          </w:p>
        </w:tc>
        <w:tc>
          <w:tcPr>
            <w:tcW w:w="3687" w:type="dxa"/>
            <w:tcBorders>
              <w:top w:val="nil"/>
              <w:left w:val="nil"/>
              <w:bottom w:val="nil"/>
              <w:right w:val="nil"/>
            </w:tcBorders>
            <w:vAlign w:val="center"/>
          </w:tcPr>
          <w:p w14:paraId="70AF360A">
            <w:pPr>
              <w:keepNext w:val="0"/>
              <w:keepLines w:val="0"/>
              <w:widowControl/>
              <w:suppressLineNumbers w:val="0"/>
              <w:spacing w:after="0"/>
              <w:jc w:val="center"/>
              <w:rPr>
                <w:rFonts w:hint="default" w:ascii="Times New Roman" w:hAnsi="Times New Roman" w:cs="Times New Roman"/>
                <w:sz w:val="18"/>
                <w:szCs w:val="18"/>
              </w:rPr>
            </w:pPr>
            <w:r>
              <w:rPr>
                <w:rFonts w:hint="default" w:ascii="Times New Roman" w:hAnsi="Times New Roman" w:eastAsia="宋体" w:cs="Times New Roman"/>
                <w:snapToGrid w:val="0"/>
                <w:color w:val="000000"/>
                <w:kern w:val="0"/>
                <w:sz w:val="18"/>
                <w:szCs w:val="18"/>
                <w:lang w:val="en-US" w:eastAsia="zh-CN" w:bidi="ar"/>
              </w:rPr>
              <w:t>Aliasing/temporal smoothing</w:t>
            </w:r>
          </w:p>
        </w:tc>
        <w:tc>
          <w:tcPr>
            <w:tcW w:w="2251" w:type="dxa"/>
            <w:tcBorders>
              <w:top w:val="nil"/>
              <w:left w:val="nil"/>
              <w:bottom w:val="nil"/>
              <w:right w:val="nil"/>
            </w:tcBorders>
            <w:vAlign w:val="center"/>
          </w:tcPr>
          <w:p w14:paraId="35B41226">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Kaiser</w:t>
            </w:r>
            <w:r>
              <w:rPr>
                <w:rFonts w:hint="default" w:ascii="Times New Roman" w:hAnsi="Times New Roman" w:eastAsia="宋体" w:cs="Times New Roman"/>
                <w:snapToGrid w:val="0"/>
                <w:color w:val="000000"/>
                <w:kern w:val="0"/>
                <w:sz w:val="18"/>
                <w:szCs w:val="18"/>
                <w:lang w:val="en-US" w:eastAsia="zh-CN" w:bidi="ar"/>
              </w:rPr>
              <w:noBreakHyphen/>
            </w:r>
            <w:r>
              <w:rPr>
                <w:rFonts w:hint="default" w:ascii="Times New Roman" w:hAnsi="Times New Roman" w:eastAsia="宋体" w:cs="Times New Roman"/>
                <w:snapToGrid w:val="0"/>
                <w:color w:val="000000"/>
                <w:kern w:val="0"/>
                <w:sz w:val="18"/>
                <w:szCs w:val="18"/>
                <w:lang w:val="en-US" w:eastAsia="zh-CN" w:bidi="ar"/>
              </w:rPr>
              <w:t>LPF + decimation; stride re</w:t>
            </w:r>
            <w:r>
              <w:rPr>
                <w:rFonts w:hint="default" w:ascii="Times New Roman" w:hAnsi="Times New Roman" w:eastAsia="宋体" w:cs="Times New Roman"/>
                <w:snapToGrid w:val="0"/>
                <w:color w:val="000000"/>
                <w:kern w:val="0"/>
                <w:sz w:val="18"/>
                <w:szCs w:val="18"/>
                <w:lang w:val="en-US" w:eastAsia="zh-CN" w:bidi="ar"/>
              </w:rPr>
              <w:noBreakHyphen/>
            </w:r>
            <w:r>
              <w:rPr>
                <w:rFonts w:hint="default" w:ascii="Times New Roman" w:hAnsi="Times New Roman" w:eastAsia="宋体" w:cs="Times New Roman"/>
                <w:snapToGrid w:val="0"/>
                <w:color w:val="000000"/>
                <w:kern w:val="0"/>
                <w:sz w:val="18"/>
                <w:szCs w:val="18"/>
                <w:lang w:val="en-US" w:eastAsia="zh-CN" w:bidi="ar"/>
              </w:rPr>
              <w:t>tune</w:t>
            </w:r>
          </w:p>
        </w:tc>
      </w:tr>
      <w:tr w14:paraId="6B53B28E">
        <w:tblPrEx>
          <w:tblCellMar>
            <w:top w:w="43" w:type="dxa"/>
            <w:left w:w="0" w:type="dxa"/>
            <w:bottom w:w="0" w:type="dxa"/>
            <w:right w:w="0" w:type="dxa"/>
          </w:tblCellMar>
        </w:tblPrEx>
        <w:trPr>
          <w:trHeight w:val="598" w:hRule="atLeast"/>
        </w:trPr>
        <w:tc>
          <w:tcPr>
            <w:tcW w:w="1609" w:type="dxa"/>
            <w:tcBorders>
              <w:top w:val="nil"/>
              <w:left w:val="nil"/>
              <w:bottom w:val="nil"/>
              <w:right w:val="nil"/>
            </w:tcBorders>
            <w:vAlign w:val="center"/>
          </w:tcPr>
          <w:p w14:paraId="62FD2F00">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Population heterogeneity</w:t>
            </w:r>
          </w:p>
        </w:tc>
        <w:tc>
          <w:tcPr>
            <w:tcW w:w="3687" w:type="dxa"/>
            <w:tcBorders>
              <w:top w:val="nil"/>
              <w:left w:val="nil"/>
              <w:bottom w:val="nil"/>
              <w:right w:val="nil"/>
            </w:tcBorders>
            <w:vAlign w:val="center"/>
          </w:tcPr>
          <w:p w14:paraId="60106F69">
            <w:pPr>
              <w:keepNext w:val="0"/>
              <w:keepLines w:val="0"/>
              <w:widowControl/>
              <w:suppressLineNumbers w:val="0"/>
              <w:spacing w:after="0"/>
              <w:jc w:val="center"/>
              <w:rPr>
                <w:rFonts w:hint="default" w:ascii="Times New Roman" w:hAnsi="Times New Roman" w:cs="Times New Roman"/>
                <w:sz w:val="18"/>
                <w:szCs w:val="18"/>
              </w:rPr>
            </w:pPr>
            <w:r>
              <w:rPr>
                <w:rFonts w:hint="default" w:ascii="Times New Roman" w:hAnsi="Times New Roman" w:eastAsia="宋体" w:cs="Times New Roman"/>
                <w:snapToGrid w:val="0"/>
                <w:color w:val="000000"/>
                <w:kern w:val="0"/>
                <w:sz w:val="18"/>
                <w:szCs w:val="18"/>
                <w:lang w:val="en-US" w:eastAsia="zh-CN" w:bidi="ar"/>
              </w:rPr>
              <w:t>Subject style/pace</w:t>
            </w:r>
          </w:p>
        </w:tc>
        <w:tc>
          <w:tcPr>
            <w:tcW w:w="2251" w:type="dxa"/>
            <w:tcBorders>
              <w:top w:val="nil"/>
              <w:left w:val="nil"/>
              <w:bottom w:val="nil"/>
              <w:right w:val="nil"/>
            </w:tcBorders>
            <w:vAlign w:val="center"/>
          </w:tcPr>
          <w:p w14:paraId="68908F44">
            <w:pPr>
              <w:keepNext w:val="0"/>
              <w:keepLines w:val="0"/>
              <w:widowControl/>
              <w:suppressLineNumbers w:val="0"/>
              <w:spacing w:after="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napToGrid w:val="0"/>
                <w:color w:val="000000"/>
                <w:kern w:val="0"/>
                <w:sz w:val="18"/>
                <w:szCs w:val="18"/>
                <w:lang w:val="en-US" w:eastAsia="zh-CN" w:bidi="ar"/>
              </w:rPr>
              <w:t>Subject</w:t>
            </w:r>
            <w:r>
              <w:rPr>
                <w:rFonts w:hint="default" w:ascii="Times New Roman" w:hAnsi="Times New Roman" w:eastAsia="宋体" w:cs="Times New Roman"/>
                <w:snapToGrid w:val="0"/>
                <w:color w:val="000000"/>
                <w:kern w:val="0"/>
                <w:sz w:val="18"/>
                <w:szCs w:val="18"/>
                <w:lang w:val="en-US" w:eastAsia="zh-CN" w:bidi="ar"/>
              </w:rPr>
              <w:noBreakHyphen/>
            </w:r>
            <w:r>
              <w:rPr>
                <w:rFonts w:hint="default" w:ascii="Times New Roman" w:hAnsi="Times New Roman" w:eastAsia="宋体" w:cs="Times New Roman"/>
                <w:snapToGrid w:val="0"/>
                <w:color w:val="000000"/>
                <w:kern w:val="0"/>
                <w:sz w:val="18"/>
                <w:szCs w:val="18"/>
                <w:lang w:val="en-US" w:eastAsia="zh-CN" w:bidi="ar"/>
              </w:rPr>
              <w:t>exclusive splits; effect</w:t>
            </w:r>
            <w:r>
              <w:rPr>
                <w:rFonts w:hint="default" w:ascii="Times New Roman" w:hAnsi="Times New Roman" w:eastAsia="宋体" w:cs="Times New Roman"/>
                <w:snapToGrid w:val="0"/>
                <w:color w:val="000000"/>
                <w:kern w:val="0"/>
                <w:sz w:val="18"/>
                <w:szCs w:val="18"/>
                <w:lang w:val="en-US" w:eastAsia="zh-CN" w:bidi="ar"/>
              </w:rPr>
              <w:noBreakHyphen/>
            </w:r>
            <w:r>
              <w:rPr>
                <w:rFonts w:hint="default" w:ascii="Times New Roman" w:hAnsi="Times New Roman" w:eastAsia="宋体" w:cs="Times New Roman"/>
                <w:snapToGrid w:val="0"/>
                <w:color w:val="000000"/>
                <w:kern w:val="0"/>
                <w:sz w:val="18"/>
                <w:szCs w:val="18"/>
                <w:lang w:val="en-US" w:eastAsia="zh-CN" w:bidi="ar"/>
              </w:rPr>
              <w:t>size</w:t>
            </w:r>
            <w:r>
              <w:rPr>
                <w:rFonts w:hint="default" w:ascii="Times New Roman" w:hAnsi="Times New Roman" w:eastAsia="宋体" w:cs="Times New Roman"/>
                <w:snapToGrid w:val="0"/>
                <w:color w:val="000000"/>
                <w:kern w:val="0"/>
                <w:sz w:val="18"/>
                <w:szCs w:val="18"/>
                <w:lang w:val="en-US" w:eastAsia="zh-CN" w:bidi="ar"/>
              </w:rPr>
              <w:noBreakHyphen/>
            </w:r>
            <w:r>
              <w:rPr>
                <w:rFonts w:hint="default" w:ascii="Times New Roman" w:hAnsi="Times New Roman" w:eastAsia="宋体" w:cs="Times New Roman"/>
                <w:snapToGrid w:val="0"/>
                <w:color w:val="000000"/>
                <w:kern w:val="0"/>
                <w:sz w:val="18"/>
                <w:szCs w:val="18"/>
                <w:lang w:val="en-US" w:eastAsia="zh-CN" w:bidi="ar"/>
              </w:rPr>
              <w:t>aware statistics</w:t>
            </w:r>
          </w:p>
        </w:tc>
      </w:tr>
    </w:tbl>
    <w:p w14:paraId="7978D9B6">
      <w:pPr>
        <w:pStyle w:val="2"/>
        <w:spacing w:before="198" w:line="344" w:lineRule="auto"/>
        <w:rPr>
          <w:sz w:val="24"/>
          <w:szCs w:val="24"/>
        </w:rPr>
      </w:pPr>
    </w:p>
    <w:p w14:paraId="26AE007C">
      <w:pPr>
        <w:pStyle w:val="2"/>
        <w:spacing w:before="198" w:line="344" w:lineRule="auto"/>
        <w:rPr>
          <w:rFonts w:hint="default" w:eastAsia="宋体"/>
          <w:sz w:val="21"/>
          <w:szCs w:val="21"/>
          <w:lang w:val="en-US" w:eastAsia="zh-CN"/>
        </w:rPr>
      </w:pPr>
      <w:r>
        <w:rPr>
          <w:rFonts w:hint="eastAsia" w:eastAsia="宋体"/>
          <w:sz w:val="21"/>
          <w:szCs w:val="21"/>
          <w:lang w:val="en-US" w:eastAsia="zh-CN"/>
        </w:rPr>
        <w:t>Total word count : 1290</w:t>
      </w:r>
    </w:p>
    <w:sectPr>
      <w:pgSz w:w="12240" w:h="15840"/>
      <w:pgMar w:top="1346" w:right="1505" w:bottom="0" w:left="1437"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ACC983"/>
    <w:multiLevelType w:val="multilevel"/>
    <w:tmpl w:val="9BACC983"/>
    <w:lvl w:ilvl="0" w:tentative="0">
      <w:start w:val="2"/>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2CB831A0"/>
    <w:multiLevelType w:val="singleLevel"/>
    <w:tmpl w:val="2CB831A0"/>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0522102"/>
    <w:rsid w:val="07807C5D"/>
    <w:rsid w:val="0C803B53"/>
    <w:rsid w:val="0D486C95"/>
    <w:rsid w:val="0E3C1CFB"/>
    <w:rsid w:val="0E420BB8"/>
    <w:rsid w:val="1158509E"/>
    <w:rsid w:val="139A5C73"/>
    <w:rsid w:val="150D26BD"/>
    <w:rsid w:val="1555138C"/>
    <w:rsid w:val="16861E33"/>
    <w:rsid w:val="16AB2114"/>
    <w:rsid w:val="19726F19"/>
    <w:rsid w:val="241E3F25"/>
    <w:rsid w:val="25DA20CE"/>
    <w:rsid w:val="2A415AA8"/>
    <w:rsid w:val="2A842C95"/>
    <w:rsid w:val="2E1D42C2"/>
    <w:rsid w:val="304B0AFD"/>
    <w:rsid w:val="31772EC7"/>
    <w:rsid w:val="32901DB4"/>
    <w:rsid w:val="356A648F"/>
    <w:rsid w:val="35722856"/>
    <w:rsid w:val="38A57D26"/>
    <w:rsid w:val="3D1837B0"/>
    <w:rsid w:val="3FD15EDD"/>
    <w:rsid w:val="41DD5982"/>
    <w:rsid w:val="420A743F"/>
    <w:rsid w:val="430322C1"/>
    <w:rsid w:val="472A0388"/>
    <w:rsid w:val="481A78CE"/>
    <w:rsid w:val="487A635D"/>
    <w:rsid w:val="48AA51D1"/>
    <w:rsid w:val="4A9223BA"/>
    <w:rsid w:val="4BF12009"/>
    <w:rsid w:val="4D0134A2"/>
    <w:rsid w:val="4E801544"/>
    <w:rsid w:val="50231F3F"/>
    <w:rsid w:val="528F19C6"/>
    <w:rsid w:val="59D75A13"/>
    <w:rsid w:val="5B4B5DE3"/>
    <w:rsid w:val="5D4B6E32"/>
    <w:rsid w:val="606326E4"/>
    <w:rsid w:val="60787F3E"/>
    <w:rsid w:val="607A3BDD"/>
    <w:rsid w:val="625A6B03"/>
    <w:rsid w:val="646063E7"/>
    <w:rsid w:val="64DB133F"/>
    <w:rsid w:val="6A42784C"/>
    <w:rsid w:val="6A440E91"/>
    <w:rsid w:val="6B9B7270"/>
    <w:rsid w:val="6E313E22"/>
    <w:rsid w:val="6E3F1E19"/>
    <w:rsid w:val="6FB767A4"/>
    <w:rsid w:val="7182090E"/>
    <w:rsid w:val="71CD0357"/>
    <w:rsid w:val="745A0283"/>
    <w:rsid w:val="766B490C"/>
    <w:rsid w:val="7803413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Times New Roman" w:hAnsi="Times New Roman" w:eastAsia="Times New Roman" w:cs="Times New Roman"/>
      <w:sz w:val="21"/>
      <w:szCs w:val="21"/>
      <w:lang w:val="en-US" w:eastAsia="en-US" w:bidi="ar-SA"/>
    </w:rPr>
  </w:style>
  <w:style w:type="character" w:styleId="5">
    <w:name w:val="Strong"/>
    <w:basedOn w:val="4"/>
    <w:qFormat/>
    <w:uiPriority w:val="0"/>
    <w:rPr>
      <w:b/>
    </w:rPr>
  </w:style>
  <w:style w:type="character" w:styleId="6">
    <w:name w:val="FollowedHyperlink"/>
    <w:basedOn w:val="4"/>
    <w:uiPriority w:val="0"/>
    <w:rPr>
      <w:color w:val="800080"/>
      <w:u w:val="single"/>
    </w:rPr>
  </w:style>
  <w:style w:type="character" w:styleId="7">
    <w:name w:val="Emphasis"/>
    <w:basedOn w:val="4"/>
    <w:qFormat/>
    <w:uiPriority w:val="0"/>
    <w:rPr>
      <w:i/>
    </w:rPr>
  </w:style>
  <w:style w:type="character" w:styleId="8">
    <w:name w:val="Hyperlink"/>
    <w:basedOn w:val="4"/>
    <w:qFormat/>
    <w:uiPriority w:val="0"/>
    <w:rPr>
      <w:color w:val="0000FF"/>
      <w:u w:val="single"/>
    </w:rPr>
  </w:style>
  <w:style w:type="table" w:customStyle="1" w:styleId="9">
    <w:name w:val="Table Normal"/>
    <w:semiHidden/>
    <w:unhideWhenUsed/>
    <w:qFormat/>
    <w:uiPriority w:val="0"/>
    <w:tblPr>
      <w:tblCellMar>
        <w:top w:w="0" w:type="dxa"/>
        <w:left w:w="0" w:type="dxa"/>
        <w:bottom w:w="0" w:type="dxa"/>
        <w:right w:w="0" w:type="dxa"/>
      </w:tblCellMar>
    </w:tblPr>
  </w:style>
  <w:style w:type="table" w:customStyle="1" w:styleId="10">
    <w:name w:val="TableGrid"/>
    <w:qFormat/>
    <w:uiPriority w:val="0"/>
    <w:pPr>
      <w:spacing w:after="0" w:line="240" w:lineRule="auto"/>
    </w:pPr>
    <w:tblPr>
      <w:tblCellMar>
        <w:top w:w="0" w:type="dxa"/>
        <w:left w:w="0" w:type="dxa"/>
        <w:bottom w:w="0" w:type="dxa"/>
        <w:right w:w="0" w:type="dxa"/>
      </w:tblCellMar>
    </w:tblPr>
  </w:style>
  <w:style w:type="paragraph" w:customStyle="1" w:styleId="11">
    <w:name w:val="Table Text"/>
    <w:basedOn w:val="1"/>
    <w:semiHidden/>
    <w:qFormat/>
    <w:uiPriority w:val="0"/>
    <w:rPr>
      <w:rFonts w:ascii="Arial" w:hAnsi="Arial" w:eastAsia="Arial" w:cs="Arial"/>
      <w:sz w:val="19"/>
      <w:szCs w:val="19"/>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1880</Words>
  <Characters>13272</Characters>
  <TotalTime>54</TotalTime>
  <ScaleCrop>false</ScaleCrop>
  <LinksUpToDate>false</LinksUpToDate>
  <CharactersWithSpaces>14964</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2025-04-02T08:27:00Z</dcterms:created>
  <dc:creator>86173</dc:creator>
  <cp:lastModifiedBy>倒头臃业媳</cp:lastModifiedBy>
  <dcterms:modified xsi:type="dcterms:W3CDTF">2025-10-02T15:57:21Z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2025-06-24T16:27:15Z</vt:filetime>
  </property>
  <property fmtid="{D5CDD505-2E9C-101B-9397-08002B2CF9AE}" pid="4" name="KSOTemplateDocerSaveRecord">
    <vt:lpwstr>eyJoZGlkIjoiYTE4ZmFmYjE0MWVmOWI5NzQ3MWUyMzcxMTIyZGFmOGMiLCJ1c2VySWQiOiIxNzQzOTAxNzg1In0=</vt:lpwstr>
  </property>
  <property fmtid="{D5CDD505-2E9C-101B-9397-08002B2CF9AE}" pid="5" name="KSOProductBuildVer">
    <vt:lpwstr>2052-12.1.0.22529</vt:lpwstr>
  </property>
  <property fmtid="{D5CDD505-2E9C-101B-9397-08002B2CF9AE}" pid="6" name="ICV">
    <vt:lpwstr>5072EC3FE06942BAB5372A6ACAD13AF4_12</vt:lpwstr>
  </property>
</Properties>
</file>