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hAnsi="Times New Roman"/>
          <w:u w:color="000000"/>
          <w:rtl w:val="0"/>
          <w:lang w:val="de-DE"/>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MSIT 5</w:t>
      </w:r>
      <w:r>
        <w:rPr>
          <w:rFonts w:ascii="Times New Roman" w:hAnsi="Times New Roman"/>
          <w:u w:color="000000"/>
          <w:rtl w:val="0"/>
          <w:lang w:val="en-US"/>
          <w14:textOutline w14:w="12700" w14:cap="flat">
            <w14:noFill/>
            <w14:miter w14:lim="400000"/>
          </w14:textOutline>
        </w:rPr>
        <w:t>910</w:t>
      </w:r>
      <w:r>
        <w:rPr>
          <w:rFonts w:ascii="Times New Roman" w:hAnsi="Times New Roman"/>
          <w:u w:color="000000"/>
          <w:rtl w:val="0"/>
          <w:lang w:val="en-US"/>
          <w14:textOutline w14:w="12700" w14:cap="flat">
            <w14:noFill/>
            <w14:miter w14:lim="400000"/>
          </w14:textOutline>
        </w:rPr>
        <w:t xml:space="preserve"> </w:t>
      </w:r>
      <w:r>
        <w:rPr>
          <w:rFonts w:ascii="Times New Roman" w:hAnsi="Times New Roman"/>
          <w:u w:color="000000"/>
          <w:rtl w:val="0"/>
          <w:lang w:val="en-US"/>
          <w14:textOutline w14:w="12700" w14:cap="flat">
            <w14:noFill/>
            <w14:miter w14:lim="400000"/>
          </w14:textOutline>
        </w:rPr>
        <w:t>Capstone</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 xml:space="preserve">Written Assignment Unit </w:t>
      </w:r>
      <w:r>
        <w:rPr>
          <w:rFonts w:ascii="Times New Roman" w:hAnsi="Times New Roman"/>
          <w:u w:color="000000"/>
          <w:rtl w:val="0"/>
          <w:lang w:val="en-US"/>
          <w14:textOutline w14:w="12700" w14:cap="flat">
            <w14:noFill/>
            <w14:miter w14:lim="400000"/>
          </w14:textOutline>
        </w:rPr>
        <w:t>2</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University of the People</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MSIT 5</w:t>
      </w:r>
      <w:r>
        <w:rPr>
          <w:rFonts w:ascii="Times New Roman" w:hAnsi="Times New Roman"/>
          <w:u w:color="000000"/>
          <w:rtl w:val="0"/>
          <w:lang w:val="en-US"/>
          <w14:textOutline w14:w="12700" w14:cap="flat">
            <w14:noFill/>
            <w14:miter w14:lim="400000"/>
          </w14:textOutline>
        </w:rPr>
        <w:t>910</w:t>
      </w:r>
      <w:r>
        <w:rPr>
          <w:rFonts w:ascii="Times New Roman" w:hAnsi="Times New Roman"/>
          <w:u w:color="000000"/>
          <w:rtl w:val="0"/>
          <w:lang w:val="en-US"/>
          <w14:textOutline w14:w="12700" w14:cap="flat">
            <w14:noFill/>
            <w14:miter w14:lim="400000"/>
          </w14:textOutline>
        </w:rPr>
        <w:t xml:space="preserve"> Written Assignment Unit </w:t>
      </w:r>
      <w:r>
        <w:rPr>
          <w:rFonts w:ascii="Times New Roman" w:hAnsi="Times New Roman"/>
          <w:u w:color="000000"/>
          <w:rtl w:val="0"/>
          <w:lang w:val="en-US"/>
          <w14:textOutline w14:w="12700" w14:cap="flat">
            <w14:noFill/>
            <w14:miter w14:lim="400000"/>
          </w14:textOutline>
        </w:rPr>
        <w:t>2</w:t>
      </w:r>
    </w:p>
    <w:p>
      <w:pPr>
        <w:pStyle w:val="デフォルト"/>
        <w:bidi w:val="0"/>
        <w:spacing w:before="0" w:line="480" w:lineRule="auto"/>
        <w:ind w:left="0" w:right="0" w:firstLine="720"/>
        <w:jc w:val="center"/>
        <w:rPr>
          <w:rFonts w:ascii="Times New Roman" w:cs="Times New Roman" w:hAnsi="Times New Roman" w:eastAsia="Times New Roman"/>
          <w:u w:color="000000"/>
          <w:rtl w:val="0"/>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April 18</w:t>
      </w:r>
      <w:r>
        <w:rPr>
          <w:rFonts w:ascii="Times New Roman" w:hAnsi="Times New Roman"/>
          <w:u w:color="000000"/>
          <w:rtl w:val="0"/>
          <w:lang w:val="en-US"/>
          <w14:textOutline w14:w="12700" w14:cap="flat">
            <w14:noFill/>
            <w14:miter w14:lim="400000"/>
          </w14:textOutline>
        </w:rPr>
        <w:t>, 202</w:t>
      </w:r>
      <w:r>
        <w:rPr>
          <w:rFonts w:ascii="Times New Roman" w:hAnsi="Times New Roman"/>
          <w:u w:color="000000"/>
          <w:rtl w:val="0"/>
          <w:lang w:val="en-US"/>
          <w14:textOutline w14:w="12700" w14:cap="flat">
            <w14:noFill/>
            <w14:miter w14:lim="400000"/>
          </w14:textOutline>
        </w:rPr>
        <w:t>6</w:t>
      </w: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line="480" w:lineRule="auto"/>
        <w:ind w:left="0" w:right="0" w:firstLine="720"/>
        <w:jc w:val="center"/>
        <w:rPr>
          <w:rFonts w:ascii="Times New Roman" w:cs="Times New Roman" w:hAnsi="Times New Roman" w:eastAsia="Times New Roman"/>
          <w:u w:color="000000"/>
          <w:rtl w:val="0"/>
          <w:lang w:val="en-US"/>
          <w14:textOutline w14:w="12700" w14:cap="flat">
            <w14:noFill/>
            <w14:miter w14:lim="400000"/>
          </w14:textOutline>
        </w:rPr>
      </w:pPr>
    </w:p>
    <w:p>
      <w:pPr>
        <w:pStyle w:val="デフォルト"/>
        <w:bidi w:val="0"/>
        <w:spacing w:before="0" w:after="322"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Project Proposal: ParkinSync</w:t>
      </w:r>
      <w:r>
        <w:rPr>
          <w:rFonts w:ascii="Times New Roman" w:hAnsi="Times New Roman"/>
          <w:b w:val="1"/>
          <w:bCs w:val="1"/>
          <w:rtl w:val="0"/>
          <w:lang w:val="en-US"/>
        </w:rPr>
        <w:t xml:space="preserve"> - </w:t>
      </w:r>
      <w:r>
        <w:rPr>
          <w:rFonts w:ascii="Times New Roman" w:hAnsi="Times New Roman"/>
          <w:b w:val="1"/>
          <w:bCs w:val="1"/>
          <w:rtl w:val="0"/>
          <w:lang w:val="en-US"/>
        </w:rPr>
        <w:t>An Analog-to-Digital Pipeline for Correlating Medication Adherence, Environmental Triggers, and Physiological Barriers in Parkinson</w:t>
      </w:r>
      <w:r>
        <w:rPr>
          <w:rFonts w:ascii="Times New Roman" w:hAnsi="Times New Roman" w:hint="default"/>
          <w:b w:val="1"/>
          <w:bCs w:val="1"/>
          <w:rtl w:val="1"/>
        </w:rPr>
        <w:t>’</w:t>
      </w:r>
      <w:r>
        <w:rPr>
          <w:rFonts w:ascii="Times New Roman" w:hAnsi="Times New Roman"/>
          <w:b w:val="1"/>
          <w:bCs w:val="1"/>
          <w:rtl w:val="0"/>
          <w:lang w:val="en-US"/>
        </w:rPr>
        <w:t>s Disease Management</w:t>
      </w: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1: Defining the Problem Statement</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1.1 Describe the Problem Context</w:t>
      </w:r>
    </w:p>
    <w:p>
      <w:pPr>
        <w:pStyle w:val="デフォルト"/>
        <w:bidi w:val="0"/>
        <w:spacing w:before="0" w:after="240" w:line="480" w:lineRule="auto"/>
        <w:ind w:left="0" w:right="0" w:firstLine="0"/>
        <w:jc w:val="left"/>
        <w:rPr>
          <w:rFonts w:ascii="Times New Roman" w:cs="Times New Roman" w:hAnsi="Times New Roman" w:eastAsia="Times New Roman"/>
          <w:b w:val="0"/>
          <w:bCs w:val="0"/>
          <w:rtl w:val="0"/>
        </w:rPr>
      </w:pPr>
      <w:r>
        <w:rPr>
          <w:rFonts w:ascii="Times New Roman" w:hAnsi="Times New Roman"/>
          <w:b w:val="0"/>
          <w:bCs w:val="0"/>
          <w:rtl w:val="0"/>
          <w:lang w:val="en-US"/>
        </w:rPr>
        <w:t>Parkinson</w:t>
      </w:r>
      <w:r>
        <w:rPr>
          <w:rFonts w:ascii="Times New Roman" w:hAnsi="Times New Roman" w:hint="default"/>
          <w:b w:val="0"/>
          <w:bCs w:val="0"/>
          <w:rtl w:val="1"/>
        </w:rPr>
        <w:t>’</w:t>
      </w:r>
      <w:r>
        <w:rPr>
          <w:rFonts w:ascii="Times New Roman" w:hAnsi="Times New Roman"/>
          <w:b w:val="0"/>
          <w:bCs w:val="0"/>
          <w:rtl w:val="0"/>
          <w:lang w:val="en-US"/>
        </w:rPr>
        <w:t xml:space="preserve">s Disease </w:t>
      </w:r>
      <w:r>
        <w:rPr>
          <w:rFonts w:ascii="Times New Roman" w:hAnsi="Times New Roman"/>
          <w:b w:val="0"/>
          <w:bCs w:val="0"/>
          <w:rtl w:val="0"/>
          <w:lang w:val="en-US"/>
        </w:rPr>
        <w:t xml:space="preserve">(PD) </w:t>
      </w:r>
      <w:r>
        <w:rPr>
          <w:rFonts w:ascii="Times New Roman" w:hAnsi="Times New Roman"/>
          <w:b w:val="0"/>
          <w:bCs w:val="0"/>
          <w:rtl w:val="0"/>
          <w:lang w:val="en-US"/>
        </w:rPr>
        <w:t>is a progressive neurodegenerative disorder characterized by a complex array of motor and non-motor symptoms. One of the most debilitating aspects of advanced PD is the "OFF" phenomenon, where the clinical benefits of medication wear off before the next dose, leading to sudden rigidity, gait disturbances, and increased fall risks. According to Mantri et al. (2021), these "OFF" periods are not merely a result of time-dosage intervals but are frequently exacerbated by external triggers. Their research, involving 1</w:t>
      </w:r>
      <w:r>
        <w:rPr>
          <w:rFonts w:ascii="Times New Roman" w:hAnsi="Times New Roman"/>
          <w:b w:val="0"/>
          <w:bCs w:val="0"/>
          <w:rtl w:val="0"/>
          <w:lang w:val="en-US"/>
        </w:rPr>
        <w:t>,</w:t>
      </w:r>
      <w:r>
        <w:rPr>
          <w:rFonts w:ascii="Times New Roman" w:hAnsi="Times New Roman"/>
          <w:b w:val="0"/>
          <w:bCs w:val="0"/>
          <w:rtl w:val="0"/>
        </w:rPr>
        <w:t>498</w:t>
      </w:r>
      <w:r>
        <w:rPr>
          <w:rFonts w:ascii="Times New Roman" w:hAnsi="Times New Roman"/>
          <w:b w:val="0"/>
          <w:bCs w:val="0"/>
          <w:rtl w:val="0"/>
          <w:lang w:val="en-US"/>
        </w:rPr>
        <w:t xml:space="preserve"> </w:t>
      </w:r>
      <w:r>
        <w:rPr>
          <w:rFonts w:ascii="Times New Roman" w:hAnsi="Times New Roman"/>
          <w:b w:val="0"/>
          <w:bCs w:val="0"/>
          <w:rtl w:val="0"/>
          <w:lang w:val="en-US"/>
        </w:rPr>
        <w:t>participants, identified that environmental factors</w:t>
      </w:r>
      <w:r>
        <w:rPr>
          <w:rFonts w:ascii="Times New Roman" w:hAnsi="Times New Roman"/>
          <w:b w:val="0"/>
          <w:bCs w:val="0"/>
          <w:rtl w:val="0"/>
          <w:lang w:val="en-US"/>
        </w:rPr>
        <w:t xml:space="preserve">, </w:t>
      </w:r>
      <w:r>
        <w:rPr>
          <w:rFonts w:ascii="Times New Roman" w:hAnsi="Times New Roman"/>
          <w:b w:val="0"/>
          <w:bCs w:val="0"/>
          <w:rtl w:val="0"/>
          <w:lang w:val="en-US"/>
        </w:rPr>
        <w:t>including temperature changes</w:t>
      </w:r>
      <w:r>
        <w:rPr>
          <w:rFonts w:ascii="Times New Roman" w:hAnsi="Times New Roman"/>
          <w:b w:val="0"/>
          <w:bCs w:val="0"/>
          <w:rtl w:val="0"/>
          <w:lang w:val="en-US"/>
        </w:rPr>
        <w:t xml:space="preserve"> </w:t>
      </w:r>
      <w:r>
        <w:rPr>
          <w:rFonts w:ascii="Times New Roman" w:hAnsi="Times New Roman"/>
          <w:b w:val="0"/>
          <w:bCs w:val="0"/>
          <w:rtl w:val="0"/>
          <w:lang w:val="en-US"/>
        </w:rPr>
        <w:t>contribute to approximately 6.8% of reported "OFF" triggers.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Within the IT domain of Health Informatics and Data Analytics, the core challenge lies in the "Information Silo" characteristic of home-care settings. While clinical-grade monitoring exists in laboratory environments, real-world home care relies on fragmented reporting. In the specific case of my father, his treatment involves EC-Doparl (Levodopa/Carbidopa) for motor control and Movicol for managing chronic constipation. The efficacy of EC-Doparl is inherently tied to gastrointestinal (GI) health. As Leta et al. (2023) demonstrate, GI dysfunction, such as delayed gastric emptying and constipation, creates a physiological barrier to Levodopa absorption in the small intestine. When gastric motility is slowed, the medication remains trapped in the stomach, leading to a "delayed-on" or "no-on" response.</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Despite the critical importance of tracking the interplay between medication timing, GI health (stool consistency), and physical condition, this data remains trapped in disparate analog formats. Care assistants, visiting nurses, and family members record these variables in handwritten logs that are never synchronized or analyzed. Consequently, valuable longitudinal data is lost, preventing any data-driven intervention to optimize the medication schedule based on the patient</w:t>
      </w:r>
      <w:r>
        <w:rPr>
          <w:rFonts w:ascii="Times New Roman" w:hAnsi="Times New Roman" w:hint="default"/>
          <w:rtl w:val="1"/>
        </w:rPr>
        <w:t>’</w:t>
      </w:r>
      <w:r>
        <w:rPr>
          <w:rFonts w:ascii="Times New Roman" w:hAnsi="Times New Roman"/>
          <w:rtl w:val="0"/>
          <w:lang w:val="en-US"/>
        </w:rPr>
        <w:t>s unique physiological and environmental profile.</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1.2 Identify the Stakeholders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identification of stakeholders is crucial for understanding the "Value Chain" of the ParkinSync project. The primary stakeholder is the patient (my father), who directly suffers from the unpredictability of motor fluctuations. For him, the value of this project lies in the transition from reactive care to proactive symptom management. By identifying patterns that lead to "OFF" periods, the system can help mitigate fall risks and improve his overall Quality of Life (QoL).</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Secondary stakeholders include the home-care team (helpers and nurses) and family caregivers. Mantri et al. (2021) highlight a significant "communication gap," noting that many patients and caregivers lack the specific clinical language to describe fluctuations to medical professionals. ParkinSync provides these caregivers with a standardized tool that translates their tactile, analog observations into structured clinical data without increasing their cognitive workload. This addresses the "design-user mismatch" identified by Bertolazzi et al. (2024), ensuring that technology serves as a facilitator rather than a barrier to care.</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Finally, the neurologist and medical team represent critical professional stakeholders. Currently, doctors must make dosage adjustments based on anecdotal and retrospective reports provided during brief clinic visits. Providing these professionals with a "Single Pane of Glass" view</w:t>
      </w:r>
      <w:r>
        <w:rPr>
          <w:rFonts w:ascii="Times New Roman" w:hAnsi="Times New Roman"/>
          <w:rtl w:val="0"/>
          <w:lang w:val="en-US"/>
        </w:rPr>
        <w:t xml:space="preserve">, </w:t>
      </w:r>
      <w:r>
        <w:rPr>
          <w:rFonts w:ascii="Times New Roman" w:hAnsi="Times New Roman"/>
          <w:rtl w:val="0"/>
          <w:lang w:val="en-US"/>
        </w:rPr>
        <w:t>a centralized, synchronized dashboard of medication adherence, GI status, and symptom scores</w:t>
      </w:r>
      <w:r>
        <w:rPr>
          <w:rFonts w:ascii="Times New Roman" w:hAnsi="Times New Roman"/>
          <w:rtl w:val="0"/>
          <w:lang w:val="en-US"/>
        </w:rPr>
        <w:t xml:space="preserve">, </w:t>
      </w:r>
      <w:r>
        <w:rPr>
          <w:rFonts w:ascii="Times New Roman" w:hAnsi="Times New Roman"/>
          <w:rtl w:val="0"/>
          <w:lang w:val="en-US"/>
        </w:rPr>
        <w:t>enables precision medicine. This data-driven approach allows for evidence-based pharmacological adjustments, ultimately reducing the trial-and-error nature of PD treatment.</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1.3 Formulate the Problem Statement</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"Currently, the lack of a structured and integrated data pipeline prevents the clinical correlation of medication timing, gastrointestinal motility (specifically constipation managed by Movicol), and environmental triggers in the home-care management of Parkinson</w:t>
      </w:r>
      <w:r>
        <w:rPr>
          <w:rFonts w:ascii="Times New Roman" w:hAnsi="Times New Roman" w:hint="default"/>
          <w:rtl w:val="1"/>
        </w:rPr>
        <w:t>’</w:t>
      </w:r>
      <w:r>
        <w:rPr>
          <w:rFonts w:ascii="Times New Roman" w:hAnsi="Times New Roman"/>
          <w:rtl w:val="0"/>
          <w:lang w:val="en-US"/>
        </w:rPr>
        <w:t>s Disease. This fragmentation results in invisible patterns of 'OFF' fluctuations, leading to suboptimal medication efficacy, an increased risk of patient falls, and a communication gap between home-care providers and medical professionals."</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2: Project Scope, Goals, and Expected Outcomes</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2.1 Define the Project Scope</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scope of the ParkinSync project is strategically designed to bridge the gap between traditional analog caregiving and modern cloud-based analytics. To ensure high user adherence among elderly patients and non-technical caregivers, the project intentionally maintains a paper-based input interface. As Bertolazzi et al. (2024) observe, the most successful health technologies for older adults are those that supplement existing routines rather than replacing them with complex digital-first tools. Therefore, the scope includes the following primary components:</w:t>
      </w:r>
    </w:p>
    <w:p>
      <w:pPr>
        <w:pStyle w:val="デフォルト"/>
        <w:numPr>
          <w:ilvl w:val="0"/>
          <w:numId w:val="2"/>
        </w:numPr>
        <w:bidi w:val="0"/>
        <w:spacing w:before="0" w:after="240" w:line="480" w:lineRule="auto"/>
        <w:ind w:right="0"/>
        <w:jc w:val="left"/>
        <w:rPr>
          <w:rFonts w:ascii="Times New Roman" w:hAnsi="Times New Roman"/>
          <w:rtl w:val="0"/>
        </w:rPr>
      </w:pPr>
      <w:r>
        <w:rPr>
          <w:rFonts w:ascii="Times New Roman" w:hAnsi="Times New Roman"/>
          <w:b w:val="1"/>
          <w:bCs w:val="1"/>
          <w:rtl w:val="0"/>
        </w:rPr>
        <w:t xml:space="preserve">Input Layer (Analog-to-Digital Bridge): </w:t>
      </w:r>
      <w:r>
        <w:rPr>
          <w:rFonts w:ascii="Times New Roman" w:hAnsi="Times New Roman"/>
          <w:rtl w:val="0"/>
          <w:lang w:val="en-US"/>
        </w:rPr>
        <w:t>Development of a standardized, OCR-optimized paper log that captures medication times (EC-Doparl, Movicol), stool consistency, and "OFF" symptom scores. This layer also includes the automated ingestion of environmental data via the OpenWeatherMap API and indoor climate data from IoT sensors, ensuring a multidimensional dataset without increasing manual input burden.</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Integration Layer (Serverless Pipeline):</w:t>
      </w:r>
      <w:r>
        <w:rPr>
          <w:rFonts w:ascii="Times New Roman" w:hAnsi="Times New Roman"/>
          <w:rtl w:val="0"/>
          <w:lang w:val="en-US"/>
        </w:rPr>
        <w:t xml:space="preserve"> Implementation of a serverless architecture using AWS S3 for secure image storage, AWS Lambda for event-driven processing, and AWS Textract for data extraction. The system will be configured to identify specific "Key-Value Pairs" within the handwritten logs, transforming visual data into structured JSON objects.</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Analysis Layer (ML Insights): </w:t>
      </w:r>
      <w:r>
        <w:rPr>
          <w:rFonts w:ascii="Times New Roman" w:hAnsi="Times New Roman"/>
          <w:rtl w:val="0"/>
          <w:lang w:val="en-US"/>
        </w:rPr>
        <w:t>Utilization of Amazon SageMaker to perform feature engineering and statistical correlation analysis. This includes the calculation of Pearson</w:t>
      </w:r>
      <w:r>
        <w:rPr>
          <w:rFonts w:ascii="Times New Roman" w:hAnsi="Times New Roman" w:hint="default"/>
          <w:rtl w:val="1"/>
        </w:rPr>
        <w:t>’</w:t>
      </w:r>
      <w:r>
        <w:rPr>
          <w:rFonts w:ascii="Times New Roman" w:hAnsi="Times New Roman"/>
          <w:rtl w:val="0"/>
          <w:lang w:val="en-US"/>
        </w:rPr>
        <w:t>s r to quantify the relationship between internal physiological barriers (constipation) and external triggers (weather) on the frequency of "OFF" periods.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project explicitly excludes real-time medical diagnostic capabilities or automated medication adjustment features to remain within the boundaries of a "Clinical Decision Support System" rather than a primary medical device. A major constraint is the 8-week timeline, which necessitates a focus on a Minimum Viable Product (MVP) that operates within the AWS Free Tier to maintain economic feasibility.</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2.2 Establish Project Goals (SMART Framework)</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To ensure project success, the following objectives have been established using the SMART framework, supported by existing technical benchmarks:</w:t>
      </w:r>
    </w:p>
    <w:p>
      <w:pPr>
        <w:pStyle w:val="デフォルト"/>
        <w:numPr>
          <w:ilvl w:val="0"/>
          <w:numId w:val="2"/>
        </w:numPr>
        <w:bidi w:val="0"/>
        <w:spacing w:before="0" w:after="240" w:line="480" w:lineRule="auto"/>
        <w:ind w:right="0"/>
        <w:jc w:val="left"/>
        <w:rPr>
          <w:rFonts w:ascii="Times New Roman" w:hAnsi="Times New Roman"/>
          <w:rtl w:val="0"/>
          <w:lang w:val="it-IT"/>
        </w:rPr>
      </w:pPr>
      <w:r>
        <w:rPr>
          <w:rFonts w:ascii="Times New Roman" w:hAnsi="Times New Roman"/>
          <w:b w:val="1"/>
          <w:bCs w:val="1"/>
          <w:rtl w:val="0"/>
          <w:lang w:val="it-IT"/>
        </w:rPr>
        <w:t>Specific:</w:t>
      </w:r>
      <w:r>
        <w:rPr>
          <w:rFonts w:ascii="Times New Roman" w:hAnsi="Times New Roman"/>
          <w:rtl w:val="0"/>
          <w:lang w:val="en-US"/>
        </w:rPr>
        <w:t xml:space="preserve"> Develop a functional "Analog-to-Digital" pipeline that synchronizes discrete home-care logs with cloud-based analytics to identify motor fluctuation patterns in a single Parkinson's patient.</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Measurable: </w:t>
      </w:r>
      <w:r>
        <w:rPr>
          <w:rFonts w:ascii="Times New Roman" w:hAnsi="Times New Roman"/>
          <w:rtl w:val="0"/>
          <w:lang w:val="en-US"/>
        </w:rPr>
        <w:t>Achieve a minimum OCR accuracy of 90% for handwritten logs. This target is corroborated by Kumar et al. (2023), who demonstrated that AWS Textract can achieve up to 89.42% accuracy on clinical handwriting with proper preprocessing. Furthermore, the project aims for a caregiver reporting adherence rate of at least 60% over the 8-week duration.</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Achievable:</w:t>
      </w:r>
      <w:r>
        <w:rPr>
          <w:rFonts w:ascii="Times New Roman" w:hAnsi="Times New Roman"/>
          <w:rtl w:val="0"/>
          <w:lang w:val="en-US"/>
        </w:rPr>
        <w:t xml:space="preserve"> By utilizing a serverless architecture (AWS Lambda) and a managed ML environment (SageMaker), the project eliminates the need for complex server maintenance. This allows the developer to focus on data logic and model refinement, making the 8-week timeline realistic despite full-time employment.</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Relevant: </w:t>
      </w:r>
      <w:r>
        <w:rPr>
          <w:rFonts w:ascii="Times New Roman" w:hAnsi="Times New Roman"/>
          <w:rtl w:val="0"/>
          <w:lang w:val="en-US"/>
        </w:rPr>
        <w:t>The goal directly addresses the "Communication Gap" identified by Mantri et al. (2021) by replacing anecdotal, retrospective symptom reporting with structured, evidence-based data for clinical consultation.</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Time-bound:</w:t>
      </w:r>
      <w:r>
        <w:rPr>
          <w:rFonts w:ascii="Times New Roman" w:hAnsi="Times New Roman"/>
          <w:rtl w:val="0"/>
          <w:lang w:val="en-US"/>
        </w:rPr>
        <w:t xml:space="preserve"> The ingestion pipeline must be operational by Week 4, with the final statistical correlation report delivered by the conclusion of Week 8.</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2.3 Describe Expected Outcomes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successful completion of the ParkinSync project will yield several tangible and measurable outcomes that demonstrate its value as an IT solution:</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Unified Care Dashboard (Google Sheets): </w:t>
      </w:r>
      <w:r>
        <w:rPr>
          <w:rFonts w:ascii="Times New Roman" w:hAnsi="Times New Roman"/>
          <w:rtl w:val="0"/>
          <w:lang w:val="en-US"/>
        </w:rPr>
        <w:t>The primary deliverable will be a centralized repository that displays synchronized data from caregivers, IoT sensors, and weather APIs. This dashboard will provide a "Single Pane of Glass" view, allowing family members and visiting nurses to visualize the patient's status in real-time.</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Statistical Correlation Matrix:</w:t>
      </w:r>
      <w:r>
        <w:rPr>
          <w:rFonts w:ascii="Times New Roman" w:hAnsi="Times New Roman"/>
          <w:rtl w:val="0"/>
          <w:lang w:val="en-US"/>
        </w:rPr>
        <w:t xml:space="preserve"> A formal analysis report generated via SageMaker that quantifies the "Lag Effect" between Movicol usage (GI motility) and the efficacy of EC-Doparl. This will provide actionable insights into how many hours after a constipation event the risk of an "OFF" period increases.</w:t>
      </w:r>
    </w:p>
    <w:p>
      <w:pPr>
        <w:pStyle w:val="デフォルト"/>
        <w:numPr>
          <w:ilvl w:val="0"/>
          <w:numId w:val="2"/>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Validated Ingestion Workflow: </w:t>
      </w:r>
      <w:r>
        <w:rPr>
          <w:rFonts w:ascii="Times New Roman" w:hAnsi="Times New Roman"/>
          <w:rtl w:val="0"/>
          <w:lang w:val="en-US"/>
        </w:rPr>
        <w:t>A proven "Human-in-the-Loop" (HITL) protocol that demonstrates how low-tech care environments can be integrated into high-tech analytics pipelines without disrupting established care routines. This outcome will serve as a foundational prototype for the student</w:t>
      </w:r>
      <w:r>
        <w:rPr>
          <w:rFonts w:ascii="Times New Roman" w:hAnsi="Times New Roman" w:hint="default"/>
          <w:rtl w:val="1"/>
        </w:rPr>
        <w:t>’</w:t>
      </w:r>
      <w:r>
        <w:rPr>
          <w:rFonts w:ascii="Times New Roman" w:hAnsi="Times New Roman"/>
          <w:rtl w:val="0"/>
          <w:lang w:val="en-US"/>
        </w:rPr>
        <w:t>s future doctoral research into healthcare accessibility.</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3</w:t>
      </w:r>
      <w:r>
        <w:rPr>
          <w:rFonts w:ascii="Times New Roman" w:hAnsi="Times New Roman"/>
          <w:b w:val="1"/>
          <w:bCs w:val="1"/>
          <w:rtl w:val="0"/>
          <w:lang w:val="en-US"/>
        </w:rPr>
        <w:t>. Ethical and Security Implications</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3</w:t>
      </w:r>
      <w:r>
        <w:rPr>
          <w:rFonts w:ascii="Times New Roman" w:hAnsi="Times New Roman"/>
          <w:b w:val="1"/>
          <w:bCs w:val="1"/>
          <w:rtl w:val="0"/>
          <w:lang w:val="ru-RU"/>
        </w:rPr>
        <w:t xml:space="preserve">.1 </w:t>
      </w:r>
      <w:r>
        <w:rPr>
          <w:rFonts w:ascii="Times New Roman" w:hAnsi="Times New Roman"/>
          <w:b w:val="1"/>
          <w:bCs w:val="1"/>
          <w:rtl w:val="0"/>
          <w:lang w:val="en-US"/>
        </w:rPr>
        <w:t xml:space="preserve">Identify Potential </w:t>
      </w:r>
      <w:r>
        <w:rPr>
          <w:rFonts w:ascii="Times New Roman" w:hAnsi="Times New Roman"/>
          <w:b w:val="1"/>
          <w:bCs w:val="1"/>
          <w:rtl w:val="0"/>
          <w:lang w:val="en-US"/>
        </w:rPr>
        <w:t>Ethical Issues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management of Personal Health Information (PHI) in a remote monitoring context introduces profound ethical considerations that extend beyond technical implementation. The primary ethical imperative for the ParkinSync project is Informed Consent. Since the project involves digitizing observations made by a rotating team of care assistants, visiting nurses, and facility staff, it is essential that all stakeholders understand how the data will be used. As Raman et al. (2024) argue, the ethical deployment of AI and cloud systems in Parkinson</w:t>
      </w:r>
      <w:r>
        <w:rPr>
          <w:rFonts w:ascii="Times New Roman" w:hAnsi="Times New Roman" w:hint="default"/>
          <w:rtl w:val="1"/>
        </w:rPr>
        <w:t>’</w:t>
      </w:r>
      <w:r>
        <w:rPr>
          <w:rFonts w:ascii="Times New Roman" w:hAnsi="Times New Roman"/>
          <w:rtl w:val="0"/>
          <w:lang w:val="en-US"/>
        </w:rPr>
        <w:t>s care must balance clinical utility with the patient</w:t>
      </w:r>
      <w:r>
        <w:rPr>
          <w:rFonts w:ascii="Times New Roman" w:hAnsi="Times New Roman" w:hint="default"/>
          <w:rtl w:val="1"/>
        </w:rPr>
        <w:t>’</w:t>
      </w:r>
      <w:r>
        <w:rPr>
          <w:rFonts w:ascii="Times New Roman" w:hAnsi="Times New Roman"/>
          <w:rtl w:val="0"/>
          <w:lang w:val="en-US"/>
        </w:rPr>
        <w:t>s right to privacy and autonomy. Therefore, a simplified yet comprehensive consent framework will be established, ensuring that every caregiver is aware that their analog logs are being transformed into a digital dataset for the sole purpose of improving the patient</w:t>
      </w:r>
      <w:r>
        <w:rPr>
          <w:rFonts w:ascii="Times New Roman" w:hAnsi="Times New Roman" w:hint="default"/>
          <w:rtl w:val="1"/>
        </w:rPr>
        <w:t>’</w:t>
      </w:r>
      <w:r>
        <w:rPr>
          <w:rFonts w:ascii="Times New Roman" w:hAnsi="Times New Roman"/>
          <w:rtl w:val="0"/>
          <w:lang w:val="en-US"/>
        </w:rPr>
        <w:t>s clinical outcomes.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Furthermore, the principle of "Beneficence" (acting in the best interest of the patient) must be weighed against "Non-maleficence" (avoiding harm). There is a subtle ethical risk regarding "Data Over-reliance," where caregivers might feel their professional judgment is being superseded by algorithmic insights. To mitigate this, ParkinSync is designed as a decision-support tool, emphasizing that the final care decisions remain with the medical professionals and family members, thereby preserving the "Human-in-the-Loop" ethical standard.</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3</w:t>
      </w:r>
      <w:r>
        <w:rPr>
          <w:rFonts w:ascii="Times New Roman" w:hAnsi="Times New Roman"/>
          <w:b w:val="1"/>
          <w:bCs w:val="1"/>
          <w:rtl w:val="0"/>
        </w:rPr>
        <w:t xml:space="preserve">.2 </w:t>
      </w:r>
      <w:r>
        <w:rPr>
          <w:rFonts w:ascii="Times New Roman" w:hAnsi="Times New Roman"/>
          <w:b w:val="1"/>
          <w:bCs w:val="1"/>
          <w:rtl w:val="0"/>
          <w:lang w:val="en-US"/>
        </w:rPr>
        <w:t xml:space="preserve">Evaluate </w:t>
      </w:r>
      <w:r>
        <w:rPr>
          <w:rFonts w:ascii="Times New Roman" w:hAnsi="Times New Roman"/>
          <w:b w:val="1"/>
          <w:bCs w:val="1"/>
          <w:rtl w:val="0"/>
          <w:lang w:val="en-US"/>
        </w:rPr>
        <w:t>Security Implications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In the era of cloud computing, the security of health data is subject to multiple threat vectors, including unauthorized access, data leakage during transit, and the compromise of cloud credentials. For ParkinSync, the integration between AWS and the Google Sheets API represents a critical "Attack Surface" that must be secured. A primary risk is the "Exposure of PHI" if the S3 buckets or the Google Sheet were to be misconfigured as public.</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Following the AWS Shared Responsibility Model, the security "of" the cloud is managed by AWS, but the security of the data "in" the cloud is the responsibility of the student. According to Raman et al. (2024), the vulnerability of Parkinson</w:t>
      </w:r>
      <w:r>
        <w:rPr>
          <w:rFonts w:ascii="Times New Roman" w:hAnsi="Times New Roman" w:hint="default"/>
          <w:rtl w:val="1"/>
        </w:rPr>
        <w:t>’</w:t>
      </w:r>
      <w:r>
        <w:rPr>
          <w:rFonts w:ascii="Times New Roman" w:hAnsi="Times New Roman"/>
          <w:rtl w:val="0"/>
          <w:lang w:val="fr-FR"/>
        </w:rPr>
        <w:t>s patients</w:t>
      </w:r>
      <w:r>
        <w:rPr>
          <w:rFonts w:ascii="Times New Roman" w:hAnsi="Times New Roman"/>
          <w:rtl w:val="0"/>
          <w:lang w:val="en-US"/>
        </w:rPr>
        <w:t xml:space="preserve">, </w:t>
      </w:r>
      <w:r>
        <w:rPr>
          <w:rFonts w:ascii="Times New Roman" w:hAnsi="Times New Roman"/>
          <w:rtl w:val="0"/>
          <w:lang w:val="en-US"/>
        </w:rPr>
        <w:t>who may be cognitively or physically impaired</w:t>
      </w:r>
      <w:r>
        <w:rPr>
          <w:rFonts w:ascii="Times New Roman" w:hAnsi="Times New Roman"/>
          <w:rtl w:val="0"/>
          <w:lang w:val="en-US"/>
        </w:rPr>
        <w:t xml:space="preserve">, </w:t>
      </w:r>
      <w:r>
        <w:rPr>
          <w:rFonts w:ascii="Times New Roman" w:hAnsi="Times New Roman"/>
          <w:rtl w:val="0"/>
          <w:lang w:val="en-US"/>
        </w:rPr>
        <w:t>places a higher moral and technical burden on the system architect to ensure data integrity. Risks such as "Man-in-the-Middle" (MitM) attacks during the transfer of scanned logs from a mobile device to the S3 bucket, or the potential for "Insecure Secrets Management" (e.g., hardcoding API keys), are significant technical concerns that must be addressed during the initial planning phase.</w:t>
      </w:r>
    </w:p>
    <w:p>
      <w:pPr>
        <w:pStyle w:val="デフォルト"/>
        <w:bidi w:val="0"/>
        <w:spacing w:before="0" w:after="240" w:line="480" w:lineRule="auto"/>
        <w:ind w:left="0" w:right="0" w:firstLine="0"/>
        <w:jc w:val="left"/>
        <w:rPr>
          <w:rFonts w:ascii="Times New Roman" w:cs="Times New Roman" w:hAnsi="Times New Roman" w:eastAsia="Times New Roman"/>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3.3 Propose Mitigation Measures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To address the identified risks, ParkinSync adopts a multi-layered security strategy aligned with industry standards and academic recommendations:</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Data De-identification and Anonymization: </w:t>
      </w:r>
      <w:r>
        <w:rPr>
          <w:rFonts w:ascii="Times New Roman" w:hAnsi="Times New Roman"/>
          <w:rtl w:val="0"/>
          <w:lang w:val="en-US"/>
        </w:rPr>
        <w:t>To minimize the impact of a potential breach, no personally identifiable information (PII) such as the patient</w:t>
      </w:r>
      <w:r>
        <w:rPr>
          <w:rFonts w:ascii="Times New Roman" w:hAnsi="Times New Roman" w:hint="default"/>
          <w:rtl w:val="1"/>
        </w:rPr>
        <w:t>’</w:t>
      </w:r>
      <w:r>
        <w:rPr>
          <w:rFonts w:ascii="Times New Roman" w:hAnsi="Times New Roman"/>
          <w:rtl w:val="0"/>
          <w:lang w:val="en-US"/>
        </w:rPr>
        <w:t>s full name, address, or government ID will be stored in the cloud. All records will be associated with a unique Patient ID (e.g., PS-001). This ensures that even if the dataset were compromised, the data could not be easily re-linked to a specific individual.</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Robust Encryption Standards:</w:t>
      </w:r>
      <w:r>
        <w:rPr>
          <w:rFonts w:ascii="Times New Roman" w:hAnsi="Times New Roman"/>
          <w:rtl w:val="0"/>
          <w:lang w:val="en-US"/>
        </w:rPr>
        <w:t xml:space="preserve"> In alignment with the BPNN framework proposed by Raman et al. (2024), ParkinSync will implement AES-256 encryption at rest using AWS </w:t>
      </w:r>
      <w:r>
        <w:rPr>
          <w:rFonts w:ascii="Times New Roman" w:hAnsi="Times New Roman"/>
          <w:rtl w:val="0"/>
          <w:lang w:val="en-US"/>
        </w:rPr>
        <w:t>KMS (</w:t>
      </w:r>
      <w:r>
        <w:rPr>
          <w:rFonts w:ascii="Times New Roman" w:hAnsi="Times New Roman"/>
          <w:rtl w:val="0"/>
          <w:lang w:val="en-US"/>
        </w:rPr>
        <w:t>Key Management Service). For data in transit, the system will enforce TLS 1.2 or higher for all API interactions between AWS Lambda, OpenWeatherMap, and the Google Sheets API, preventing unauthorized interception.</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Identity and Access Management (IAM): </w:t>
      </w:r>
      <w:r>
        <w:rPr>
          <w:rFonts w:ascii="Times New Roman" w:hAnsi="Times New Roman"/>
          <w:rtl w:val="0"/>
          <w:lang w:val="en-US"/>
        </w:rPr>
        <w:t>The project will strictly adhere to the "Principle of Least Privilege." The Lambda function responsible for data transformation will be assigned a specific IAM Role that grants access only to the necessary S3 bucket and Secrets Manager entry. AWS Secrets Manager will be utilized to store and rotate the Google Sheets API credentials, ensuring that no sensitive tokens are exposed in the source code.</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Auditability and Logging: </w:t>
      </w:r>
      <w:r>
        <w:rPr>
          <w:rFonts w:ascii="Times New Roman" w:hAnsi="Times New Roman"/>
          <w:rtl w:val="0"/>
          <w:lang w:val="en-US"/>
        </w:rPr>
        <w:t>AWS CloudWatch will be configured to maintain a comprehensive "Audit Trail" of all system activities. This provides transparency regarding who accessed the data and when, allowing for rapid incident response and fulfilling the ethical requirement for accountability in healthcare IT.</w:t>
      </w:r>
    </w:p>
    <w:p>
      <w:pPr>
        <w:pStyle w:val="デフォルト"/>
        <w:bidi w:val="0"/>
        <w:spacing w:before="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Beyond immediate security protocols, the project will adhere to strict </w:t>
      </w:r>
      <w:r>
        <w:rPr>
          <w:rFonts w:ascii="Times New Roman" w:hAnsi="Times New Roman"/>
          <w:b w:val="1"/>
          <w:bCs w:val="1"/>
          <w:rtl w:val="0"/>
          <w:lang w:val="pt-PT"/>
        </w:rPr>
        <w:t>Data Governance</w:t>
      </w:r>
      <w:r>
        <w:rPr>
          <w:rFonts w:ascii="Times New Roman" w:hAnsi="Times New Roman"/>
          <w:rtl w:val="0"/>
          <w:lang w:val="en-US"/>
        </w:rPr>
        <w:t xml:space="preserve"> standards. This includes a </w:t>
      </w:r>
      <w:r>
        <w:rPr>
          <w:rFonts w:ascii="Times New Roman" w:hAnsi="Times New Roman"/>
          <w:b w:val="1"/>
          <w:bCs w:val="1"/>
          <w:rtl w:val="0"/>
          <w:lang w:val="en-US"/>
        </w:rPr>
        <w:t>Data Lifecycle Policy</w:t>
      </w:r>
      <w:r>
        <w:rPr>
          <w:rFonts w:ascii="Times New Roman" w:hAnsi="Times New Roman"/>
          <w:rtl w:val="0"/>
          <w:lang w:val="en-US"/>
        </w:rPr>
        <w:t xml:space="preserve"> where raw images are transitioned to AWS S3 Glacier for long-term encrypted storage before eventual deletion, minimizing the data footprint. Furthermore, an </w:t>
      </w:r>
      <w:r>
        <w:rPr>
          <w:rFonts w:ascii="Times New Roman" w:hAnsi="Times New Roman"/>
          <w:b w:val="1"/>
          <w:bCs w:val="1"/>
          <w:rtl w:val="0"/>
          <w:lang w:val="en-US"/>
        </w:rPr>
        <w:t>Audit Trail</w:t>
      </w:r>
      <w:r>
        <w:rPr>
          <w:rFonts w:ascii="Times New Roman" w:hAnsi="Times New Roman"/>
          <w:rtl w:val="0"/>
          <w:lang w:val="fr-FR"/>
        </w:rPr>
        <w:t xml:space="preserve"> will be maintained via AWS CloudWatch, logging every access request to the patient</w:t>
      </w:r>
      <w:r>
        <w:rPr>
          <w:rFonts w:ascii="Times New Roman" w:hAnsi="Times New Roman" w:hint="default"/>
          <w:rtl w:val="1"/>
        </w:rPr>
        <w:t>’</w:t>
      </w:r>
      <w:r>
        <w:rPr>
          <w:rFonts w:ascii="Times New Roman" w:hAnsi="Times New Roman"/>
          <w:rtl w:val="0"/>
          <w:lang w:val="en-US"/>
        </w:rPr>
        <w:t>s health data to ensure accountability and transparency, aligning with the ethical standards proposed by Raman et al. (2024).</w:t>
      </w:r>
    </w:p>
    <w:p>
      <w:pPr>
        <w:pStyle w:val="デフォルト"/>
        <w:bidi w:val="0"/>
        <w:spacing w:before="0" w:line="480" w:lineRule="auto"/>
        <w:ind w:left="0" w:right="0" w:firstLine="0"/>
        <w:jc w:val="left"/>
        <w:rPr>
          <w:rFonts w:ascii="Times New Roman" w:cs="Times New Roman" w:hAnsi="Times New Roman" w:eastAsia="Times New Roman"/>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4</w:t>
      </w:r>
      <w:r>
        <w:rPr>
          <w:rFonts w:ascii="Times New Roman" w:hAnsi="Times New Roman"/>
          <w:b w:val="1"/>
          <w:bCs w:val="1"/>
          <w:rtl w:val="0"/>
          <w:lang w:val="en-US"/>
        </w:rPr>
        <w:t>. Project Planning Tools</w:t>
      </w: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4.1 Create a Gantt Chart</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To manage the 8-week timeline of the MSIT Capstone, the ParkinSync project utilizes a structured Gantt chart developed in Notion</w:t>
      </w:r>
      <w:r>
        <w:rPr>
          <w:rFonts w:ascii="Times New Roman" w:hAnsi="Times New Roman" w:hint="default"/>
          <w:rtl w:val="1"/>
        </w:rPr>
        <w:t>’</w:t>
      </w:r>
      <w:r>
        <w:rPr>
          <w:rFonts w:ascii="Times New Roman" w:hAnsi="Times New Roman"/>
          <w:rtl w:val="0"/>
          <w:lang w:val="en-US"/>
        </w:rPr>
        <w:t>s Timeline view. This visual tool is essential for identifying critical dependencies</w:t>
      </w:r>
      <w:r>
        <w:rPr>
          <w:rFonts w:ascii="Times New Roman" w:hAnsi="Times New Roman"/>
          <w:rtl w:val="0"/>
          <w:lang w:val="en-US"/>
        </w:rPr>
        <w:t xml:space="preserve">, </w:t>
      </w:r>
      <w:r>
        <w:rPr>
          <w:rFonts w:ascii="Times New Roman" w:hAnsi="Times New Roman"/>
          <w:rtl w:val="0"/>
          <w:lang w:val="en-US"/>
        </w:rPr>
        <w:t>for instance, the data analysis in SageMaker cannot commence until the AWS Lambda ingestion pipeline is stabilized. The project is divided into four distinct two-week "Sprints" to ensure iterative progress:</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rtl w:val="0"/>
          <w:lang w:val="en-US"/>
        </w:rPr>
        <w:t>Weeks 1-2 (Initiation &amp; Design): Focus on finalizing the unified paper log design and the Google Sheets database schema. This phase is critical for "Data Normalization," ensuring that all handwritten inputs map correctly to digital columns. As Oguz (2025) notes, thorough planning in the initiation phase significantly reduces the risk of "Scope Creep" later in the IT project lifecycle.</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rtl w:val="0"/>
          <w:lang w:val="en-US"/>
        </w:rPr>
        <w:t>Weeks 3-4 (Infrastructure Development): Technical implementation of the AWS environment. This includes configuring S3 buckets, developing the Lambda transformation logic, and fine-tuning the AWS Textract parameters to optimize for the patient</w:t>
      </w:r>
      <w:r>
        <w:rPr>
          <w:rFonts w:ascii="Times New Roman" w:hAnsi="Times New Roman" w:hint="default"/>
          <w:rtl w:val="1"/>
        </w:rPr>
        <w:t>’</w:t>
      </w:r>
      <w:r>
        <w:rPr>
          <w:rFonts w:ascii="Times New Roman" w:hAnsi="Times New Roman"/>
          <w:rtl w:val="0"/>
          <w:lang w:val="en-US"/>
        </w:rPr>
        <w:t>s specific handwriting style.</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rtl w:val="0"/>
          <w:lang w:val="en-US"/>
        </w:rPr>
        <w:t>Weeks 5-6 (Integration &amp; Feature Engineering): Automating the weather API ingestion and beginning the ML process in SageMaker. This phase includes the critical task of "Lag Variable Creation," where gastrointestinal data is temporally aligned with symptom scores.</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rtl w:val="0"/>
          <w:lang w:val="en-US"/>
        </w:rPr>
        <w:t>Weeks 7-8 (Testing, Evaluation, &amp; Closure): Conducting a final end-to-end system test and generating the correlation report. The final week is reserved for the presentation and the publication of the digital portfolio, fulfilling the communication expectations of the capstone.</w:t>
      </w:r>
      <w:r>
        <w:rPr>
          <w:rFonts w:ascii="Times New Roman" w:cs="Times New Roman" w:hAnsi="Times New Roman" w:eastAsia="Times New Roman"/>
          <w:rtl w:val="0"/>
        </w:rPr>
        <w:drawing xmlns:a="http://schemas.openxmlformats.org/drawingml/2006/main">
          <wp:anchor distT="152400" distB="152400" distL="152400" distR="152400" simplePos="0" relativeHeight="251659264" behindDoc="0" locked="0" layoutInCell="1" allowOverlap="1">
            <wp:simplePos x="0" y="0"/>
            <wp:positionH relativeFrom="margin">
              <wp:posOffset>135381</wp:posOffset>
            </wp:positionH>
            <wp:positionV relativeFrom="line">
              <wp:posOffset>431933</wp:posOffset>
            </wp:positionV>
            <wp:extent cx="6120057" cy="1288433"/>
            <wp:effectExtent l="0" t="0" r="0" b="0"/>
            <wp:wrapThrough wrapText="bothSides" distL="152400" distR="152400">
              <wp:wrapPolygon edited="1">
                <wp:start x="0" y="0"/>
                <wp:lineTo x="21600" y="0"/>
                <wp:lineTo x="21600" y="21642"/>
                <wp:lineTo x="0" y="21642"/>
                <wp:lineTo x="0" y="0"/>
              </wp:wrapPolygon>
            </wp:wrapThrough>
            <wp:docPr id="1073741825" name="officeArt object" descr="スクリーンショット 2026-04-11 20.56.32.png"/>
            <wp:cNvGraphicFramePr/>
            <a:graphic xmlns:a="http://schemas.openxmlformats.org/drawingml/2006/main">
              <a:graphicData uri="http://schemas.openxmlformats.org/drawingml/2006/picture">
                <pic:pic xmlns:pic="http://schemas.openxmlformats.org/drawingml/2006/picture">
                  <pic:nvPicPr>
                    <pic:cNvPr id="1073741825" name="スクリーンショット 2026-04-11 20.56.32.png" descr="スクリーンショット 2026-04-11 20.56.32.png"/>
                    <pic:cNvPicPr>
                      <a:picLocks noChangeAspect="1"/>
                    </pic:cNvPicPr>
                  </pic:nvPicPr>
                  <pic:blipFill>
                    <a:blip r:embed="rId4">
                      <a:extLst/>
                    </a:blip>
                    <a:stretch>
                      <a:fillRect/>
                    </a:stretch>
                  </pic:blipFill>
                  <pic:spPr>
                    <a:xfrm>
                      <a:off x="0" y="0"/>
                      <a:ext cx="6120057" cy="1288433"/>
                    </a:xfrm>
                    <a:prstGeom prst="rect">
                      <a:avLst/>
                    </a:prstGeom>
                    <a:ln w="12700" cap="flat">
                      <a:noFill/>
                      <a:miter lim="400000"/>
                    </a:ln>
                    <a:effectLst/>
                  </pic:spPr>
                </pic:pic>
              </a:graphicData>
            </a:graphic>
          </wp:anchor>
        </w:drawing>
      </w:r>
    </w:p>
    <w:p>
      <w:pPr>
        <w:pStyle w:val="デフォルト"/>
        <w:bidi w:val="0"/>
        <w:spacing w:before="0" w:after="240" w:line="480" w:lineRule="auto"/>
        <w:ind w:left="0" w:right="0" w:firstLine="0"/>
        <w:jc w:val="left"/>
        <w:rPr>
          <w:rFonts w:ascii="Times New Roman" w:cs="Times New Roman" w:hAnsi="Times New Roman" w:eastAsia="Times New Roman"/>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4.2 Develop a Resource Justification Table</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selection of technologies for ParkinSync was governed by a "Value-vs-Effort" analysis, prioritizing high-impact managed services that minimize technical debt.</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9"/>
        <w:gridCol w:w="1099"/>
        <w:gridCol w:w="7092"/>
      </w:tblGrid>
      <w:tr>
        <w:tblPrEx>
          <w:shd w:val="clear" w:color="auto" w:fill="auto"/>
        </w:tblPrEx>
        <w:trPr>
          <w:trHeight w:val="597" w:hRule="atLeast"/>
        </w:trPr>
        <w:tc>
          <w:tcPr>
            <w:tcW w:type="dxa" w:w="1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Resource Category</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Tool Selection</w:t>
            </w:r>
          </w:p>
        </w:tc>
        <w:tc>
          <w:tcPr>
            <w:tcW w:type="dxa" w:w="70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Technical and Strategic Justification</w:t>
            </w:r>
          </w:p>
        </w:tc>
      </w:tr>
      <w:tr>
        <w:tblPrEx>
          <w:shd w:val="clear" w:color="auto" w:fill="auto"/>
        </w:tblPrEx>
        <w:trPr>
          <w:trHeight w:val="1197" w:hRule="atLeast"/>
        </w:trPr>
        <w:tc>
          <w:tcPr>
            <w:tcW w:type="dxa" w:w="1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Cloud OCR</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AWS Textract</w:t>
            </w:r>
          </w:p>
        </w:tc>
        <w:tc>
          <w:tcPr>
            <w:tcW w:type="dxa" w:w="70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Superior to open-source tools like Tesseract in extracting structured data from tables. As validated by Kumar et al. (2023), its ability to handle "Key-Value Pairs" is essential for the accuracy of clinical medication logs.</w:t>
            </w:r>
          </w:p>
        </w:tc>
      </w:tr>
      <w:tr>
        <w:tblPrEx>
          <w:shd w:val="clear" w:color="auto" w:fill="auto"/>
        </w:tblPrEx>
        <w:trPr>
          <w:trHeight w:val="897" w:hRule="atLeast"/>
        </w:trPr>
        <w:tc>
          <w:tcPr>
            <w:tcW w:type="dxa" w:w="1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Serverless Backend</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AWS Lambda</w:t>
            </w:r>
          </w:p>
        </w:tc>
        <w:tc>
          <w:tcPr>
            <w:tcW w:type="dxa" w:w="70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Eliminates the overhead of server management. Its event-driven nature is perfect for the intermittent scanning schedule of caregivers, ensuring zero cost when the system is idle.</w:t>
            </w:r>
          </w:p>
        </w:tc>
      </w:tr>
      <w:tr>
        <w:tblPrEx>
          <w:shd w:val="clear" w:color="auto" w:fill="auto"/>
        </w:tblPrEx>
        <w:trPr>
          <w:trHeight w:val="897" w:hRule="atLeast"/>
        </w:trPr>
        <w:tc>
          <w:tcPr>
            <w:tcW w:type="dxa" w:w="1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Analytics Engine</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Amazon SageMaker</w:t>
            </w:r>
          </w:p>
        </w:tc>
        <w:tc>
          <w:tcPr>
            <w:tcW w:type="dxa" w:w="70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Provides an industrial-grade environment for MLOps. It allows for the rapid iteration of correlation models and provides a scalable platform for future predictive analysis beyond the capstone scope.</w:t>
            </w:r>
          </w:p>
        </w:tc>
      </w:tr>
      <w:tr>
        <w:tblPrEx>
          <w:shd w:val="clear" w:color="auto" w:fill="auto"/>
        </w:tblPrEx>
        <w:trPr>
          <w:trHeight w:val="897" w:hRule="atLeast"/>
        </w:trPr>
        <w:tc>
          <w:tcPr>
            <w:tcW w:type="dxa" w:w="1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User Interface / DB</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Google Sheets API</w:t>
            </w:r>
          </w:p>
        </w:tc>
        <w:tc>
          <w:tcPr>
            <w:tcW w:type="dxa" w:w="70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Used as a "Relational-lite" database. This choice is strategic to reduce the "Digital Divide," providing family stakeholders with a familiar, non-intimidating interface to view and verify data.</w:t>
            </w:r>
          </w:p>
        </w:tc>
      </w:tr>
      <w:tr>
        <w:tblPrEx>
          <w:shd w:val="clear" w:color="auto" w:fill="auto"/>
        </w:tblPrEx>
        <w:trPr>
          <w:trHeight w:val="897" w:hRule="atLeast"/>
        </w:trPr>
        <w:tc>
          <w:tcPr>
            <w:tcW w:type="dxa" w:w="14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Project Management</w:t>
            </w:r>
          </w:p>
        </w:tc>
        <w:tc>
          <w:tcPr>
            <w:tcW w:type="dxa" w:w="10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Notion &amp; GitHub</w:t>
            </w:r>
          </w:p>
        </w:tc>
        <w:tc>
          <w:tcPr>
            <w:tcW w:type="dxa" w:w="70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表スタイル2"/>
              <w:bidi w:val="0"/>
              <w:ind w:left="0" w:right="0" w:firstLine="0"/>
              <w:jc w:val="left"/>
              <w:rPr>
                <w:rtl w:val="0"/>
              </w:rPr>
            </w:pPr>
            <w:r>
              <w:rPr>
                <w:rFonts w:ascii="Times New Roman" w:hAnsi="Times New Roman"/>
                <w:sz w:val="24"/>
                <w:szCs w:val="24"/>
                <w:rtl w:val="0"/>
              </w:rPr>
              <w:t>Notion serves as the centralized "Knowledge Base" and Gantt chart, while GitHub Actions provides the CI/CD pipeline necessary for professional software deployment standards.</w:t>
            </w:r>
          </w:p>
        </w:tc>
      </w:tr>
    </w:tbl>
    <w:p>
      <w:pPr>
        <w:pStyle w:val="デフォルト"/>
        <w:bidi w:val="0"/>
        <w:spacing w:before="0" w:line="240" w:lineRule="auto"/>
        <w:ind w:left="0" w:right="0" w:firstLine="0"/>
        <w:jc w:val="left"/>
        <w:rPr>
          <w:rFonts w:ascii="Helvetica" w:cs="Helvetica" w:hAnsi="Helvetica" w:eastAsia="Helvetica"/>
          <w:b w:val="0"/>
          <w:bCs w:val="0"/>
          <w:rtl w:val="0"/>
        </w:rPr>
      </w:pPr>
    </w:p>
    <w:p>
      <w:pPr>
        <w:pStyle w:val="デフォルト"/>
        <w:bidi w:val="0"/>
        <w:spacing w:before="0" w:line="240" w:lineRule="auto"/>
        <w:ind w:left="0" w:right="0" w:firstLine="0"/>
        <w:jc w:val="left"/>
        <w:rPr>
          <w:rFonts w:ascii="Helvetica" w:cs="Helvetica" w:hAnsi="Helvetica" w:eastAsia="Helvetica"/>
          <w:b w:val="1"/>
          <w:bCs w:val="1"/>
          <w:rtl w:val="0"/>
        </w:rPr>
      </w:pPr>
    </w:p>
    <w:p>
      <w:pPr>
        <w:pStyle w:val="デフォルト"/>
        <w:bidi w:val="0"/>
        <w:spacing w:before="0" w:after="281"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4</w:t>
      </w:r>
      <w:r>
        <w:rPr>
          <w:rFonts w:ascii="Times New Roman" w:hAnsi="Times New Roman"/>
          <w:b w:val="1"/>
          <w:bCs w:val="1"/>
          <w:rtl w:val="0"/>
          <w:lang w:val="en-US"/>
        </w:rPr>
        <w:t>.3 Feasibility Checklist</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A comprehensive feasibility assessment was conducted to ensure that ParkinSync is not only a conceptual success but a practical one within the </w:t>
      </w:r>
      <w:r>
        <w:rPr>
          <w:rFonts w:ascii="Times New Roman" w:hAnsi="Times New Roman"/>
          <w:rtl w:val="0"/>
          <w:lang w:val="en-US"/>
        </w:rPr>
        <w:t xml:space="preserve">8 weeks </w:t>
      </w:r>
      <w:r>
        <w:rPr>
          <w:rFonts w:ascii="Times New Roman" w:hAnsi="Times New Roman"/>
          <w:rtl w:val="0"/>
          <w:lang w:val="en-US"/>
        </w:rPr>
        <w:t>constraints of a student-led project.</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Technical Feasibility: </w:t>
      </w:r>
      <w:r>
        <w:rPr>
          <w:rFonts w:ascii="Times New Roman" w:hAnsi="Times New Roman"/>
          <w:rtl w:val="0"/>
          <w:lang w:val="en-US"/>
        </w:rPr>
        <w:t>The project leverages established APIs and managed cloud services. The high accuracy of AWS Textract documented by Kumar et al. (2023) and the availability of pre-built SageMaker kernels for statistical analysis confirm that the technical requirements are well within the reach of an MSIT candidate with a background in Computer Science.</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Operational Feasibility: </w:t>
      </w:r>
      <w:r>
        <w:rPr>
          <w:rFonts w:ascii="Times New Roman" w:hAnsi="Times New Roman"/>
          <w:rtl w:val="0"/>
          <w:lang w:val="en-US"/>
        </w:rPr>
        <w:t>This is the project</w:t>
      </w:r>
      <w:r>
        <w:rPr>
          <w:rFonts w:ascii="Times New Roman" w:hAnsi="Times New Roman" w:hint="default"/>
          <w:rtl w:val="1"/>
        </w:rPr>
        <w:t>’</w:t>
      </w:r>
      <w:r>
        <w:rPr>
          <w:rFonts w:ascii="Times New Roman" w:hAnsi="Times New Roman"/>
          <w:rtl w:val="0"/>
          <w:lang w:val="en-US"/>
        </w:rPr>
        <w:t>s strongest suit. By utilizing a paper-based input system, ParkinSync achieves "Zero Disruption" to the caregivers</w:t>
      </w:r>
      <w:r>
        <w:rPr>
          <w:rFonts w:ascii="Times New Roman" w:hAnsi="Times New Roman" w:hint="default"/>
          <w:rtl w:val="1"/>
        </w:rPr>
        <w:t xml:space="preserve">’ </w:t>
      </w:r>
      <w:r>
        <w:rPr>
          <w:rFonts w:ascii="Times New Roman" w:hAnsi="Times New Roman"/>
          <w:rtl w:val="0"/>
          <w:lang w:val="en-US"/>
        </w:rPr>
        <w:t>existing routines. This minimizes the risk of system abandonment and ensures a consistent flow of high-quality data, which is often the primary failure point in digital health interventions (Bertolazzi et al., 2024).</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Economic Feasibility:</w:t>
      </w:r>
      <w:r>
        <w:rPr>
          <w:rFonts w:ascii="Times New Roman" w:hAnsi="Times New Roman"/>
          <w:rtl w:val="0"/>
          <w:lang w:val="en-US"/>
        </w:rPr>
        <w:t xml:space="preserve"> The entire architecture is designed to stay within the AWS Free Tier and the free usage limits of Google Cloud and OpenWeatherMap. This results in an estimated monthly operating cost of $0.00, making it highly sustainable for long-term home-care use without financial burden.</w:t>
      </w:r>
    </w:p>
    <w:p>
      <w:pPr>
        <w:pStyle w:val="デフォルト"/>
        <w:numPr>
          <w:ilvl w:val="0"/>
          <w:numId w:val="3"/>
        </w:numPr>
        <w:bidi w:val="0"/>
        <w:spacing w:before="0" w:after="240" w:line="480" w:lineRule="auto"/>
        <w:ind w:right="0"/>
        <w:jc w:val="left"/>
        <w:rPr>
          <w:rFonts w:ascii="Times New Roman" w:hAnsi="Times New Roman"/>
          <w:rtl w:val="0"/>
          <w:lang w:val="en-US"/>
        </w:rPr>
      </w:pPr>
      <w:r>
        <w:rPr>
          <w:rFonts w:ascii="Times New Roman" w:hAnsi="Times New Roman"/>
          <w:b w:val="1"/>
          <w:bCs w:val="1"/>
          <w:rtl w:val="0"/>
          <w:lang w:val="en-US"/>
        </w:rPr>
        <w:t xml:space="preserve">Schedule Feasibility: </w:t>
      </w:r>
      <w:r>
        <w:rPr>
          <w:rFonts w:ascii="Times New Roman" w:hAnsi="Times New Roman"/>
          <w:rtl w:val="0"/>
          <w:lang w:val="en-US"/>
        </w:rPr>
        <w:t>By adopting a "Lightweight" project management approach and focusing on an Minimum Viable Product</w:t>
      </w:r>
      <w:r>
        <w:rPr>
          <w:rFonts w:ascii="Times New Roman" w:hAnsi="Times New Roman"/>
          <w:rtl w:val="0"/>
          <w:lang w:val="en-US"/>
        </w:rPr>
        <w:t xml:space="preserve"> (MVP</w:t>
      </w:r>
      <w:r>
        <w:rPr>
          <w:rFonts w:ascii="Times New Roman" w:hAnsi="Times New Roman"/>
          <w:rtl w:val="0"/>
          <w:lang w:val="en-US"/>
        </w:rPr>
        <w:t>), the 8-week schedule is achievable even with full-time professional commitments. The use of managed services allows the focus to remain on "Problem Solving" rather than "Infrastructure Management."</w:t>
      </w:r>
    </w:p>
    <w:p>
      <w:pPr>
        <w:pStyle w:val="デフォルト"/>
        <w:tabs>
          <w:tab w:val="left" w:pos="220"/>
          <w:tab w:val="left" w:pos="720"/>
        </w:tabs>
        <w:bidi w:val="0"/>
        <w:spacing w:before="0" w:after="240" w:line="240" w:lineRule="auto"/>
        <w:ind w:left="720" w:right="0" w:hanging="720"/>
        <w:jc w:val="left"/>
        <w:rPr>
          <w:rFonts w:ascii="Times Roman" w:cs="Times Roman" w:hAnsi="Times Roman" w:eastAsia="Times Roman"/>
          <w:b w:val="1"/>
          <w:bCs w:val="1"/>
          <w:rtl w:val="0"/>
        </w:rPr>
      </w:pP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it-IT"/>
        </w:rPr>
        <w:t>Conclusion</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ParkinSync is an MSIT Capstone project that reconciles the tension between advanced data science and the practical realities of home care. By integrating the clinical insights </w:t>
      </w:r>
      <w:r>
        <w:rPr>
          <w:rFonts w:ascii="Times New Roman" w:hAnsi="Times New Roman"/>
          <w:rtl w:val="0"/>
          <w:lang w:val="en-US"/>
        </w:rPr>
        <w:t xml:space="preserve">such as </w:t>
      </w:r>
      <w:r>
        <w:rPr>
          <w:rFonts w:ascii="Times New Roman" w:hAnsi="Times New Roman"/>
          <w:rtl w:val="0"/>
          <w:lang w:val="en-US"/>
        </w:rPr>
        <w:t>Leta et al. (2023) regarding GI barriers with the socio-technical approach of Bertolazzi et al. (2024), this project provides a sustainable, secure, and ethical solution for optimizing the care of Parkinson</w:t>
      </w:r>
      <w:r>
        <w:rPr>
          <w:rFonts w:ascii="Times New Roman" w:hAnsi="Times New Roman" w:hint="default"/>
          <w:rtl w:val="1"/>
        </w:rPr>
        <w:t>’</w:t>
      </w:r>
      <w:r>
        <w:rPr>
          <w:rFonts w:ascii="Times New Roman" w:hAnsi="Times New Roman"/>
          <w:rtl w:val="0"/>
          <w:lang w:val="fr-FR"/>
        </w:rPr>
        <w:t>s patients.</w:t>
      </w:r>
    </w:p>
    <w:p>
      <w:pPr>
        <w:pStyle w:val="デフォルト"/>
        <w:bidi w:val="0"/>
        <w:spacing w:before="0" w:after="299" w:line="48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fr-FR"/>
        </w:rPr>
        <w:t>References</w:t>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Bertolazzi, A., Quaglia, V., &amp; Bongelli, R. (2024). Barriers and facilitators to health technology adoption by older adults with chronic diseases: An integrative systematic review. </w:t>
      </w:r>
      <w:r>
        <w:rPr>
          <w:rFonts w:ascii="Times New Roman" w:hAnsi="Times New Roman"/>
          <w:i w:val="1"/>
          <w:iCs w:val="1"/>
          <w:rtl w:val="0"/>
          <w:lang w:val="en-US"/>
        </w:rPr>
        <w:t>BMC Public Health</w:t>
      </w:r>
      <w:r>
        <w:rPr>
          <w:rFonts w:ascii="Times New Roman" w:hAnsi="Times New Roman"/>
          <w:rtl w:val="0"/>
        </w:rPr>
        <w:t xml:space="preserve">, </w:t>
      </w:r>
      <w:r>
        <w:rPr>
          <w:rFonts w:ascii="Times New Roman" w:hAnsi="Times New Roman"/>
          <w:i w:val="1"/>
          <w:iCs w:val="1"/>
          <w:rtl w:val="0"/>
        </w:rPr>
        <w:t>24</w:t>
      </w:r>
      <w:r>
        <w:rPr>
          <w:rFonts w:ascii="Times New Roman" w:hAnsi="Times New Roman"/>
          <w:rtl w:val="0"/>
        </w:rPr>
        <w:t xml:space="preserve">(1), 536.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"https://doi.org/10.1186/s12889-024-18036-5"</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https://doi.org/10.1186/s12889-024-18036-5</w:t>
      </w:r>
      <w:r>
        <w:rPr>
          <w:rFonts w:ascii="Times New Roman" w:cs="Times New Roman" w:hAnsi="Times New Roman" w:eastAsia="Times New Roman"/>
          <w:rtl w:val="0"/>
        </w:rPr>
        <w:fldChar w:fldCharType="end" w:fldLock="0"/>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Kumar, A., Singh, P., &amp; Lata, K. (2023). Comparative study of different optical character recognition models on handwritten and printed medical reports. </w:t>
      </w:r>
      <w:r>
        <w:rPr>
          <w:rStyle w:val="なし"/>
          <w:rFonts w:ascii="Times New Roman" w:hAnsi="Times New Roman"/>
          <w:i w:val="1"/>
          <w:iCs w:val="1"/>
          <w:rtl w:val="0"/>
          <w:lang w:val="en-US"/>
        </w:rPr>
        <w:t>2023 International Conference on Computer Communication and Informatics (ICCCI)</w:t>
      </w:r>
      <w:r>
        <w:rPr>
          <w:rFonts w:ascii="Times New Roman" w:hAnsi="Times New Roman"/>
          <w:rtl w:val="0"/>
        </w:rPr>
        <w:t>, 1</w:t>
      </w:r>
      <w:r>
        <w:rPr>
          <w:rFonts w:ascii="Times New Roman" w:hAnsi="Times New Roman" w:hint="default"/>
          <w:rtl w:val="0"/>
        </w:rPr>
        <w:t>–</w:t>
      </w:r>
      <w:r>
        <w:rPr>
          <w:rFonts w:ascii="Times New Roman" w:hAnsi="Times New Roman"/>
          <w:rtl w:val="0"/>
        </w:rPr>
        <w:t xml:space="preserve">6.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"https://www.google.com/search?q=https://doi.org/10.1109/ICCCI56745.2023.10128330"</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https://doi.org/10.1109/ICCCI56745.2023.10128330</w:t>
      </w:r>
      <w:r>
        <w:rPr>
          <w:rFonts w:ascii="Times New Roman" w:cs="Times New Roman" w:hAnsi="Times New Roman" w:eastAsia="Times New Roman"/>
          <w:rtl w:val="0"/>
        </w:rPr>
        <w:fldChar w:fldCharType="end" w:fldLock="0"/>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Leta, V., Klingelhoefer, L., Longardner, K., Campagnolo, M., Qamar, M. A., Metta, V., ... &amp; Chaudhuri, K. R. (2023). Gastrointestinal barriers to levodopa transport and absorption in Parkinson's disease. </w:t>
      </w:r>
      <w:r>
        <w:rPr>
          <w:rStyle w:val="なし"/>
          <w:rFonts w:ascii="Times New Roman" w:hAnsi="Times New Roman"/>
          <w:i w:val="1"/>
          <w:iCs w:val="1"/>
          <w:rtl w:val="0"/>
          <w:lang w:val="en-US"/>
        </w:rPr>
        <w:t>European Journal of Neurology</w:t>
      </w:r>
      <w:r>
        <w:rPr>
          <w:rFonts w:ascii="Times New Roman" w:hAnsi="Times New Roman"/>
          <w:rtl w:val="0"/>
        </w:rPr>
        <w:t xml:space="preserve">, </w:t>
      </w:r>
      <w:r>
        <w:rPr>
          <w:rStyle w:val="なし"/>
          <w:rFonts w:ascii="Times New Roman" w:hAnsi="Times New Roman"/>
          <w:i w:val="1"/>
          <w:iCs w:val="1"/>
          <w:rtl w:val="0"/>
        </w:rPr>
        <w:t>30</w:t>
      </w:r>
      <w:r>
        <w:rPr>
          <w:rFonts w:ascii="Times New Roman" w:hAnsi="Times New Roman"/>
          <w:rtl w:val="0"/>
        </w:rPr>
        <w:t>(5), 1465</w:t>
      </w:r>
      <w:r>
        <w:rPr>
          <w:rFonts w:ascii="Times New Roman" w:hAnsi="Times New Roman" w:hint="default"/>
          <w:rtl w:val="0"/>
        </w:rPr>
        <w:t>–</w:t>
      </w:r>
      <w:r>
        <w:rPr>
          <w:rFonts w:ascii="Times New Roman" w:hAnsi="Times New Roman"/>
          <w:rtl w:val="0"/>
        </w:rPr>
        <w:t xml:space="preserve">1480.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"https://www.google.com/search?q=https://doi.org/10.1111/ene.15734"</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https://doi.org/10.1111/ene.15734</w:t>
      </w:r>
      <w:r>
        <w:rPr>
          <w:rFonts w:ascii="Times New Roman" w:cs="Times New Roman" w:hAnsi="Times New Roman" w:eastAsia="Times New Roman"/>
          <w:rtl w:val="0"/>
        </w:rPr>
        <w:fldChar w:fldCharType="end" w:fldLock="0"/>
      </w:r>
    </w:p>
    <w:p>
      <w:pPr>
        <w:pStyle w:val="デフォルト"/>
        <w:bidi w:val="0"/>
        <w:spacing w:before="0" w:after="240" w:line="48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Mantri, S., Lepore, M., Edison, B., Daeschler, M., Kopil, C. M., Marras, C., &amp; Chahine, L. M. (2021). The experience of OFF periods in Parkinson's disease: Descriptions, triggers, and alleviating factors. </w:t>
      </w:r>
      <w:r>
        <w:rPr>
          <w:rStyle w:val="なし"/>
          <w:rFonts w:ascii="Times New Roman" w:hAnsi="Times New Roman"/>
          <w:i w:val="1"/>
          <w:iCs w:val="1"/>
          <w:rtl w:val="0"/>
          <w:lang w:val="en-US"/>
        </w:rPr>
        <w:t>Journal of Patient-Centered Research and Reviews</w:t>
      </w:r>
      <w:r>
        <w:rPr>
          <w:rFonts w:ascii="Times New Roman" w:hAnsi="Times New Roman"/>
          <w:rtl w:val="0"/>
        </w:rPr>
        <w:t xml:space="preserve">, </w:t>
      </w:r>
      <w:r>
        <w:rPr>
          <w:rStyle w:val="なし"/>
          <w:rFonts w:ascii="Times New Roman" w:hAnsi="Times New Roman"/>
          <w:i w:val="1"/>
          <w:iCs w:val="1"/>
          <w:rtl w:val="0"/>
        </w:rPr>
        <w:t>8</w:t>
      </w:r>
      <w:r>
        <w:rPr>
          <w:rFonts w:ascii="Times New Roman" w:hAnsi="Times New Roman"/>
          <w:rtl w:val="0"/>
        </w:rPr>
        <w:t>(3), 232</w:t>
      </w:r>
      <w:r>
        <w:rPr>
          <w:rFonts w:ascii="Times New Roman" w:hAnsi="Times New Roman" w:hint="default"/>
          <w:rtl w:val="0"/>
        </w:rPr>
        <w:t>–</w:t>
      </w:r>
      <w:r>
        <w:rPr>
          <w:rFonts w:ascii="Times New Roman" w:hAnsi="Times New Roman"/>
          <w:rtl w:val="0"/>
        </w:rPr>
        <w:t xml:space="preserve">238.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"https://doi.org/10.17294/2330-0698.1836"</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https://doi.org/10.17294/2330-0698.1836</w:t>
      </w:r>
      <w:r>
        <w:rPr>
          <w:rFonts w:ascii="Times New Roman" w:cs="Times New Roman" w:hAnsi="Times New Roman" w:eastAsia="Times New Roman"/>
          <w:rtl w:val="0"/>
        </w:rPr>
        <w:fldChar w:fldCharType="end" w:fldLock="0"/>
      </w:r>
    </w:p>
    <w:p>
      <w:pPr>
        <w:pStyle w:val="デフォルト"/>
        <w:bidi w:val="0"/>
        <w:spacing w:before="0" w:line="480" w:lineRule="auto"/>
        <w:ind w:left="0" w:right="0" w:firstLine="0"/>
        <w:jc w:val="left"/>
        <w:rPr>
          <w:rFonts w:ascii="Times New Roman" w:cs="Times New Roman" w:hAnsi="Times New Roman" w:eastAsia="Times New Roman"/>
          <w:outline w:val="0"/>
          <w:color w:val="393931"/>
          <w:shd w:val="clear" w:color="auto" w:fill="ffffff"/>
          <w:rtl w:val="0"/>
          <w14:textFill>
            <w14:solidFill>
              <w14:srgbClr w14:val="393931"/>
            </w14:solidFill>
          </w14:textFill>
        </w:rPr>
      </w:pPr>
      <w:r>
        <w:rPr>
          <w:rFonts w:ascii="Times New Roman" w:hAnsi="Times New Roman"/>
          <w:outline w:val="0"/>
          <w:color w:val="393931"/>
          <w:shd w:val="clear" w:color="auto" w:fill="ffffff"/>
          <w:rtl w:val="0"/>
          <w14:textFill>
            <w14:solidFill>
              <w14:srgbClr w14:val="393931"/>
            </w14:solidFill>
          </w14:textFill>
        </w:rPr>
        <w:t>Oguz, A. (2025).</w:t>
      </w:r>
      <w:r>
        <w:rPr>
          <w:rFonts w:ascii="Times New Roman" w:hAnsi="Times New Roman" w:hint="default"/>
          <w:outline w:val="0"/>
          <w:color w:val="393931"/>
          <w:shd w:val="clear" w:color="auto" w:fill="ffffff"/>
          <w:rtl w:val="0"/>
          <w14:textFill>
            <w14:solidFill>
              <w14:srgbClr w14:val="393931"/>
            </w14:solidFill>
          </w14:textFill>
        </w:rPr>
        <w:t> </w:t>
      </w:r>
      <w:r>
        <w:rPr>
          <w:rStyle w:val="なし"/>
          <w:rFonts w:ascii="Times New Roman" w:hAnsi="Times New Roman"/>
          <w:i w:val="1"/>
          <w:iCs w:val="1"/>
          <w:outline w:val="0"/>
          <w:color w:val="393931"/>
          <w:shd w:val="clear" w:color="auto" w:fill="ffffff"/>
          <w:rtl w:val="0"/>
          <w:lang w:val="en-US"/>
          <w14:textFill>
            <w14:solidFill>
              <w14:srgbClr w14:val="393931"/>
            </w14:solidFill>
          </w14:textFill>
        </w:rPr>
        <w:t>Project Management (2nd ed.)</w:t>
      </w:r>
      <w:r>
        <w:rPr>
          <w:rFonts w:ascii="Times New Roman" w:hAnsi="Times New Roman"/>
          <w:outline w:val="0"/>
          <w:color w:val="393931"/>
          <w:shd w:val="clear" w:color="auto" w:fill="ffffff"/>
          <w:rtl w:val="0"/>
          <w:lang w:val="en-US"/>
          <w14:textFill>
            <w14:solidFill>
              <w14:srgbClr w14:val="393931"/>
            </w14:solidFill>
          </w14:textFill>
        </w:rPr>
        <w:t>. MSL Academic Endeavors.</w:t>
      </w:r>
      <w:r>
        <w:rPr>
          <w:rFonts w:ascii="Times New Roman" w:hAnsi="Times New Roman" w:hint="default"/>
          <w:outline w:val="0"/>
          <w:color w:val="393931"/>
          <w:shd w:val="clear" w:color="auto" w:fill="ffffff"/>
          <w:rtl w:val="0"/>
          <w14:textFill>
            <w14:solidFill>
              <w14:srgbClr w14:val="393931"/>
            </w14:solidFill>
          </w14:textFill>
        </w:rPr>
        <w:t> </w:t>
      </w:r>
      <w:r>
        <w:rPr>
          <w:rStyle w:val="Hyperlink.1"/>
          <w:rFonts w:ascii="Times New Roman" w:cs="Times New Roman" w:hAnsi="Times New Roman" w:eastAsia="Times New Roman"/>
          <w:outline w:val="0"/>
          <w:color w:val="006fbf"/>
          <w:u w:val="single"/>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u w:val="single"/>
          <w:shd w:val="clear" w:color="auto" w:fill="ffffff"/>
          <w:rtl w:val="0"/>
          <w14:textFill>
            <w14:solidFill>
              <w14:srgbClr w14:val="006FBF"/>
            </w14:solidFill>
          </w14:textFill>
        </w:rPr>
        <w:instrText xml:space="preserve"> HYPERLINK "https://pressbooks.ulib.csuohio.edu/projectmanagement2ndedition/"</w:instrText>
      </w:r>
      <w:r>
        <w:rPr>
          <w:rStyle w:val="Hyperlink.1"/>
          <w:rFonts w:ascii="Times New Roman" w:cs="Times New Roman" w:hAnsi="Times New Roman" w:eastAsia="Times New Roman"/>
          <w:outline w:val="0"/>
          <w:color w:val="006fbf"/>
          <w:u w:val="single"/>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u w:val="single"/>
          <w:shd w:val="clear" w:color="auto" w:fill="ffffff"/>
          <w:rtl w:val="0"/>
          <w:lang w:val="en-US"/>
          <w14:textFill>
            <w14:solidFill>
              <w14:srgbClr w14:val="006FBF"/>
            </w14:solidFill>
          </w14:textFill>
        </w:rPr>
        <w:t>https://pressbooks.ulib.csuohio.edu/projectmanagement2ndedition/</w:t>
      </w:r>
      <w:r>
        <w:rPr>
          <w:rFonts w:ascii="Times New Roman" w:cs="Times New Roman" w:hAnsi="Times New Roman" w:eastAsia="Times New Roman"/>
          <w:outline w:val="0"/>
          <w:color w:val="393931"/>
          <w:shd w:val="clear" w:color="auto" w:fill="ffffff"/>
          <w:rtl w:val="0"/>
          <w14:textFill>
            <w14:solidFill>
              <w14:srgbClr w14:val="393931"/>
            </w14:solidFill>
          </w14:textFill>
        </w:rPr>
        <w:fldChar w:fldCharType="end" w:fldLock="0"/>
      </w:r>
    </w:p>
    <w:p>
      <w:pPr>
        <w:pStyle w:val="デフォルト"/>
        <w:bidi w:val="0"/>
        <w:spacing w:before="0" w:line="240" w:lineRule="auto"/>
        <w:ind w:left="0" w:right="0" w:firstLine="0"/>
        <w:jc w:val="left"/>
        <w:rPr>
          <w:rFonts w:ascii="Helvetica" w:cs="Helvetica" w:hAnsi="Helvetica" w:eastAsia="Helvetica"/>
          <w:outline w:val="0"/>
          <w:color w:val="393931"/>
          <w:sz w:val="38"/>
          <w:szCs w:val="38"/>
          <w:shd w:val="clear" w:color="auto" w:fill="ffffff"/>
          <w:rtl w:val="0"/>
          <w14:textFill>
            <w14:solidFill>
              <w14:srgbClr w14:val="393931"/>
            </w14:solidFill>
          </w14:textFill>
        </w:rPr>
      </w:pPr>
    </w:p>
    <w:p>
      <w:pPr>
        <w:pStyle w:val="デフォルト"/>
        <w:bidi w:val="0"/>
        <w:spacing w:before="0" w:after="240" w:line="480" w:lineRule="auto"/>
        <w:ind w:left="0" w:right="0" w:firstLine="0"/>
        <w:jc w:val="left"/>
        <w:rPr>
          <w:rtl w:val="0"/>
        </w:rPr>
      </w:pPr>
      <w:r>
        <w:rPr>
          <w:rFonts w:ascii="Times New Roman" w:hAnsi="Times New Roman"/>
          <w:rtl w:val="0"/>
          <w:lang w:val="en-US"/>
        </w:rPr>
        <w:t xml:space="preserve">Raman, R., Kumar, V., Pillai, B. G., &amp; Ramasamy, S. (2024). AI-driven remote Parkinson's diagnosis with BPNN framework and cloud-based data security. </w:t>
      </w:r>
      <w:r>
        <w:rPr>
          <w:rStyle w:val="なし"/>
          <w:rFonts w:ascii="Times New Roman" w:hAnsi="Times New Roman"/>
          <w:i w:val="1"/>
          <w:iCs w:val="1"/>
          <w:rtl w:val="0"/>
          <w:lang w:val="en-US"/>
        </w:rPr>
        <w:t>2024 International Conference on Communication, Computer and Information Technology (ICCCIT)</w:t>
      </w:r>
      <w:r>
        <w:rPr>
          <w:rFonts w:ascii="Times New Roman" w:hAnsi="Times New Roman"/>
          <w:rtl w:val="0"/>
        </w:rPr>
        <w:t>, 1</w:t>
      </w:r>
      <w:r>
        <w:rPr>
          <w:rFonts w:ascii="Times New Roman" w:hAnsi="Times New Roman" w:hint="default"/>
          <w:rtl w:val="0"/>
        </w:rPr>
        <w:t>–</w:t>
      </w:r>
      <w:r>
        <w:rPr>
          <w:rFonts w:ascii="Times New Roman" w:hAnsi="Times New Roman"/>
          <w:rtl w:val="0"/>
        </w:rPr>
        <w:t xml:space="preserve">7.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"https://www.google.com/search?q=https://doi.org/10.1109/ICCCIT60269.2024.10616436"</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https://doi.org/10.1109/ICCCIT60269.2024.10616436</w:t>
      </w:r>
      <w:r>
        <w:rPr>
          <w:rFonts w:ascii="Times New Roman" w:cs="Times New Roman" w:hAnsi="Times New Roman" w:eastAsia="Times New Roman"/>
          <w:rtl w:val="0"/>
        </w:rPr>
        <w:fldChar w:fldCharType="end" w:fldLock="0"/>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行頭記号"/>
  </w:abstractNum>
  <w:abstractNum w:abstractNumId="1">
    <w:multiLevelType w:val="hybridMultilevel"/>
    <w:styleLink w:val="行頭記号"/>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行頭記号">
    <w:name w:val="行頭記号"/>
    <w:pPr>
      <w:numPr>
        <w:numId w:val="1"/>
      </w:numPr>
    </w:pPr>
  </w:style>
  <w:style w:type="paragraph" w:styleId="表スタイル2">
    <w:name w:val="表スタイル2"/>
    <w:next w:val="表スタイル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ヒラギノ角ゴ ProN W3" w:cs="ヒラギノ角ゴ ProN W3" w:hAnsi="ヒラギノ角ゴ ProN W3" w:eastAsia="ヒラギノ角ゴ ProN W3"/>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なし">
    <w:name w:val="なし"/>
  </w:style>
  <w:style w:type="character" w:styleId="Hyperlink.0">
    <w:name w:val="Hyperlink.0"/>
    <w:basedOn w:val="なし"/>
    <w:next w:val="Hyperlink.0"/>
    <w:rPr>
      <w:outline w:val="0"/>
      <w:color w:val="0000ee"/>
      <w:u w:val="single"/>
      <w14:textFill>
        <w14:solidFill>
          <w14:srgbClr w14:val="0000EE"/>
        </w14:solidFill>
      </w14:textFill>
    </w:rPr>
  </w:style>
  <w:style w:type="character" w:styleId="Hyperlink.1">
    <w:name w:val="Hyperlink.1"/>
    <w:basedOn w:val="なし"/>
    <w:next w:val="Hyperlink.1"/>
    <w:rPr>
      <w:outline w:val="0"/>
      <w:color w:val="006fbf"/>
      <w:u w:val="single"/>
      <w14:textFill>
        <w14:solidFill>
          <w14:srgbClr w14:val="006FB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