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site"/>
        <w:widowControl w:val="0"/>
        <w:rPr>
          <w:rFonts w:ascii="Times New Roman" w:hAnsi="Times New Roman"/>
        </w:rPr>
      </w:pPr>
    </w:p>
    <w:p>
      <w:pPr>
        <w:pStyle w:val="Normal,site"/>
        <w:spacing w:after="240"/>
        <w:ind w:firstLine="360"/>
        <w:jc w:val="center"/>
        <w:rPr>
          <w:rFonts w:ascii="Times New Roman" w:hAnsi="Times New Roman"/>
          <w:sz w:val="52"/>
          <w:szCs w:val="52"/>
          <w:lang w:val="en-US"/>
        </w:rPr>
      </w:pPr>
    </w:p>
    <w:p>
      <w:pPr>
        <w:pStyle w:val="Normal,site"/>
        <w:spacing w:after="240" w:line="480" w:lineRule="auto"/>
        <w:ind w:firstLine="360"/>
        <w:jc w:val="center"/>
        <w:rPr>
          <w:rFonts w:ascii="Times New Roman" w:cs="Times New Roman" w:hAnsi="Times New Roman" w:eastAsia="Times New Roman"/>
          <w:sz w:val="52"/>
          <w:szCs w:val="52"/>
          <w:lang w:val="en-US"/>
        </w:rPr>
      </w:pPr>
      <w:r>
        <w:rPr>
          <w:rFonts w:ascii="Times New Roman" w:hAnsi="Times New Roman"/>
          <w:sz w:val="52"/>
          <w:szCs w:val="52"/>
          <w:rtl w:val="0"/>
          <w:lang w:val="en-US"/>
        </w:rPr>
        <w:t>[ParkinSync]</w:t>
      </w:r>
    </w:p>
    <w:p>
      <w:pPr>
        <w:pStyle w:val="Normal,site"/>
        <w:spacing w:after="240"/>
        <w:ind w:firstLine="360"/>
        <w:jc w:val="center"/>
        <w:rPr>
          <w:rFonts w:ascii="Times New Roman" w:cs="Times New Roman" w:hAnsi="Times New Roman" w:eastAsia="Times New Roman"/>
          <w:sz w:val="24"/>
          <w:szCs w:val="24"/>
          <w:lang w:val="en-US"/>
        </w:rPr>
      </w:pPr>
      <w:r>
        <w:rPr>
          <w:rFonts w:ascii="Times New Roman" w:hAnsi="Times New Roman"/>
          <w:b w:val="1"/>
          <w:bCs w:val="1"/>
          <w:sz w:val="24"/>
          <w:szCs w:val="24"/>
          <w:rtl w:val="0"/>
          <w:lang w:val="en-US"/>
        </w:rPr>
        <w:t>A Capstone Project Report of MSIT 5910</w:t>
      </w:r>
    </w:p>
    <w:p>
      <w:pPr>
        <w:pStyle w:val="Normal,site"/>
        <w:spacing w:after="240"/>
        <w:ind w:firstLine="360"/>
        <w:jc w:val="center"/>
        <w:rPr>
          <w:rFonts w:ascii="Times New Roman" w:cs="Times New Roman" w:hAnsi="Times New Roman" w:eastAsia="Times New Roman"/>
          <w:sz w:val="24"/>
          <w:szCs w:val="24"/>
        </w:rPr>
      </w:pPr>
    </w:p>
    <w:p>
      <w:pPr>
        <w:pStyle w:val="Normal,site"/>
        <w:spacing w:after="240"/>
        <w:ind w:firstLine="360"/>
        <w:jc w:val="center"/>
        <w:rPr>
          <w:rFonts w:ascii="Times New Roman" w:cs="Times New Roman" w:hAnsi="Times New Roman" w:eastAsia="Times New Roman"/>
          <w:i w:val="1"/>
          <w:iCs w:val="1"/>
          <w:sz w:val="24"/>
          <w:szCs w:val="24"/>
          <w:lang w:val="en-US"/>
        </w:rPr>
      </w:pPr>
    </w:p>
    <w:p>
      <w:pPr>
        <w:pStyle w:val="Normal,site"/>
        <w:spacing w:after="240"/>
        <w:ind w:firstLine="360"/>
        <w:jc w:val="center"/>
        <w:rPr>
          <w:rFonts w:ascii="Times New Roman" w:cs="Times New Roman" w:hAnsi="Times New Roman" w:eastAsia="Times New Roman"/>
          <w:sz w:val="24"/>
          <w:szCs w:val="24"/>
          <w:lang w:val="en-US"/>
        </w:rPr>
      </w:pPr>
    </w:p>
    <w:p>
      <w:pPr>
        <w:pStyle w:val="Normal,site"/>
        <w:spacing w:after="240"/>
        <w:ind w:firstLine="360"/>
        <w:jc w:val="center"/>
        <w:rPr>
          <w:rFonts w:ascii="Times New Roman" w:cs="Times New Roman" w:hAnsi="Times New Roman" w:eastAsia="Times New Roman"/>
          <w:sz w:val="24"/>
          <w:szCs w:val="24"/>
        </w:rPr>
      </w:pPr>
    </w:p>
    <w:p>
      <w:pPr>
        <w:pStyle w:val="Normal,site"/>
        <w:spacing w:after="240" w:line="360" w:lineRule="auto"/>
        <w:jc w:val="center"/>
        <w:rPr>
          <w:rFonts w:ascii="Times New Roman" w:cs="Times New Roman" w:hAnsi="Times New Roman" w:eastAsia="Times New Roman"/>
          <w:sz w:val="24"/>
          <w:szCs w:val="24"/>
          <w:lang w:val="en-US"/>
        </w:rPr>
      </w:pPr>
      <w:r>
        <w:rPr>
          <w:rFonts w:ascii="Times New Roman" w:hAnsi="Times New Roman"/>
          <w:i w:val="1"/>
          <w:iCs w:val="1"/>
          <w:sz w:val="24"/>
          <w:szCs w:val="24"/>
          <w:rtl w:val="0"/>
          <w:lang w:val="en-US"/>
        </w:rPr>
        <w:t>For the partial fulfilment of the requirements for the degree of</w:t>
      </w:r>
    </w:p>
    <w:p>
      <w:pPr>
        <w:pStyle w:val="Normal,site"/>
        <w:spacing w:after="240" w:line="360" w:lineRule="auto"/>
        <w:jc w:val="center"/>
        <w:rPr>
          <w:rFonts w:ascii="Times New Roman" w:cs="Times New Roman" w:hAnsi="Times New Roman" w:eastAsia="Times New Roman"/>
          <w:sz w:val="36"/>
          <w:szCs w:val="36"/>
          <w:lang w:val="en-US"/>
        </w:rPr>
      </w:pPr>
      <w:r>
        <w:rPr>
          <w:rFonts w:ascii="Times New Roman" w:hAnsi="Times New Roman"/>
          <w:sz w:val="36"/>
          <w:szCs w:val="36"/>
          <w:rtl w:val="0"/>
          <w:lang w:val="en-US"/>
        </w:rPr>
        <w:t xml:space="preserve"> </w:t>
      </w:r>
      <w:r>
        <w:rPr>
          <w:rFonts w:ascii="Times New Roman" w:hAnsi="Times New Roman"/>
          <w:b w:val="1"/>
          <w:bCs w:val="1"/>
          <w:sz w:val="36"/>
          <w:szCs w:val="36"/>
          <w:rtl w:val="0"/>
          <w:lang w:val="en-US"/>
        </w:rPr>
        <w:t>Master of Science in Information Technology</w:t>
      </w:r>
    </w:p>
    <w:p>
      <w:pPr>
        <w:pStyle w:val="Normal,site"/>
        <w:spacing w:after="240"/>
        <w:ind w:firstLine="360"/>
        <w:jc w:val="center"/>
        <w:rPr>
          <w:rFonts w:ascii="Times New Roman" w:cs="Times New Roman" w:hAnsi="Times New Roman" w:eastAsia="Times New Roman"/>
          <w:sz w:val="24"/>
          <w:szCs w:val="24"/>
        </w:rPr>
      </w:pPr>
    </w:p>
    <w:p>
      <w:pPr>
        <w:pStyle w:val="Normal,site"/>
        <w:spacing w:after="240"/>
        <w:ind w:firstLine="360"/>
        <w:jc w:val="center"/>
        <w:rPr>
          <w:rFonts w:ascii="Times New Roman" w:cs="Times New Roman" w:hAnsi="Times New Roman" w:eastAsia="Times New Roman"/>
          <w:i w:val="1"/>
          <w:iCs w:val="1"/>
          <w:sz w:val="24"/>
          <w:szCs w:val="24"/>
          <w:lang w:val="en-US"/>
        </w:rPr>
      </w:pPr>
    </w:p>
    <w:p>
      <w:pPr>
        <w:pStyle w:val="Normal,site"/>
        <w:spacing w:after="240"/>
        <w:ind w:firstLine="360"/>
        <w:jc w:val="center"/>
        <w:rPr>
          <w:rFonts w:ascii="Times New Roman" w:cs="Times New Roman" w:hAnsi="Times New Roman" w:eastAsia="Times New Roman"/>
          <w:sz w:val="24"/>
          <w:szCs w:val="24"/>
          <w:lang w:val="en-US"/>
        </w:rPr>
      </w:pPr>
    </w:p>
    <w:p>
      <w:pPr>
        <w:pStyle w:val="Normal,site"/>
        <w:spacing w:after="240"/>
        <w:ind w:firstLine="360"/>
        <w:jc w:val="center"/>
        <w:rPr>
          <w:rFonts w:ascii="Times New Roman" w:cs="Times New Roman" w:hAnsi="Times New Roman" w:eastAsia="Times New Roman"/>
          <w:sz w:val="24"/>
          <w:szCs w:val="24"/>
          <w:lang w:val="en-US"/>
        </w:rPr>
      </w:pPr>
    </w:p>
    <w:p>
      <w:pPr>
        <w:pStyle w:val="Normal,site"/>
        <w:spacing w:after="240"/>
        <w:ind w:firstLine="360"/>
        <w:jc w:val="center"/>
        <w:rPr>
          <w:rFonts w:ascii="Times New Roman" w:cs="Times New Roman" w:hAnsi="Times New Roman" w:eastAsia="Times New Roman"/>
          <w:sz w:val="24"/>
          <w:szCs w:val="24"/>
        </w:rPr>
      </w:pPr>
    </w:p>
    <w:p>
      <w:pPr>
        <w:pStyle w:val="Normal,site"/>
        <w:spacing w:after="240"/>
        <w:jc w:val="center"/>
        <w:rPr>
          <w:rFonts w:ascii="Times New Roman" w:cs="Times New Roman" w:hAnsi="Times New Roman" w:eastAsia="Times New Roman"/>
          <w:sz w:val="28"/>
          <w:szCs w:val="28"/>
          <w:lang w:val="en-US"/>
        </w:rPr>
      </w:pPr>
      <w:r>
        <w:rPr>
          <w:rFonts w:ascii="Times New Roman" w:hAnsi="Times New Roman"/>
          <w:b w:val="1"/>
          <w:bCs w:val="1"/>
          <w:sz w:val="32"/>
          <w:szCs w:val="32"/>
          <w:rtl w:val="0"/>
          <w:lang w:val="en-US"/>
        </w:rPr>
        <w:t>Department of CS &amp; MSIT</w:t>
      </w:r>
    </w:p>
    <w:p>
      <w:pPr>
        <w:pStyle w:val="Normal,site"/>
        <w:spacing w:after="240"/>
        <w:jc w:val="center"/>
        <w:rPr>
          <w:rFonts w:ascii="Times New Roman" w:cs="Times New Roman" w:hAnsi="Times New Roman" w:eastAsia="Times New Roman"/>
          <w:sz w:val="28"/>
          <w:szCs w:val="28"/>
          <w:lang w:val="en-US"/>
        </w:rPr>
      </w:pPr>
      <w:r>
        <w:rPr>
          <w:rFonts w:ascii="Times New Roman" w:hAnsi="Times New Roman"/>
          <w:b w:val="1"/>
          <w:bCs w:val="1"/>
          <w:sz w:val="36"/>
          <w:szCs w:val="36"/>
          <w:rtl w:val="0"/>
          <w:lang w:val="en-US"/>
        </w:rPr>
        <w:t xml:space="preserve"> </w:t>
      </w:r>
      <w:r>
        <w:rPr>
          <w:rFonts w:ascii="Times New Roman" w:hAnsi="Times New Roman"/>
          <w:sz w:val="28"/>
          <w:szCs w:val="28"/>
          <w:rtl w:val="0"/>
          <w:lang w:val="en-US"/>
        </w:rPr>
        <w:t>University of the People, Pasadena, CA 91101, United States</w:t>
      </w:r>
    </w:p>
    <w:p>
      <w:pPr>
        <w:pStyle w:val="Normal,site"/>
        <w:spacing w:after="240" w:line="480" w:lineRule="auto"/>
        <w:jc w:val="center"/>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Term</w:t>
      </w:r>
      <w:r>
        <w:rPr>
          <w:rFonts w:ascii="Times New Roman" w:hAnsi="Times New Roman"/>
          <w:b w:val="1"/>
          <w:bCs w:val="1"/>
          <w:sz w:val="24"/>
          <w:szCs w:val="24"/>
          <w:rtl w:val="0"/>
          <w:lang w:val="en-US"/>
        </w:rPr>
        <w:t xml:space="preserve"> 4</w:t>
      </w:r>
      <w:r>
        <w:rPr>
          <w:rFonts w:ascii="Times New Roman" w:hAnsi="Times New Roman"/>
          <w:b w:val="1"/>
          <w:bCs w:val="1"/>
          <w:sz w:val="24"/>
          <w:szCs w:val="24"/>
          <w:rtl w:val="0"/>
          <w:lang w:val="en-US"/>
        </w:rPr>
        <w:t xml:space="preserve">, </w:t>
      </w:r>
      <w:r>
        <w:rPr>
          <w:rFonts w:ascii="Times New Roman" w:hAnsi="Times New Roman"/>
          <w:b w:val="1"/>
          <w:bCs w:val="1"/>
          <w:sz w:val="24"/>
          <w:szCs w:val="24"/>
          <w:rtl w:val="0"/>
          <w:lang w:val="en-US"/>
        </w:rPr>
        <w:t>April</w:t>
      </w:r>
      <w:r>
        <w:rPr>
          <w:rFonts w:ascii="Times New Roman" w:hAnsi="Times New Roman"/>
          <w:b w:val="1"/>
          <w:bCs w:val="1"/>
          <w:sz w:val="24"/>
          <w:szCs w:val="24"/>
          <w:rtl w:val="0"/>
          <w:lang w:val="en-US"/>
        </w:rPr>
        <w:t xml:space="preserve">, </w:t>
      </w:r>
      <w:r>
        <w:rPr>
          <w:rFonts w:ascii="Times New Roman" w:hAnsi="Times New Roman"/>
          <w:b w:val="1"/>
          <w:bCs w:val="1"/>
          <w:sz w:val="24"/>
          <w:szCs w:val="24"/>
          <w:rtl w:val="0"/>
          <w:lang w:val="en-US"/>
        </w:rPr>
        <w:t>2026</w:t>
      </w:r>
    </w:p>
    <w:p>
      <w:pPr>
        <w:pStyle w:val="Normal,site"/>
        <w:rPr>
          <w:rFonts w:ascii="Times New Roman" w:cs="Times New Roman" w:hAnsi="Times New Roman" w:eastAsia="Times New Roman"/>
        </w:rPr>
      </w:pPr>
    </w:p>
    <w:p>
      <w:pPr>
        <w:pStyle w:val="Normal,site"/>
        <w:rPr>
          <w:rFonts w:ascii="Times New Roman" w:cs="Times New Roman" w:hAnsi="Times New Roman" w:eastAsia="Times New Roman"/>
        </w:rPr>
      </w:pPr>
    </w:p>
    <w:p>
      <w:pPr>
        <w:pStyle w:val="Normal,site"/>
        <w:rPr>
          <w:rFonts w:ascii="Times New Roman" w:cs="Times New Roman" w:hAnsi="Times New Roman" w:eastAsia="Times New Roman"/>
        </w:rPr>
      </w:pPr>
    </w:p>
    <w:p>
      <w:pPr>
        <w:pStyle w:val="Heading 1"/>
        <w:spacing w:line="360" w:lineRule="auto"/>
        <w:jc w:val="center"/>
        <w:rPr>
          <w:rFonts w:ascii="Times New Roman" w:cs="Times New Roman" w:hAnsi="Times New Roman" w:eastAsia="Times New Roman"/>
          <w:b w:val="1"/>
          <w:bCs w:val="1"/>
          <w:outline w:val="0"/>
          <w:color w:val="002060"/>
          <w:sz w:val="48"/>
          <w:szCs w:val="48"/>
          <w:u w:color="002060"/>
          <w14:textFill>
            <w14:solidFill>
              <w14:srgbClr w14:val="002060"/>
            </w14:solidFill>
          </w14:textFill>
        </w:rPr>
      </w:pPr>
      <w:bookmarkStart w:name="_Toc" w:id="0"/>
      <w:r>
        <w:rPr>
          <w:rFonts w:ascii="Times New Roman" w:hAnsi="Times New Roman"/>
          <w:b w:val="1"/>
          <w:bCs w:val="1"/>
          <w:sz w:val="48"/>
          <w:szCs w:val="48"/>
          <w:rtl w:val="0"/>
          <w:lang w:val="en-US"/>
        </w:rPr>
        <w:t>ABSTRACT</w:t>
      </w:r>
      <w:bookmarkEnd w:id="0"/>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Parkinson's Disease (PD) home-care management in rural settings is challenged by the structural fragmentation of care data across paper-based logs, verbal handoffs, and disconnected media. ParkinSync is a serverless Clinical Decision Support System (CDSS) designed to bridge this gap by digitizing handwritten caregiver logs via AWS Textract (optical character recognition), synchronizing structured data with a Google Sheets repository through AWS Lambda, and performing correlation analysis in Amazon SageMaker to identify relationships between medication timing, gastrointestinal motility, environmental factors, and motor fluctuation scores. The system preserves paper-based input to maintain zero disruption to established caregiver workflows, consistent with evidence that digital health tools requiring analog-to-digital behavioral shifts reliably fail in elderly home-care contexts. The system also incorporates a Spatial-Temporal Risk Management protocol, tracking patient adherence to spatial safety restrictions during high-risk post-rehabilitation evenings as a fall-prevention measure. </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Preliminary results from Weeks 1 through 3 confirm that AWS Textract achieves 87 to 91 percent handwritten recognition accuracy on the standardized log design, that the S3-to-Lambda event-driven pipeline executes reliably, and that the Google Sheets Human-in-the-Loop verification interface functions as designed. Security architecture implements a Zero Hardcoding Policy enforced through AWS Secrets Manager, IAM Least Privilege, KMS encryption, and TLS 1.2 in transit. Full correlation analysis using Pearson's r is planned for Weeks 5 through 7. The project contributes a reproducible analog-to-digital workflow architecture applicable to home-care informatics beyond PD management.</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i w:val="1"/>
          <w:iCs w:val="1"/>
          <w:sz w:val="24"/>
          <w:szCs w:val="24"/>
          <w:rtl w:val="0"/>
          <w:lang w:val="en-US"/>
        </w:rPr>
        <w:t>Keywords: Parkinson's Disease, medication adherence, OCR, AWS Textract, serverless architecture, Human-in-the-Loop, gastrointestinal motility, environmental triggers, digital health</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Heading 1"/>
        <w:spacing w:line="360" w:lineRule="auto"/>
        <w:jc w:val="center"/>
        <w:rPr>
          <w:rFonts w:ascii="Times New Roman" w:cs="Times New Roman" w:hAnsi="Times New Roman" w:eastAsia="Times New Roman"/>
          <w:b w:val="1"/>
          <w:bCs w:val="1"/>
          <w:sz w:val="48"/>
          <w:szCs w:val="48"/>
        </w:rPr>
      </w:pPr>
      <w:bookmarkStart w:name="_Toc1" w:id="1"/>
      <w:r>
        <w:rPr>
          <w:rFonts w:ascii="Times New Roman" w:hAnsi="Times New Roman"/>
          <w:b w:val="1"/>
          <w:bCs w:val="1"/>
          <w:sz w:val="48"/>
          <w:szCs w:val="48"/>
          <w:rtl w:val="0"/>
          <w:lang w:val="en-US"/>
        </w:rPr>
        <w:t>ACKNOWLEDGEMENT</w:t>
      </w:r>
      <w:bookmarkEnd w:id="1"/>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author wishes to express sincere gratitude to the instructor of MSIT 5910 for their guidance and feedback throughout the capstone process. Thanks are also extended to the Department Chair and the broader faculty of the University of the People whose instruction across the MSIT program provided the foundational knowledge applied in this project. Special acknowledgement is due to the patient and the home-care team whose daily dedication to analog caregiving inspired both the design philosophy and the research direction of ParkinSync.</w:t>
      </w:r>
      <w:r>
        <w:rPr>
          <w:rFonts w:ascii="Times New Roman" w:hAnsi="Times New Roman"/>
          <w:sz w:val="24"/>
          <w:szCs w:val="24"/>
          <w:rtl w:val="0"/>
          <w:lang w:val="en-US"/>
        </w:rPr>
        <w:t xml:space="preserve"> </w:t>
      </w:r>
      <w:r>
        <w:rPr>
          <w:rFonts w:ascii="Times New Roman" w:hAnsi="Times New Roman"/>
          <w:sz w:val="24"/>
          <w:szCs w:val="24"/>
          <w:rtl w:val="0"/>
          <w:lang w:val="en-US"/>
        </w:rPr>
        <w:t>This study contributes to the field of health informatics by demonstrating that a hybrid analog-to-digital architecture can overcome adoption barriers in elderly care while maintaining analytical capability.</w:t>
      </w:r>
    </w:p>
    <w:p>
      <w:pPr>
        <w:pStyle w:val="Heading 1"/>
        <w:keepNext w:val="0"/>
        <w:keepLines w:val="0"/>
        <w:spacing w:before="480" w:after="240" w:line="360" w:lineRule="auto"/>
        <w:rPr>
          <w:rFonts w:ascii="Times New Roman" w:cs="Times New Roman" w:hAnsi="Times New Roman" w:eastAsia="Times New Roman"/>
          <w:b w:val="1"/>
          <w:bCs w:val="1"/>
          <w:outline w:val="0"/>
          <w:color w:val="000000"/>
          <w:sz w:val="24"/>
          <w:szCs w:val="24"/>
          <w:u w:color="000000"/>
          <w14:textFill>
            <w14:solidFill>
              <w14:srgbClr w14:val="000000"/>
            </w14:solidFill>
          </w14:textFill>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Heading 1"/>
        <w:spacing w:line="360" w:lineRule="auto"/>
        <w:jc w:val="center"/>
        <w:rPr>
          <w:rFonts w:ascii="Times New Roman" w:cs="Times New Roman" w:hAnsi="Times New Roman" w:eastAsia="Times New Roman"/>
          <w:sz w:val="24"/>
          <w:szCs w:val="24"/>
        </w:rPr>
      </w:pPr>
      <w:bookmarkStart w:name="_Toc2" w:id="2"/>
      <w:r>
        <w:rPr>
          <w:rFonts w:ascii="Times New Roman" w:hAnsi="Times New Roman"/>
          <w:b w:val="1"/>
          <w:bCs w:val="1"/>
          <w:sz w:val="48"/>
          <w:szCs w:val="48"/>
          <w:rtl w:val="0"/>
          <w:lang w:val="en-US"/>
        </w:rPr>
        <w:t>LIST OF TABLES</w:t>
      </w:r>
      <w:bookmarkEnd w:id="2"/>
    </w:p>
    <w:p>
      <w:pPr>
        <w:pStyle w:val="Normal,site"/>
        <w:spacing w:before="240" w:line="360" w:lineRule="auto"/>
        <w:rPr>
          <w:rFonts w:ascii="Times New Roman" w:cs="Times New Roman" w:hAnsi="Times New Roman" w:eastAsia="Times New Roman"/>
          <w:sz w:val="24"/>
          <w:szCs w:val="24"/>
        </w:rPr>
      </w:pPr>
      <w:r>
        <w:rPr>
          <w:rFonts w:ascii="Times New Roman" w:hAnsi="Times New Roman"/>
          <w:sz w:val="24"/>
          <w:szCs w:val="24"/>
          <w:rtl w:val="0"/>
          <w:lang w:val="en-US"/>
        </w:rPr>
        <w:t>Table 1: Technology Resource Justification Matrix .......... 1</w:t>
      </w:r>
      <w:r>
        <w:rPr>
          <w:rFonts w:ascii="Times New Roman" w:hAnsi="Times New Roman"/>
          <w:sz w:val="24"/>
          <w:szCs w:val="24"/>
          <w:rtl w:val="0"/>
          <w:lang w:val="en-US"/>
        </w:rPr>
        <w:t>4</w:t>
      </w:r>
    </w:p>
    <w:p>
      <w:pPr>
        <w:pStyle w:val="Normal,site"/>
        <w:spacing w:before="240" w:line="360" w:lineRule="auto"/>
        <w:rPr>
          <w:rFonts w:ascii="Times New Roman" w:cs="Times New Roman" w:hAnsi="Times New Roman" w:eastAsia="Times New Roman"/>
          <w:sz w:val="24"/>
          <w:szCs w:val="24"/>
        </w:rPr>
      </w:pPr>
    </w:p>
    <w:p>
      <w:pPr>
        <w:pStyle w:val="Heading 1"/>
        <w:spacing w:line="360" w:lineRule="auto"/>
        <w:jc w:val="center"/>
        <w:rPr>
          <w:rFonts w:ascii="Times New Roman" w:cs="Times New Roman" w:hAnsi="Times New Roman" w:eastAsia="Times New Roman"/>
          <w:sz w:val="24"/>
          <w:szCs w:val="24"/>
        </w:rPr>
      </w:pPr>
      <w:bookmarkStart w:name="_Toc3" w:id="3"/>
      <w:r>
        <w:rPr>
          <w:rFonts w:ascii="Times New Roman" w:hAnsi="Times New Roman"/>
          <w:b w:val="1"/>
          <w:bCs w:val="1"/>
          <w:sz w:val="48"/>
          <w:szCs w:val="48"/>
          <w:rtl w:val="0"/>
          <w:lang w:val="en-US"/>
        </w:rPr>
        <w:t>LIST OF FIGURES</w:t>
      </w:r>
      <w:bookmarkEnd w:id="3"/>
    </w:p>
    <w:p>
      <w:pPr>
        <w:pStyle w:val="Normal,site"/>
        <w:spacing w:before="240" w:line="360" w:lineRule="auto"/>
        <w:rPr>
          <w:rFonts w:ascii="Times New Roman" w:cs="Times New Roman" w:hAnsi="Times New Roman" w:eastAsia="Times New Roman"/>
          <w:sz w:val="24"/>
          <w:szCs w:val="24"/>
        </w:rPr>
      </w:pPr>
      <w:r>
        <w:rPr>
          <w:rFonts w:ascii="Times New Roman" w:hAnsi="Times New Roman"/>
          <w:sz w:val="24"/>
          <w:szCs w:val="24"/>
          <w:rtl w:val="0"/>
          <w:lang w:val="en-US"/>
        </w:rPr>
        <w:t>Figure 1: ParkinSync System Architecture .......... 1</w:t>
      </w:r>
      <w:r>
        <w:rPr>
          <w:rFonts w:ascii="Times New Roman" w:hAnsi="Times New Roman"/>
          <w:sz w:val="24"/>
          <w:szCs w:val="24"/>
          <w:rtl w:val="0"/>
          <w:lang w:val="en-US"/>
        </w:rPr>
        <w:t>4</w:t>
      </w:r>
    </w:p>
    <w:p>
      <w:pPr>
        <w:pStyle w:val="Normal,site"/>
        <w:spacing w:before="240" w:line="360" w:lineRule="auto"/>
        <w:rPr>
          <w:rFonts w:ascii="Times New Roman" w:cs="Times New Roman" w:hAnsi="Times New Roman" w:eastAsia="Times New Roman"/>
          <w:sz w:val="24"/>
          <w:szCs w:val="24"/>
        </w:rPr>
      </w:pPr>
      <w:r>
        <w:rPr>
          <w:rFonts w:ascii="Times New Roman" w:hAnsi="Times New Roman"/>
          <w:sz w:val="24"/>
          <w:szCs w:val="24"/>
          <w:rtl w:val="0"/>
          <w:lang w:val="en-US"/>
        </w:rPr>
        <w:t>Figure 2: Event-Driven Data Flow .......... 14</w:t>
      </w: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sz w:val="24"/>
          <w:szCs w:val="24"/>
        </w:rPr>
      </w:pPr>
    </w:p>
    <w:p>
      <w:pPr>
        <w:pStyle w:val="Heading 1"/>
        <w:spacing w:line="360" w:lineRule="auto"/>
        <w:jc w:val="center"/>
        <w:rPr>
          <w:rFonts w:ascii="Times New Roman" w:cs="Times New Roman" w:hAnsi="Times New Roman" w:eastAsia="Times New Roman"/>
        </w:rPr>
      </w:pPr>
      <w:bookmarkStart w:name="_Toc4" w:id="4"/>
      <w:r>
        <w:rPr>
          <w:rFonts w:ascii="Times New Roman" w:hAnsi="Times New Roman"/>
          <w:b w:val="1"/>
          <w:bCs w:val="1"/>
          <w:sz w:val="48"/>
          <w:szCs w:val="48"/>
          <w:rtl w:val="0"/>
          <w:lang w:val="en-US"/>
        </w:rPr>
        <w:t>SYMBOLS AND ABBREVIATIONS</w:t>
      </w:r>
      <w:bookmarkEnd w:id="4"/>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99"/>
        <w:gridCol w:w="7560"/>
      </w:tblGrid>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9e2f3"/>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b w:val="1"/>
                <w:bCs w:val="1"/>
                <w:sz w:val="22"/>
                <w:szCs w:val="22"/>
                <w:u w:color="000000"/>
                <w:shd w:val="nil" w:color="auto" w:fill="auto"/>
                <w:rtl w:val="0"/>
                <w:lang w:val="it-IT"/>
              </w:rPr>
              <w:t>Abbreviation</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9e2f3"/>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b w:val="1"/>
                <w:bCs w:val="1"/>
                <w:sz w:val="22"/>
                <w:szCs w:val="22"/>
                <w:u w:color="000000"/>
                <w:shd w:val="nil" w:color="auto" w:fill="auto"/>
                <w:rtl w:val="0"/>
                <w:lang w:val="en-US"/>
              </w:rPr>
              <w:t>Definition</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AWS</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Amazon Web Services</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pt-PT"/>
              </w:rPr>
              <w:t>CDSS</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Clinical Decision Support System</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a-DK"/>
              </w:rPr>
              <w:t>FOG</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Freezing of Gait</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GI</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fr-FR"/>
              </w:rPr>
              <w:t>Gastrointestinal</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HITL</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Human-in-the-Loop</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IAM</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Identity and Access Management</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IoT</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Internet of Things</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KMS</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AWS Key Management Service</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ML</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Machine Learning</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MVP</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Minimum Viable Product</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s-ES_tradnl"/>
              </w:rPr>
              <w:t>OCR</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Optical Character Recognition</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PD</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Parkinson's Disease</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PHI</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Protected Health Information</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PII</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Personally Identifiable Information</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S3</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Amazon Simple Storage Service</w:t>
            </w:r>
          </w:p>
        </w:tc>
      </w:tr>
      <w:tr>
        <w:tblPrEx>
          <w:shd w:val="clear" w:color="auto" w:fill="ced7e7"/>
        </w:tblPrEx>
        <w:trPr>
          <w:trHeight w:val="233" w:hRule="atLeast"/>
        </w:trPr>
        <w:tc>
          <w:tcPr>
            <w:tcW w:type="dxa" w:w="179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TLS</w:t>
            </w:r>
          </w:p>
        </w:tc>
        <w:tc>
          <w:tcPr>
            <w:tcW w:type="dxa" w:w="7559"/>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Transport Layer Security</w:t>
            </w:r>
          </w:p>
        </w:tc>
      </w:tr>
    </w:tbl>
    <w:p>
      <w:pPr>
        <w:pStyle w:val="Heading 1"/>
        <w:keepNext w:val="0"/>
        <w:keepLines w:val="0"/>
        <w:widowControl w:val="0"/>
        <w:spacing w:before="480" w:after="240" w:line="360" w:lineRule="auto"/>
        <w:rPr>
          <w:rFonts w:ascii="Times New Roman" w:cs="Times New Roman" w:hAnsi="Times New Roman" w:eastAsia="Times New Roman"/>
          <w:b w:val="1"/>
          <w:bCs w:val="1"/>
          <w:outline w:val="0"/>
          <w:color w:val="000000"/>
          <w:sz w:val="24"/>
          <w:szCs w:val="24"/>
          <w:u w:color="000000"/>
          <w14:textFill>
            <w14:solidFill>
              <w14:srgbClr w14:val="000000"/>
            </w14:solidFill>
          </w14:textFill>
        </w:rPr>
      </w:pPr>
    </w:p>
    <w:p>
      <w:pPr>
        <w:pStyle w:val="Heading 1"/>
        <w:keepNext w:val="0"/>
        <w:keepLines w:val="0"/>
        <w:widowControl w:val="0"/>
        <w:spacing w:before="480" w:after="240" w:line="360" w:lineRule="auto"/>
        <w:rPr>
          <w:rFonts w:ascii="Times New Roman" w:cs="Times New Roman" w:hAnsi="Times New Roman" w:eastAsia="Times New Roman"/>
          <w:b w:val="1"/>
          <w:bCs w:val="1"/>
          <w:outline w:val="0"/>
          <w:color w:val="000000"/>
          <w:sz w:val="24"/>
          <w:szCs w:val="24"/>
          <w:u w:color="000000"/>
          <w14:textFill>
            <w14:solidFill>
              <w14:srgbClr w14:val="000000"/>
            </w14:solidFill>
          </w14:textFill>
        </w:rPr>
      </w:pPr>
      <w:r>
        <w:rPr>
          <w:rFonts w:ascii="Times New Roman" w:cs="Times New Roman" w:hAnsi="Times New Roman" w:eastAsia="Times New Roman"/>
          <w:b w:val="1"/>
          <w:bCs w:val="1"/>
          <w:outline w:val="0"/>
          <w:color w:val="000000"/>
          <w:sz w:val="24"/>
          <w:szCs w:val="24"/>
          <w:u w:color="000000"/>
          <w14:textFill>
            <w14:solidFill>
              <w14:srgbClr w14:val="000000"/>
            </w14:solidFill>
          </w14:textFill>
        </w:rPr>
        <w:br w:type="textWrapping"/>
      </w: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before="240" w:line="360" w:lineRule="auto"/>
        <w:jc w:val="center"/>
        <w:rPr>
          <w:rFonts w:ascii="Times New Roman" w:cs="Times New Roman" w:hAnsi="Times New Roman" w:eastAsia="Times New Roman"/>
          <w:outline w:val="0"/>
          <w:color w:val="002060"/>
          <w:sz w:val="36"/>
          <w:szCs w:val="36"/>
          <w:u w:color="002060"/>
          <w14:textFill>
            <w14:solidFill>
              <w14:srgbClr w14:val="002060"/>
            </w14:solidFill>
          </w14:textFill>
        </w:rPr>
      </w:pPr>
    </w:p>
    <w:p>
      <w:pPr>
        <w:pStyle w:val="Normal,site"/>
        <w:spacing w:before="240" w:line="360" w:lineRule="auto"/>
        <w:jc w:val="center"/>
        <w:rPr>
          <w:rFonts w:ascii="Times New Roman" w:cs="Times New Roman" w:hAnsi="Times New Roman" w:eastAsia="Times New Roman"/>
          <w:b w:val="1"/>
          <w:bCs w:val="1"/>
          <w:outline w:val="0"/>
          <w:color w:val="002060"/>
          <w:sz w:val="48"/>
          <w:szCs w:val="48"/>
          <w:u w:color="002060"/>
          <w14:textFill>
            <w14:solidFill>
              <w14:srgbClr w14:val="002060"/>
            </w14:solidFill>
          </w14:textFill>
        </w:rPr>
      </w:pPr>
      <w:r>
        <w:rPr>
          <w:rFonts w:ascii="Times New Roman" w:hAnsi="Times New Roman"/>
          <w:b w:val="1"/>
          <w:bCs w:val="1"/>
          <w:outline w:val="0"/>
          <w:color w:val="002060"/>
          <w:sz w:val="48"/>
          <w:szCs w:val="48"/>
          <w:u w:color="002060"/>
          <w:rtl w:val="0"/>
          <w:lang w:val="en-US"/>
          <w14:textFill>
            <w14:solidFill>
              <w14:srgbClr w14:val="002060"/>
            </w14:solidFill>
          </w14:textFill>
        </w:rPr>
        <w:t>CONTENTS</w:t>
      </w:r>
    </w:p>
    <w:p>
      <w:pPr>
        <w:pStyle w:val="Normal,site"/>
        <w:spacing w:before="240" w:line="360" w:lineRule="auto"/>
        <w:jc w:val="center"/>
      </w:pPr>
      <w:r>
        <w:rPr>
          <w:rFonts w:ascii="Times New Roman" w:cs="Times New Roman" w:hAnsi="Times New Roman" w:eastAsia="Times New Roman"/>
          <w:b w:val="1"/>
          <w:bCs w:val="1"/>
          <w:outline w:val="0"/>
          <w:color w:val="002060"/>
          <w:sz w:val="48"/>
          <w:szCs w:val="48"/>
          <w:u w:color="002060"/>
          <w14:textFill>
            <w14:solidFill>
              <w14:srgbClr w14:val="002060"/>
            </w14:solidFill>
          </w14:textFill>
        </w:rPr>
        <w:fldChar w:fldCharType="begin" w:fldLock="0"/>
      </w:r>
      <w:r>
        <w:rPr>
          <w:rFonts w:ascii="Times New Roman" w:cs="Times New Roman" w:hAnsi="Times New Roman" w:eastAsia="Times New Roman"/>
          <w:b w:val="1"/>
          <w:bCs w:val="1"/>
          <w:outline w:val="0"/>
          <w:color w:val="002060"/>
          <w:sz w:val="48"/>
          <w:szCs w:val="48"/>
          <w:u w:color="002060"/>
          <w14:textFill>
            <w14:solidFill>
              <w14:srgbClr w14:val="002060"/>
            </w14:solidFill>
          </w14:textFill>
        </w:rPr>
        <w:instrText xml:space="preserve"> TOC \o 1-3 </w:instrText>
      </w:r>
      <w:r>
        <w:rPr>
          <w:rFonts w:ascii="Times New Roman" w:cs="Times New Roman" w:hAnsi="Times New Roman" w:eastAsia="Times New Roman"/>
          <w:b w:val="1"/>
          <w:bCs w:val="1"/>
          <w:outline w:val="0"/>
          <w:color w:val="002060"/>
          <w:sz w:val="48"/>
          <w:szCs w:val="48"/>
          <w:u w:color="002060"/>
          <w14:textFill>
            <w14:solidFill>
              <w14:srgbClr w14:val="002060"/>
            </w14:solidFill>
          </w14:textFill>
        </w:rPr>
        <w:fldChar w:fldCharType="separate" w:fldLock="0"/>
      </w:r>
    </w:p>
    <w:p>
      <w:pPr>
        <w:pStyle w:val="TOC 1"/>
      </w:pPr>
      <w:r>
        <w:rPr>
          <w:rFonts w:cs="Arial Unicode MS" w:eastAsia="Arial Unicode MS"/>
          <w:rtl w:val="0"/>
        </w:rPr>
        <w:t>ABSTRACT</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pPr>
      <w:r>
        <w:rPr>
          <w:rFonts w:cs="Arial Unicode MS" w:eastAsia="Arial Unicode MS"/>
          <w:rtl w:val="0"/>
        </w:rPr>
        <w:t>ACKNOWLEDGEMENT</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1"/>
      </w:pPr>
      <w:r>
        <w:rPr>
          <w:rFonts w:cs="Arial Unicode MS" w:eastAsia="Arial Unicode MS"/>
          <w:rtl w:val="0"/>
        </w:rPr>
        <w:t>LIST OF TABLES</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rtl w:val="0"/>
        </w:rPr>
        <w:t>LIST OF FIGURES</w:t>
        <w:tab/>
      </w:r>
      <w:r>
        <w:rPr/>
        <w:fldChar w:fldCharType="begin" w:fldLock="0"/>
      </w:r>
      <w:r>
        <w:instrText xml:space="preserve"> PAGEREF _Toc3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rtl w:val="0"/>
        </w:rPr>
        <w:t>SYMBOLS AND ABBREVIATIONS</w:t>
        <w:tab/>
      </w:r>
      <w:r>
        <w:rPr/>
        <w:fldChar w:fldCharType="begin" w:fldLock="0"/>
      </w:r>
      <w:r>
        <w:instrText xml:space="preserve"> PAGEREF _Toc4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1.1 Background of the Study</w:t>
        <w:tab/>
      </w:r>
      <w:r>
        <w:rPr/>
        <w:fldChar w:fldCharType="begin" w:fldLock="0"/>
      </w:r>
      <w:r>
        <w:instrText xml:space="preserve"> PAGEREF _Toc5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rPr>
        <w:t>1.2 Problem Statement</w:t>
        <w:tab/>
      </w:r>
      <w:r>
        <w:rPr/>
        <w:fldChar w:fldCharType="begin" w:fldLock="0"/>
      </w:r>
      <w:r>
        <w:instrText xml:space="preserve"> PAGEREF _Toc6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rPr>
        <w:t>1.3 Objectives of the Study</w:t>
        <w:tab/>
      </w:r>
      <w:r>
        <w:rPr/>
        <w:fldChar w:fldCharType="begin" w:fldLock="0"/>
      </w:r>
      <w:r>
        <w:instrText xml:space="preserve"> PAGEREF _Toc7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rPr>
        <w:t>1.4 Scope and Limitations</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rPr>
        <w:t>1.5 Report Organization</w:t>
        <w:tab/>
      </w:r>
      <w:r>
        <w:rPr/>
        <w:fldChar w:fldCharType="begin" w:fldLock="0"/>
      </w:r>
      <w:r>
        <w:instrText xml:space="preserve"> PAGEREF _Toc9 \h </w:instrText>
      </w:r>
      <w:r>
        <w:rPr/>
        <w:fldChar w:fldCharType="separate" w:fldLock="0"/>
      </w:r>
      <w:r>
        <w:rPr>
          <w:rFonts w:cs="Arial Unicode MS" w:eastAsia="Arial Unicode MS"/>
          <w:rtl w:val="0"/>
        </w:rPr>
        <w:t>9</w:t>
      </w:r>
      <w:r>
        <w:rPr/>
        <w:fldChar w:fldCharType="end" w:fldLock="0"/>
      </w:r>
    </w:p>
    <w:p>
      <w:pPr>
        <w:pStyle w:val="TOC 2"/>
      </w:pPr>
      <w:r>
        <w:rPr>
          <w:rFonts w:cs="Arial Unicode MS" w:eastAsia="Arial Unicode MS"/>
          <w:rtl w:val="0"/>
        </w:rPr>
        <w:t>2.1 Overview of Related Work</w:t>
        <w:tab/>
      </w:r>
      <w:r>
        <w:rPr/>
        <w:fldChar w:fldCharType="begin" w:fldLock="0"/>
      </w:r>
      <w:r>
        <w:instrText xml:space="preserve"> PAGEREF _Toc10 \h </w:instrText>
      </w:r>
      <w:r>
        <w:rPr/>
        <w:fldChar w:fldCharType="separate" w:fldLock="0"/>
      </w:r>
      <w:r>
        <w:rPr>
          <w:rFonts w:cs="Arial Unicode MS" w:eastAsia="Arial Unicode MS"/>
          <w:rtl w:val="0"/>
        </w:rPr>
        <w:t>10</w:t>
      </w:r>
      <w:r>
        <w:rPr/>
        <w:fldChar w:fldCharType="end" w:fldLock="0"/>
      </w:r>
    </w:p>
    <w:p>
      <w:pPr>
        <w:pStyle w:val="TOC 2"/>
      </w:pPr>
      <w:r>
        <w:rPr>
          <w:rFonts w:cs="Arial Unicode MS" w:eastAsia="Arial Unicode MS"/>
          <w:rtl w:val="0"/>
        </w:rPr>
        <w:t>2.2 Comparative Analysis of Existing Systems</w:t>
        <w:tab/>
      </w:r>
      <w:r>
        <w:rPr/>
        <w:fldChar w:fldCharType="begin" w:fldLock="0"/>
      </w:r>
      <w:r>
        <w:instrText xml:space="preserve"> PAGEREF _Toc11 \h </w:instrText>
      </w:r>
      <w:r>
        <w:rPr/>
        <w:fldChar w:fldCharType="separate" w:fldLock="0"/>
      </w:r>
      <w:r>
        <w:rPr>
          <w:rFonts w:cs="Arial Unicode MS" w:eastAsia="Arial Unicode MS"/>
          <w:rtl w:val="0"/>
        </w:rPr>
        <w:t>10</w:t>
      </w:r>
      <w:r>
        <w:rPr/>
        <w:fldChar w:fldCharType="end" w:fldLock="0"/>
      </w:r>
    </w:p>
    <w:p>
      <w:pPr>
        <w:pStyle w:val="TOC 2"/>
      </w:pPr>
      <w:r>
        <w:rPr>
          <w:rFonts w:cs="Arial Unicode MS" w:eastAsia="Arial Unicode MS"/>
          <w:rtl w:val="0"/>
        </w:rPr>
        <w:t>2.3 Research Gap Identification</w:t>
        <w:tab/>
      </w:r>
      <w:r>
        <w:rPr/>
        <w:fldChar w:fldCharType="begin" w:fldLock="0"/>
      </w:r>
      <w:r>
        <w:instrText xml:space="preserve"> PAGEREF _Toc12 \h </w:instrText>
      </w:r>
      <w:r>
        <w:rPr/>
        <w:fldChar w:fldCharType="separate" w:fldLock="0"/>
      </w:r>
      <w:r>
        <w:rPr>
          <w:rFonts w:cs="Arial Unicode MS" w:eastAsia="Arial Unicode MS"/>
          <w:rtl w:val="0"/>
        </w:rPr>
        <w:t>11</w:t>
      </w:r>
      <w:r>
        <w:rPr/>
        <w:fldChar w:fldCharType="end" w:fldLock="0"/>
      </w:r>
    </w:p>
    <w:p>
      <w:pPr>
        <w:pStyle w:val="TOC 2"/>
      </w:pPr>
      <w:r>
        <w:rPr>
          <w:rFonts w:cs="Arial Unicode MS" w:eastAsia="Arial Unicode MS"/>
          <w:rtl w:val="0"/>
        </w:rPr>
        <w:t>3.1 System Architecture</w:t>
        <w:tab/>
      </w:r>
      <w:r>
        <w:rPr/>
        <w:fldChar w:fldCharType="begin" w:fldLock="0"/>
      </w:r>
      <w:r>
        <w:instrText xml:space="preserve"> PAGEREF _Toc13 \h </w:instrText>
      </w:r>
      <w:r>
        <w:rPr/>
        <w:fldChar w:fldCharType="separate" w:fldLock="0"/>
      </w:r>
      <w:r>
        <w:rPr>
          <w:rFonts w:cs="Arial Unicode MS" w:eastAsia="Arial Unicode MS"/>
          <w:rtl w:val="0"/>
        </w:rPr>
        <w:t>12</w:t>
      </w:r>
      <w:r>
        <w:rPr/>
        <w:fldChar w:fldCharType="end" w:fldLock="0"/>
      </w:r>
    </w:p>
    <w:p>
      <w:pPr>
        <w:pStyle w:val="TOC 2"/>
      </w:pPr>
      <w:r>
        <w:rPr>
          <w:rFonts w:cs="Arial Unicode MS" w:eastAsia="Arial Unicode MS"/>
          <w:rtl w:val="0"/>
        </w:rPr>
        <w:t>3.2 Methodologies and Tools Used</w:t>
        <w:tab/>
      </w:r>
      <w:r>
        <w:rPr/>
        <w:fldChar w:fldCharType="begin" w:fldLock="0"/>
      </w:r>
      <w:r>
        <w:instrText xml:space="preserve"> PAGEREF _Toc14 \h </w:instrText>
      </w:r>
      <w:r>
        <w:rPr/>
        <w:fldChar w:fldCharType="separate" w:fldLock="0"/>
      </w:r>
      <w:r>
        <w:rPr>
          <w:rFonts w:cs="Arial Unicode MS" w:eastAsia="Arial Unicode MS"/>
          <w:rtl w:val="0"/>
        </w:rPr>
        <w:t>14</w:t>
      </w:r>
      <w:r>
        <w:rPr/>
        <w:fldChar w:fldCharType="end" w:fldLock="0"/>
      </w:r>
    </w:p>
    <w:p>
      <w:pPr>
        <w:pStyle w:val="TOC 2"/>
      </w:pPr>
      <w:r>
        <w:rPr>
          <w:rFonts w:cs="Arial Unicode MS" w:eastAsia="Arial Unicode MS"/>
          <w:rtl w:val="0"/>
        </w:rPr>
        <w:t>3.3 Data Flow and System Components</w:t>
        <w:tab/>
      </w:r>
      <w:r>
        <w:rPr/>
        <w:fldChar w:fldCharType="begin" w:fldLock="0"/>
      </w:r>
      <w:r>
        <w:instrText xml:space="preserve"> PAGEREF _Toc15 \h </w:instrText>
      </w:r>
      <w:r>
        <w:rPr/>
        <w:fldChar w:fldCharType="separate" w:fldLock="0"/>
      </w:r>
      <w:r>
        <w:rPr>
          <w:rFonts w:cs="Arial Unicode MS" w:eastAsia="Arial Unicode MS"/>
          <w:rtl w:val="0"/>
        </w:rPr>
        <w:t>14</w:t>
      </w:r>
      <w:r>
        <w:rPr/>
        <w:fldChar w:fldCharType="end" w:fldLock="0"/>
      </w:r>
    </w:p>
    <w:p>
      <w:pPr>
        <w:pStyle w:val="TOC 2"/>
      </w:pPr>
      <w:r>
        <w:rPr>
          <w:rFonts w:cs="Arial Unicode MS" w:eastAsia="Arial Unicode MS"/>
          <w:rtl w:val="0"/>
        </w:rPr>
        <w:t>3.4 Security and Ethical Framework</w:t>
        <w:tab/>
      </w:r>
      <w:r>
        <w:rPr/>
        <w:fldChar w:fldCharType="begin" w:fldLock="0"/>
      </w:r>
      <w:r>
        <w:instrText xml:space="preserve"> PAGEREF _Toc16 \h </w:instrText>
      </w:r>
      <w:r>
        <w:rPr/>
        <w:fldChar w:fldCharType="separate" w:fldLock="0"/>
      </w:r>
      <w:r>
        <w:rPr>
          <w:rFonts w:cs="Arial Unicode MS" w:eastAsia="Arial Unicode MS"/>
          <w:rtl w:val="0"/>
        </w:rPr>
        <w:t>15</w:t>
      </w:r>
      <w:r>
        <w:rPr/>
        <w:fldChar w:fldCharType="end" w:fldLock="0"/>
      </w:r>
    </w:p>
    <w:p>
      <w:pPr>
        <w:pStyle w:val="TOC 2"/>
      </w:pPr>
      <w:r>
        <w:rPr>
          <w:rFonts w:cs="Arial Unicode MS" w:eastAsia="Arial Unicode MS"/>
          <w:rtl w:val="0"/>
        </w:rPr>
        <w:t>4.1 Implementation Overview (OCR Accuracy)</w:t>
        <w:tab/>
      </w:r>
      <w:r>
        <w:rPr/>
        <w:fldChar w:fldCharType="begin" w:fldLock="0"/>
      </w:r>
      <w:r>
        <w:instrText xml:space="preserve"> PAGEREF _Toc17 \h </w:instrText>
      </w:r>
      <w:r>
        <w:rPr/>
        <w:fldChar w:fldCharType="separate" w:fldLock="0"/>
      </w:r>
      <w:r>
        <w:rPr>
          <w:rFonts w:cs="Arial Unicode MS" w:eastAsia="Arial Unicode MS"/>
          <w:rtl w:val="0"/>
        </w:rPr>
        <w:t>16</w:t>
      </w:r>
      <w:r>
        <w:rPr/>
        <w:fldChar w:fldCharType="end" w:fldLock="0"/>
      </w:r>
    </w:p>
    <w:p>
      <w:pPr>
        <w:pStyle w:val="TOC 2"/>
      </w:pPr>
      <w:r>
        <w:rPr>
          <w:rFonts w:cs="Arial Unicode MS" w:eastAsia="Arial Unicode MS"/>
          <w:rtl w:val="0"/>
        </w:rPr>
        <w:t>4.2 Output and Screenshots (Pipeline Reliability)</w:t>
        <w:tab/>
      </w:r>
      <w:r>
        <w:rPr/>
        <w:fldChar w:fldCharType="begin" w:fldLock="0"/>
      </w:r>
      <w:r>
        <w:instrText xml:space="preserve"> PAGEREF _Toc18 \h </w:instrText>
      </w:r>
      <w:r>
        <w:rPr/>
        <w:fldChar w:fldCharType="separate" w:fldLock="0"/>
      </w:r>
      <w:r>
        <w:rPr>
          <w:rFonts w:cs="Arial Unicode MS" w:eastAsia="Arial Unicode MS"/>
          <w:rtl w:val="0"/>
        </w:rPr>
        <w:t>16</w:t>
      </w:r>
      <w:r>
        <w:rPr/>
        <w:fldChar w:fldCharType="end" w:fldLock="0"/>
      </w:r>
    </w:p>
    <w:p>
      <w:pPr>
        <w:pStyle w:val="TOC 2"/>
      </w:pPr>
      <w:r>
        <w:rPr>
          <w:rFonts w:cs="Arial Unicode MS" w:eastAsia="Arial Unicode MS"/>
          <w:rtl w:val="0"/>
        </w:rPr>
        <w:t>4.3 Evaluation Metrics</w:t>
        <w:tab/>
      </w:r>
      <w:r>
        <w:rPr/>
        <w:fldChar w:fldCharType="begin" w:fldLock="0"/>
      </w:r>
      <w:r>
        <w:instrText xml:space="preserve"> PAGEREF _Toc19 \h </w:instrText>
      </w:r>
      <w:r>
        <w:rPr/>
        <w:fldChar w:fldCharType="separate" w:fldLock="0"/>
      </w:r>
      <w:r>
        <w:rPr>
          <w:rFonts w:cs="Arial Unicode MS" w:eastAsia="Arial Unicode MS"/>
          <w:rtl w:val="0"/>
        </w:rPr>
        <w:t>17</w:t>
      </w:r>
      <w:r>
        <w:rPr/>
        <w:fldChar w:fldCharType="end" w:fldLock="0"/>
      </w:r>
    </w:p>
    <w:p>
      <w:pPr>
        <w:pStyle w:val="TOC 2"/>
      </w:pPr>
      <w:r>
        <w:rPr>
          <w:rFonts w:cs="Arial Unicode MS" w:eastAsia="Arial Unicode MS"/>
          <w:rtl w:val="0"/>
        </w:rPr>
        <w:t>5.1 Interpretation of Results</w:t>
        <w:tab/>
      </w:r>
      <w:r>
        <w:rPr/>
        <w:fldChar w:fldCharType="begin" w:fldLock="0"/>
      </w:r>
      <w:r>
        <w:instrText xml:space="preserve"> PAGEREF _Toc20 \h </w:instrText>
      </w:r>
      <w:r>
        <w:rPr/>
        <w:fldChar w:fldCharType="separate" w:fldLock="0"/>
      </w:r>
      <w:r>
        <w:rPr>
          <w:rFonts w:cs="Arial Unicode MS" w:eastAsia="Arial Unicode MS"/>
          <w:rtl w:val="0"/>
        </w:rPr>
        <w:t>18</w:t>
      </w:r>
      <w:r>
        <w:rPr/>
        <w:fldChar w:fldCharType="end" w:fldLock="0"/>
      </w:r>
    </w:p>
    <w:p>
      <w:pPr>
        <w:pStyle w:val="TOC 2"/>
      </w:pPr>
      <w:r>
        <w:rPr>
          <w:rFonts w:cs="Arial Unicode MS" w:eastAsia="Arial Unicode MS"/>
          <w:rtl w:val="0"/>
        </w:rPr>
        <w:t>5.2 Comparison with Literature Findings</w:t>
        <w:tab/>
      </w:r>
      <w:r>
        <w:rPr/>
        <w:fldChar w:fldCharType="begin" w:fldLock="0"/>
      </w:r>
      <w:r>
        <w:instrText xml:space="preserve"> PAGEREF _Toc21 \h </w:instrText>
      </w:r>
      <w:r>
        <w:rPr/>
        <w:fldChar w:fldCharType="separate" w:fldLock="0"/>
      </w:r>
      <w:r>
        <w:rPr>
          <w:rFonts w:cs="Arial Unicode MS" w:eastAsia="Arial Unicode MS"/>
          <w:rtl w:val="0"/>
        </w:rPr>
        <w:t>19</w:t>
      </w:r>
      <w:r>
        <w:rPr/>
        <w:fldChar w:fldCharType="end" w:fldLock="0"/>
      </w:r>
    </w:p>
    <w:p>
      <w:pPr>
        <w:pStyle w:val="TOC 2"/>
      </w:pPr>
      <w:r>
        <w:rPr>
          <w:rFonts w:cs="Arial Unicode MS" w:eastAsia="Arial Unicode MS"/>
          <w:rtl w:val="0"/>
        </w:rPr>
        <w:t>5.3 Implications and Limitations</w:t>
        <w:tab/>
      </w:r>
      <w:r>
        <w:rPr/>
        <w:fldChar w:fldCharType="begin" w:fldLock="0"/>
      </w:r>
      <w:r>
        <w:instrText xml:space="preserve"> PAGEREF _Toc22 \h </w:instrText>
      </w:r>
      <w:r>
        <w:rPr/>
        <w:fldChar w:fldCharType="separate" w:fldLock="0"/>
      </w:r>
      <w:r>
        <w:rPr>
          <w:rFonts w:cs="Arial Unicode MS" w:eastAsia="Arial Unicode MS"/>
          <w:rtl w:val="0"/>
        </w:rPr>
        <w:t>20</w:t>
      </w:r>
      <w:r>
        <w:rPr/>
        <w:fldChar w:fldCharType="end" w:fldLock="0"/>
      </w:r>
    </w:p>
    <w:p>
      <w:pPr>
        <w:pStyle w:val="TOC 2"/>
      </w:pPr>
      <w:r>
        <w:rPr>
          <w:rFonts w:cs="Arial Unicode MS" w:eastAsia="Arial Unicode MS"/>
          <w:rtl w:val="0"/>
        </w:rPr>
        <w:t>5.4 Future Work</w:t>
        <w:tab/>
      </w:r>
      <w:r>
        <w:rPr/>
        <w:fldChar w:fldCharType="begin" w:fldLock="0"/>
      </w:r>
      <w:r>
        <w:instrText xml:space="preserve"> PAGEREF _Toc23 \h </w:instrText>
      </w:r>
      <w:r>
        <w:rPr/>
        <w:fldChar w:fldCharType="separate" w:fldLock="0"/>
      </w:r>
      <w:r>
        <w:rPr>
          <w:rFonts w:cs="Arial Unicode MS" w:eastAsia="Arial Unicode MS"/>
          <w:rtl w:val="0"/>
        </w:rPr>
        <w:t>20</w:t>
      </w:r>
      <w:r>
        <w:rPr/>
        <w:fldChar w:fldCharType="end" w:fldLock="0"/>
      </w:r>
    </w:p>
    <w:p>
      <w:pPr>
        <w:pStyle w:val="TOC 2"/>
      </w:pPr>
      <w:r>
        <w:rPr>
          <w:rFonts w:cs="Arial Unicode MS" w:eastAsia="Arial Unicode MS"/>
          <w:rtl w:val="0"/>
        </w:rPr>
        <w:t>5.4 Theoretical Implications</w:t>
        <w:tab/>
      </w:r>
      <w:r>
        <w:rPr/>
        <w:fldChar w:fldCharType="begin" w:fldLock="0"/>
      </w:r>
      <w:r>
        <w:instrText xml:space="preserve"> PAGEREF _Toc24 \h </w:instrText>
      </w:r>
      <w:r>
        <w:rPr/>
        <w:fldChar w:fldCharType="separate" w:fldLock="0"/>
      </w:r>
      <w:r>
        <w:rPr>
          <w:rFonts w:cs="Arial Unicode MS" w:eastAsia="Arial Unicode MS"/>
          <w:rtl w:val="0"/>
        </w:rPr>
        <w:t>21</w:t>
      </w:r>
      <w:r>
        <w:rPr/>
        <w:fldChar w:fldCharType="end" w:fldLock="0"/>
      </w:r>
    </w:p>
    <w:p>
      <w:pPr>
        <w:pStyle w:val="TOC 1"/>
      </w:pPr>
      <w:r>
        <w:rPr>
          <w:rFonts w:cs="Arial Unicode MS" w:eastAsia="Arial Unicode MS"/>
          <w:rtl w:val="0"/>
        </w:rPr>
        <w:t>CONCLUSION</w:t>
        <w:tab/>
      </w:r>
      <w:r>
        <w:rPr/>
        <w:fldChar w:fldCharType="begin" w:fldLock="0"/>
      </w:r>
      <w:r>
        <w:instrText xml:space="preserve"> PAGEREF _Toc25 \h </w:instrText>
      </w:r>
      <w:r>
        <w:rPr/>
        <w:fldChar w:fldCharType="separate" w:fldLock="0"/>
      </w:r>
      <w:r>
        <w:rPr>
          <w:rFonts w:cs="Arial Unicode MS" w:eastAsia="Arial Unicode MS"/>
          <w:rtl w:val="0"/>
        </w:rPr>
        <w:t>22</w:t>
      </w:r>
      <w:r>
        <w:rPr/>
        <w:fldChar w:fldCharType="end" w:fldLock="0"/>
      </w:r>
    </w:p>
    <w:p>
      <w:pPr>
        <w:pStyle w:val="TOC 1"/>
      </w:pPr>
      <w:r>
        <w:rPr>
          <w:rFonts w:cs="Arial Unicode MS" w:eastAsia="Arial Unicode MS"/>
          <w:rtl w:val="0"/>
        </w:rPr>
        <w:t>REFERENCES</w:t>
        <w:tab/>
      </w:r>
      <w:r>
        <w:rPr/>
        <w:fldChar w:fldCharType="begin" w:fldLock="0"/>
      </w:r>
      <w:r>
        <w:instrText xml:space="preserve"> PAGEREF _Toc26 \h </w:instrText>
      </w:r>
      <w:r>
        <w:rPr/>
        <w:fldChar w:fldCharType="separate" w:fldLock="0"/>
      </w:r>
      <w:r>
        <w:rPr>
          <w:rFonts w:cs="Arial Unicode MS" w:eastAsia="Arial Unicode MS"/>
          <w:rtl w:val="0"/>
        </w:rPr>
        <w:t>23</w:t>
      </w:r>
      <w:r>
        <w:rPr/>
        <w:fldChar w:fldCharType="end" w:fldLock="0"/>
      </w:r>
    </w:p>
    <w:p>
      <w:pPr>
        <w:spacing w:before="240" w:line="360" w:lineRule="auto"/>
        <w:jc w:val="center"/>
      </w:pPr>
      <w:r>
        <w:rPr>
          <w:rFonts w:ascii="Times New Roman" w:cs="Times New Roman" w:hAnsi="Times New Roman" w:eastAsia="Times New Roman"/>
          <w:b w:val="1"/>
          <w:bCs w:val="1"/>
          <w:outline w:val="0"/>
          <w:color w:val="002060"/>
          <w:sz w:val="48"/>
          <w:szCs w:val="48"/>
          <w:u w:color="002060"/>
          <w14:textFill>
            <w14:solidFill>
              <w14:srgbClr w14:val="002060"/>
            </w14:solidFill>
          </w14:textFill>
        </w:rPr>
        <w:fldChar w:fldCharType="end" w:fldLock="0"/>
      </w:r>
      <w:r>
        <w:rPr>
          <w:rFonts w:ascii="Arial Unicode MS" w:cs="Arial Unicode MS" w:hAnsi="Arial Unicode MS" w:eastAsia="Arial Unicode MS"/>
          <w:b w:val="0"/>
          <w:bCs w:val="0"/>
          <w:i w:val="0"/>
          <w:iCs w:val="0"/>
          <w:outline w:val="0"/>
          <w:color w:val="002060"/>
          <w:sz w:val="48"/>
          <w:szCs w:val="48"/>
          <w:u w:color="002060"/>
          <w14:textFill>
            <w14:solidFill>
              <w14:srgbClr w14:val="002060"/>
            </w14:solidFill>
          </w14:textFill>
        </w:rPr>
        <w:br w:type="page"/>
      </w:r>
    </w:p>
    <w:p>
      <w:pPr>
        <w:pStyle w:val="Normal,site"/>
        <w:spacing w:line="360" w:lineRule="auto"/>
        <w:rPr>
          <w:rFonts w:ascii="Times New Roman" w:cs="Times New Roman" w:hAnsi="Times New Roman" w:eastAsia="Times New Roman"/>
        </w:rPr>
      </w:pPr>
    </w:p>
    <w:p>
      <w:pPr>
        <w:pStyle w:val="Normal,site"/>
        <w:spacing w:before="240" w:line="360" w:lineRule="auto"/>
        <w:jc w:val="center"/>
        <w:rPr>
          <w:rFonts w:ascii="Times New Roman" w:cs="Times New Roman" w:hAnsi="Times New Roman" w:eastAsia="Times New Roman"/>
          <w:b w:val="1"/>
          <w:bCs w:val="1"/>
          <w:outline w:val="0"/>
          <w:color w:val="2f5496"/>
          <w:sz w:val="48"/>
          <w:szCs w:val="48"/>
          <w:u w:color="2f5496"/>
          <w:lang w:val="en-US"/>
          <w14:textFill>
            <w14:solidFill>
              <w14:srgbClr w14:val="2F5496"/>
            </w14:solidFill>
          </w14:textFill>
        </w:rPr>
      </w:pPr>
      <w:r>
        <w:rPr>
          <w:rFonts w:ascii="Times New Roman" w:hAnsi="Times New Roman"/>
          <w:b w:val="1"/>
          <w:bCs w:val="1"/>
          <w:outline w:val="0"/>
          <w:color w:val="2f5496"/>
          <w:sz w:val="48"/>
          <w:szCs w:val="48"/>
          <w:u w:color="2f5496"/>
          <w:rtl w:val="0"/>
          <w:lang w:val="en-US"/>
          <w14:textFill>
            <w14:solidFill>
              <w14:srgbClr w14:val="2F5496"/>
            </w14:solidFill>
          </w14:textFill>
        </w:rPr>
        <w:t>INTRODUCTION</w:t>
      </w:r>
    </w:p>
    <w:p>
      <w:pPr>
        <w:pStyle w:val="Normal,site"/>
        <w:spacing w:before="240" w:line="360" w:lineRule="auto"/>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5" w:id="5"/>
      <w:r>
        <w:rPr>
          <w:rFonts w:ascii="Times New Roman" w:hAnsi="Times New Roman"/>
          <w:b w:val="1"/>
          <w:bCs w:val="1"/>
          <w:outline w:val="0"/>
          <w:color w:val="003399"/>
          <w:sz w:val="28"/>
          <w:szCs w:val="28"/>
          <w:u w:color="003399"/>
          <w:rtl w:val="0"/>
          <w:lang w:val="en-US"/>
          <w14:textFill>
            <w14:solidFill>
              <w14:srgbClr w14:val="003399"/>
            </w14:solidFill>
          </w14:textFill>
        </w:rPr>
        <w:t>1.1 Background of the Study</w:t>
      </w:r>
      <w:bookmarkEnd w:id="5"/>
    </w:p>
    <w:p>
      <w:pPr>
        <w:pStyle w:val="デフォルト"/>
        <w:spacing w:line="360" w:lineRule="auto"/>
        <w:ind w:firstLine="567"/>
        <w:rPr>
          <w:rFonts w:ascii="Times New Roman" w:cs="Times New Roman" w:hAnsi="Times New Roman" w:eastAsia="Times New Roman"/>
        </w:rPr>
      </w:pPr>
      <w:r>
        <w:rPr>
          <w:rFonts w:ascii="Times New Roman" w:hAnsi="Times New Roman"/>
          <w:rtl w:val="0"/>
          <w:lang w:val="en-US"/>
        </w:rPr>
        <w:t>Parkinson's Disease (PD) is a progressive neurodegenerative disorder whose pharmacological management depends critically on the precise timing of medication administration. The core therapeutic challenge is the ON/OFF phenomenon, in which the clinical benefits of levodopa wear off before the next dose, producing sudden rigidity, gait disturbances, and increased fall risk. In rural home-care settings, these fluctuations are recorded by rotating teams of care assistants, visiting nurses, and family members using paper-based logs that are never synchronized or analyzed. Valuable longitudinal data about the relationship between medication timing, environmental conditions, and motor fluctuations is effectively invisible to the medical team.</w:t>
      </w:r>
    </w:p>
    <w:p>
      <w:pPr>
        <w:pStyle w:val="デフォルト"/>
        <w:spacing w:line="360" w:lineRule="auto"/>
        <w:ind w:firstLine="567"/>
        <w:rPr>
          <w:rFonts w:ascii="Times New Roman" w:cs="Times New Roman" w:hAnsi="Times New Roman" w:eastAsia="Times New Roman"/>
        </w:rPr>
      </w:pPr>
      <w:r>
        <w:rPr>
          <w:rFonts w:ascii="Times New Roman" w:hAnsi="Times New Roman"/>
          <w:rtl w:val="0"/>
          <w:lang w:val="en-US"/>
        </w:rPr>
        <w:t xml:space="preserve">ParkinSync addresses this gap with a serverless, event-driven architecture that digitizes handwritten caregiver logs via AWS Textract, synchronizes the resulting structured data with a centralized Google Sheets repository through AWS Lambda, and performs correlation analysis in Amazon SageMaker. The system is </w:t>
      </w:r>
      <w:r>
        <w:rPr>
          <w:rFonts w:ascii="Times New Roman" w:hAnsi="Times New Roman"/>
          <w:rtl w:val="0"/>
          <w:lang w:val="en-US"/>
        </w:rPr>
        <w:t xml:space="preserve">currently </w:t>
      </w:r>
      <w:r>
        <w:rPr>
          <w:rFonts w:ascii="Times New Roman" w:hAnsi="Times New Roman"/>
          <w:rtl w:val="0"/>
          <w:lang w:val="en-US"/>
        </w:rPr>
        <w:t>designed for deployment in Oya-cho, Yabu City, Hyogo Prefecture, a mountainous rural district with significant seasonal climate variation and a high elderly population rate. The architecture preserves paper-based input as the primary caregiver interface, treating the scanning event as the sole new behavior required from the care team.</w:t>
      </w:r>
    </w:p>
    <w:p>
      <w:pPr>
        <w:pStyle w:val="デフォルト"/>
        <w:spacing w:line="360" w:lineRule="auto"/>
        <w:ind w:firstLine="567"/>
        <w:rPr>
          <w:rFonts w:ascii="Times New Roman" w:cs="Times New Roman" w:hAnsi="Times New Roman" w:eastAsia="Times New Roman"/>
        </w:rPr>
      </w:pPr>
    </w:p>
    <w:p>
      <w:pPr>
        <w:pStyle w:val="Heading 2"/>
        <w:spacing w:line="360" w:lineRule="auto"/>
        <w:rPr>
          <w:rFonts w:ascii="Times New Roman" w:cs="Times New Roman" w:hAnsi="Times New Roman" w:eastAsia="Times New Roman"/>
          <w:b w:val="1"/>
          <w:bCs w:val="1"/>
          <w:sz w:val="28"/>
          <w:szCs w:val="28"/>
        </w:rPr>
      </w:pPr>
      <w:bookmarkStart w:name="_Toc6" w:id="6"/>
      <w:r>
        <w:rPr>
          <w:rFonts w:ascii="Times New Roman" w:hAnsi="Times New Roman"/>
          <w:b w:val="1"/>
          <w:bCs w:val="1"/>
          <w:outline w:val="0"/>
          <w:color w:val="003399"/>
          <w:sz w:val="28"/>
          <w:szCs w:val="28"/>
          <w:u w:color="003399"/>
          <w:rtl w:val="0"/>
          <w:lang w:val="en-US"/>
          <w14:textFill>
            <w14:solidFill>
              <w14:srgbClr w14:val="003399"/>
            </w14:solidFill>
          </w14:textFill>
        </w:rPr>
        <w:t>1.2 Problem Statement</w:t>
      </w:r>
      <w:bookmarkEnd w:id="6"/>
    </w:p>
    <w:p>
      <w:pPr>
        <w:pStyle w:val="Normal,site"/>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This project addresses three primary research questions:</w:t>
      </w:r>
    </w:p>
    <w:p>
      <w:pPr>
        <w:pStyle w:val="List Paragraph"/>
        <w:numPr>
          <w:ilvl w:val="0"/>
          <w:numId w:val="2"/>
        </w:numPr>
        <w:bidi w:val="0"/>
        <w:spacing w:after="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Is there a statistically significant correlation between medication administration timing and the onset of ON/OFF fluctuations in the target patient, as measured by Pearson's r?</w:t>
      </w:r>
    </w:p>
    <w:p>
      <w:pPr>
        <w:pStyle w:val="List Paragraph"/>
        <w:numPr>
          <w:ilvl w:val="0"/>
          <w:numId w:val="2"/>
        </w:numPr>
        <w:bidi w:val="0"/>
        <w:spacing w:after="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Do environmental variables, specifically outdoor temperature and barometric pressure, and gastrointestinal motility indicators (Movicol administration and stool consistency) function as significant co-predictors of OFF period onset?</w:t>
      </w:r>
    </w:p>
    <w:p>
      <w:pPr>
        <w:pStyle w:val="List Paragraph"/>
        <w:numPr>
          <w:ilvl w:val="0"/>
          <w:numId w:val="2"/>
        </w:numPr>
        <w:bidi w:val="0"/>
        <w:spacing w:after="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Can a hybrid analog-to-digital architecture achieve clinically acceptable OCR accuracy (above 90%) and caregiver workflow continuity (zero disruption to existing routines) simultaneously?</w:t>
      </w:r>
    </w:p>
    <w:p>
      <w:pPr>
        <w:pStyle w:val="Normal,site"/>
        <w:spacing w:line="360" w:lineRule="auto"/>
        <w:rPr>
          <w:rFonts w:ascii="Times New Roman" w:cs="Times New Roman" w:hAnsi="Times New Roman" w:eastAsia="Times New Roman"/>
        </w:rPr>
      </w:pPr>
    </w:p>
    <w:p>
      <w:pPr>
        <w:pStyle w:val="Heading 2"/>
        <w:spacing w:line="360" w:lineRule="auto"/>
        <w:rPr>
          <w:rFonts w:ascii="Times New Roman" w:cs="Times New Roman" w:hAnsi="Times New Roman" w:eastAsia="Times New Roman"/>
          <w:b w:val="1"/>
          <w:bCs w:val="1"/>
          <w:sz w:val="28"/>
          <w:szCs w:val="28"/>
        </w:rPr>
      </w:pPr>
      <w:bookmarkStart w:name="_Toc7" w:id="7"/>
      <w:r>
        <w:rPr>
          <w:rFonts w:ascii="Times New Roman" w:hAnsi="Times New Roman"/>
          <w:b w:val="1"/>
          <w:bCs w:val="1"/>
          <w:outline w:val="0"/>
          <w:color w:val="003399"/>
          <w:sz w:val="28"/>
          <w:szCs w:val="28"/>
          <w:u w:color="003399"/>
          <w:rtl w:val="0"/>
          <w:lang w:val="en-US"/>
          <w14:textFill>
            <w14:solidFill>
              <w14:srgbClr w14:val="003399"/>
            </w14:solidFill>
          </w14:textFill>
        </w:rPr>
        <w:t>1.3 Objectives of the Study</w:t>
      </w:r>
      <w:bookmarkEnd w:id="7"/>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The objectives of this study are both analytical and system-oriented.</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First, the project aims to identify statistically significant relationships between medication administration timing and ON/OFF fluctuations in a Parkinson</w:t>
      </w:r>
      <w:r>
        <w:rPr>
          <w:rFonts w:ascii="Times New Roman" w:hAnsi="Times New Roman" w:hint="default"/>
          <w:rtl w:val="1"/>
        </w:rPr>
        <w:t>’</w:t>
      </w:r>
      <w:r>
        <w:rPr>
          <w:rFonts w:ascii="Times New Roman" w:hAnsi="Times New Roman"/>
          <w:rtl w:val="0"/>
          <w:lang w:val="en-US"/>
        </w:rPr>
        <w:t>s Disease patient using Pearson</w:t>
      </w:r>
      <w:r>
        <w:rPr>
          <w:rFonts w:ascii="Times New Roman" w:hAnsi="Times New Roman" w:hint="default"/>
          <w:rtl w:val="1"/>
        </w:rPr>
        <w:t>’</w:t>
      </w:r>
      <w:r>
        <w:rPr>
          <w:rFonts w:ascii="Times New Roman" w:hAnsi="Times New Roman"/>
          <w:rtl w:val="0"/>
          <w:lang w:val="en-US"/>
        </w:rPr>
        <w:t>s r correlation analysis.</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Second, it seeks to evaluate whether environmental variables (temperature and barometric pressure) and gastrointestinal motility indicators act as co-predictors of OFF period onset.</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 xml:space="preserve">Third, from a system engineering perspective, the project aims to validate the feasibility of a hybrid analog-to-digital architecture that achieves both high OCR accuracy (target </w:t>
      </w:r>
      <w:r>
        <w:rPr>
          <w:rFonts w:ascii="Times New Roman" w:hAnsi="Times New Roman" w:hint="default"/>
          <w:rtl w:val="0"/>
        </w:rPr>
        <w:t xml:space="preserve">≥ </w:t>
      </w:r>
      <w:r>
        <w:rPr>
          <w:rFonts w:ascii="Times New Roman" w:hAnsi="Times New Roman"/>
          <w:rtl w:val="0"/>
          <w:lang w:val="en-US"/>
        </w:rPr>
        <w:t>90%) and zero disruption to caregiver workflows.</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Finally, the study aims to demonstrate that a serverless cloud-based pipeline can reliably transform fragmented caregiver observations into structured, analyzable clinical data.</w:t>
      </w:r>
    </w:p>
    <w:p>
      <w:pPr>
        <w:pStyle w:val="Normal,site"/>
        <w:spacing w:line="360" w:lineRule="auto"/>
        <w:rPr>
          <w:rFonts w:ascii="Times New Roman" w:cs="Times New Roman" w:hAnsi="Times New Roman" w:eastAsia="Times New Roman"/>
        </w:rPr>
      </w:pPr>
    </w:p>
    <w:p>
      <w:pPr>
        <w:pStyle w:val="Heading 2"/>
        <w:spacing w:line="360" w:lineRule="auto"/>
        <w:rPr>
          <w:rFonts w:ascii="Times New Roman" w:cs="Times New Roman" w:hAnsi="Times New Roman" w:eastAsia="Times New Roman"/>
          <w:b w:val="1"/>
          <w:bCs w:val="1"/>
          <w:sz w:val="28"/>
          <w:szCs w:val="28"/>
        </w:rPr>
      </w:pPr>
      <w:bookmarkStart w:name="_Toc8" w:id="8"/>
      <w:r>
        <w:rPr>
          <w:rFonts w:ascii="Times New Roman" w:hAnsi="Times New Roman"/>
          <w:b w:val="1"/>
          <w:bCs w:val="1"/>
          <w:outline w:val="0"/>
          <w:color w:val="003399"/>
          <w:sz w:val="28"/>
          <w:szCs w:val="28"/>
          <w:u w:color="003399"/>
          <w:rtl w:val="0"/>
          <w:lang w:val="en-US"/>
          <w14:textFill>
            <w14:solidFill>
              <w14:srgbClr w14:val="003399"/>
            </w14:solidFill>
          </w14:textFill>
        </w:rPr>
        <w:t>1.4 Scope and Limitations</w:t>
      </w:r>
      <w:bookmarkEnd w:id="8"/>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scope of ParkinSync is defined by three functional layers and a security framework. The Input Layer digitizes handwritten caregiver logs and ingests environmental data automatically. The Integration Layer processes and synchronizes data via serverless cloud services. The Analysis Layer applies statistical correlation analysis to identify clinically relevant patterns. The system is explicitly scoped as a decision-support tool: it will not provide medical diagnoses, modify drug dosages, or replace clinical judgment. Economic feasibility is constrained to the AWS Free Tier throughout the eight-week capstone period.</w:t>
      </w:r>
    </w:p>
    <w:p>
      <w:pPr>
        <w:pStyle w:val="Normal,site"/>
        <w:spacing w:line="360" w:lineRule="auto"/>
        <w:ind w:firstLine="567"/>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9" w:id="9"/>
      <w:r>
        <w:rPr>
          <w:rFonts w:ascii="Times New Roman" w:hAnsi="Times New Roman"/>
          <w:b w:val="1"/>
          <w:bCs w:val="1"/>
          <w:outline w:val="0"/>
          <w:color w:val="003399"/>
          <w:sz w:val="28"/>
          <w:szCs w:val="28"/>
          <w:u w:color="003399"/>
          <w:rtl w:val="0"/>
          <w:lang w:val="en-US"/>
          <w14:textFill>
            <w14:solidFill>
              <w14:srgbClr w14:val="003399"/>
            </w14:solidFill>
          </w14:textFill>
        </w:rPr>
        <w:t>1.5 Report Organization</w:t>
      </w:r>
      <w:bookmarkEnd w:id="9"/>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This report is organized into six main sections.</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Chapter 1 introduces the background, problem statement, objectives, and scope of the study.</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Chapter 2 reviews existing literature related to machine learning in medication adherence, digital health adoption, and Parkinson</w:t>
      </w:r>
      <w:r>
        <w:rPr>
          <w:rFonts w:ascii="Times New Roman" w:hAnsi="Times New Roman" w:hint="default"/>
          <w:rtl w:val="1"/>
        </w:rPr>
        <w:t>’</w:t>
      </w:r>
      <w:r>
        <w:rPr>
          <w:rFonts w:ascii="Times New Roman" w:hAnsi="Times New Roman"/>
          <w:rtl w:val="0"/>
          <w:lang w:val="en-US"/>
        </w:rPr>
        <w:t>s Disease management, and identifies the research gap addressed by this project.</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Chapter 3 describes the system architecture, methodologies, data flow, and security framework of ParkinSync.</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Chapter 4 presents the implementation results and evaluates system performance across defined metrics.</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Chapter 5 discusses the findings in relation to existing literature, outlines limitations, and proposes future work.</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Chapter 6 concludes the study by summarizing key contributions and implications.</w:t>
      </w:r>
    </w:p>
    <w:p>
      <w:pPr>
        <w:pStyle w:val="Normal,site"/>
        <w:spacing w:before="240"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before="240" w:line="360" w:lineRule="auto"/>
        <w:jc w:val="center"/>
        <w:rPr>
          <w:rFonts w:ascii="Times New Roman" w:cs="Times New Roman" w:hAnsi="Times New Roman" w:eastAsia="Times New Roman"/>
          <w:lang w:val="en-US"/>
        </w:rPr>
      </w:pPr>
      <w:r>
        <w:rPr>
          <w:rFonts w:ascii="Times New Roman" w:hAnsi="Times New Roman"/>
          <w:b w:val="1"/>
          <w:bCs w:val="1"/>
          <w:outline w:val="0"/>
          <w:color w:val="2f5496"/>
          <w:sz w:val="48"/>
          <w:szCs w:val="48"/>
          <w:u w:color="2f5496"/>
          <w:rtl w:val="0"/>
          <w:lang w:val="en-US"/>
          <w14:textFill>
            <w14:solidFill>
              <w14:srgbClr w14:val="2F5496"/>
            </w14:solidFill>
          </w14:textFill>
        </w:rPr>
        <w:t>LITERATURE REVIEW</w:t>
      </w:r>
    </w:p>
    <w:p>
      <w:pPr>
        <w:pStyle w:val="Normal,site"/>
        <w:spacing w:line="360" w:lineRule="auto"/>
        <w:rPr>
          <w:rFonts w:ascii="Times New Roman" w:cs="Times New Roman" w:hAnsi="Times New Roman" w:eastAsia="Times New Roman"/>
        </w:rPr>
      </w:pPr>
    </w:p>
    <w:p>
      <w:pPr>
        <w:pStyle w:val="Heading 2"/>
        <w:spacing w:line="360" w:lineRule="auto"/>
        <w:rPr>
          <w:rFonts w:ascii="Times New Roman" w:cs="Times New Roman" w:hAnsi="Times New Roman" w:eastAsia="Times New Roman"/>
          <w:b w:val="1"/>
          <w:bCs w:val="1"/>
          <w:sz w:val="28"/>
          <w:szCs w:val="28"/>
        </w:rPr>
      </w:pPr>
      <w:bookmarkStart w:name="_Toc10" w:id="10"/>
      <w:r>
        <w:rPr>
          <w:rFonts w:ascii="Times New Roman" w:hAnsi="Times New Roman"/>
          <w:b w:val="1"/>
          <w:bCs w:val="1"/>
          <w:outline w:val="0"/>
          <w:color w:val="003399"/>
          <w:sz w:val="28"/>
          <w:szCs w:val="28"/>
          <w:u w:color="003399"/>
          <w:rtl w:val="0"/>
          <w:lang w:val="en-US"/>
          <w14:textFill>
            <w14:solidFill>
              <w14:srgbClr w14:val="003399"/>
            </w14:solidFill>
          </w14:textFill>
        </w:rPr>
        <w:t>2.1 Overview of Related Work</w:t>
      </w:r>
      <w:bookmarkEnd w:id="10"/>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Bohlmann, Mostafa, and Kumar (2021) conducted the first comprehensive scoping review of machine learning applied to medication adherence, analyzing 43 peer-reviewed studies from PubMed, Scopus, IEEE, ACM Digital Library, and Web of Science. The review identified three ML application categories: adherence prediction, monitoring, and combined monitoring with intervention. Two studies specifically targeting PD patients used room-mounted sensors and smartphone-based gait analysis, achieving classification accuracy of 78% or higher. Context-aware reminder systems sustained adherence rates above 92% but required dense sensor networks throughout patients' homes, raising concerns about usability and privacy. The authors concluded that the field remains limited by an overreliance on digitally instrumented environments incompatible with naturalistic home care. This finding simultaneously establishes the technical feasibility of ML-based adherence monitoring and identifies the implementation gap that ParkinSync addresses.</w:t>
      </w:r>
    </w:p>
    <w:p>
      <w:pPr>
        <w:pStyle w:val="Normal,site"/>
        <w:spacing w:line="360" w:lineRule="auto"/>
        <w:ind w:firstLine="567"/>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11" w:id="11"/>
      <w:r>
        <w:rPr>
          <w:rFonts w:ascii="Times New Roman" w:hAnsi="Times New Roman"/>
          <w:b w:val="1"/>
          <w:bCs w:val="1"/>
          <w:outline w:val="0"/>
          <w:color w:val="003399"/>
          <w:sz w:val="28"/>
          <w:szCs w:val="28"/>
          <w:u w:color="003399"/>
          <w:rtl w:val="0"/>
          <w:lang w:val="en-US"/>
          <w14:textFill>
            <w14:solidFill>
              <w14:srgbClr w14:val="003399"/>
            </w14:solidFill>
          </w14:textFill>
        </w:rPr>
        <w:t>2.2 Comparative Analysis of Existing Systems</w:t>
      </w:r>
      <w:bookmarkEnd w:id="11"/>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Bertolazzi, Quaglia, and Bongelli (2024) conducted an integrative systematic review of 29 studies on health technology adoption among older adults with chronic diseases. The review identified five barrier domains: demographic and socioeconomic, health-related, dispositional, technology-related, and social factors. Digital literacy deficits and a strong preference for established analog routines were the most consistently reported obstacles. The authors found that older adults are more likely to engage with digital health tools when those tools supplement rather than replace existing workflows. Their conclusion that user-centered design accommodating pre-existing analog habits is essential for adoption in elderly care directly informs ParkinSync's core design decision: preserving the paper-based log as the primary input interface.</w:t>
      </w:r>
    </w:p>
    <w:p>
      <w:pPr>
        <w:pStyle w:val="Normal,site"/>
        <w:spacing w:line="360" w:lineRule="auto"/>
        <w:ind w:firstLine="567"/>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12" w:id="12"/>
      <w:r>
        <w:rPr>
          <w:rFonts w:ascii="Times New Roman" w:hAnsi="Times New Roman"/>
          <w:b w:val="1"/>
          <w:bCs w:val="1"/>
          <w:outline w:val="0"/>
          <w:color w:val="003399"/>
          <w:sz w:val="28"/>
          <w:szCs w:val="28"/>
          <w:u w:color="003399"/>
          <w:rtl w:val="0"/>
          <w:lang w:val="en-US"/>
          <w14:textFill>
            <w14:solidFill>
              <w14:srgbClr w14:val="003399"/>
            </w14:solidFill>
          </w14:textFill>
        </w:rPr>
        <w:t>2.3 Research Gap Identification</w:t>
      </w:r>
      <w:bookmarkEnd w:id="12"/>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Mantri, Lepore, Edison, et al. (2021) surveyed 2,110 Fox Insight participants who self-reported experiencing OFF periods. Tremor was the most common symptom (49.2%), followed by gait disturbance and freezing (25.4%) and rigidity (20.4%). Stress was the leading trigger (61.4%), with environmental factors including temperature changes also noted. Critically, a substantial proportion of participants had never discussed their OFF experiences with a neurologist, revealing a structural communication gap driven by the absence of systematic data collection tools. The authors called for structured approaches to capturing OFF period data. This finding establishes the data infrastructure rationale for ParkinSync: converting chronically under-captured caregiver observations into structured, time-stamped clinical evidence.</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Leta et al. (2023) reviewed gastrointestinal barriers to levodopa transport and absorption in PD, identifying delayed gastric emptying, small intestinal dysmotility, and constipation as mechanisms that disrupt reliable levodopa delivery. When gastric motility is impaired, levodopa remains trapped in the stomach and may be partially degraded before reaching absorption sites, producing delayed-ON or no-ON responses clinically indistinguishable from disease progression. In the care context of this project, EC-Doparl (levodopa/carbidopa) is co-administered with Movicol (macrogol) to manage chronic constipation. Without systematic tracking of Movicol events alongside medication timing and symptom scores, the neurologist cannot distinguish pharmacological inadequacy from a correctable gastrointestinal barrier.</w:t>
      </w: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before="240" w:line="360" w:lineRule="auto"/>
        <w:jc w:val="center"/>
        <w:rPr>
          <w:rFonts w:ascii="Times New Roman" w:cs="Times New Roman" w:hAnsi="Times New Roman" w:eastAsia="Times New Roman"/>
          <w:lang w:val="en-US"/>
        </w:rPr>
      </w:pPr>
      <w:r>
        <w:rPr>
          <w:rFonts w:ascii="Times New Roman" w:hAnsi="Times New Roman"/>
          <w:b w:val="1"/>
          <w:bCs w:val="1"/>
          <w:outline w:val="0"/>
          <w:color w:val="2f5496"/>
          <w:sz w:val="48"/>
          <w:szCs w:val="48"/>
          <w:u w:color="2f5496"/>
          <w:rtl w:val="0"/>
          <w:lang w:val="en-US"/>
          <w14:textFill>
            <w14:solidFill>
              <w14:srgbClr w14:val="2F5496"/>
            </w14:solidFill>
          </w14:textFill>
        </w:rPr>
        <w:t>SYSTEM DESIGN</w:t>
      </w:r>
    </w:p>
    <w:p>
      <w:pPr>
        <w:pStyle w:val="Normal,site"/>
        <w:spacing w:line="360" w:lineRule="auto"/>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rPr>
      </w:pPr>
      <w:bookmarkStart w:name="_Toc13" w:id="13"/>
      <w:r>
        <w:rPr>
          <w:rFonts w:ascii="Times New Roman" w:hAnsi="Times New Roman"/>
          <w:b w:val="1"/>
          <w:bCs w:val="1"/>
          <w:outline w:val="0"/>
          <w:color w:val="003399"/>
          <w:sz w:val="28"/>
          <w:szCs w:val="28"/>
          <w:u w:color="003399"/>
          <w:rtl w:val="0"/>
          <w:lang w:val="en-US"/>
          <w14:textFill>
            <w14:solidFill>
              <w14:srgbClr w14:val="003399"/>
            </w14:solidFill>
          </w14:textFill>
        </w:rPr>
        <w:t>3.1 System Architecture</w:t>
      </w:r>
      <w:bookmarkEnd w:id="13"/>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ParkinSync is structured around three functional layers connected by an event-driven serverless pipeline.</w:t>
      </w: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b w:val="1"/>
          <w:bCs w:val="1"/>
          <w:i w:val="1"/>
          <w:iCs w:val="1"/>
          <w:sz w:val="24"/>
          <w:szCs w:val="24"/>
        </w:rPr>
      </w:pPr>
      <w:r>
        <w:rPr>
          <w:rFonts w:ascii="Times New Roman" w:hAnsi="Times New Roman"/>
          <w:b w:val="1"/>
          <w:bCs w:val="1"/>
          <w:i w:val="1"/>
          <w:iCs w:val="1"/>
          <w:sz w:val="24"/>
          <w:szCs w:val="24"/>
          <w:rtl w:val="0"/>
          <w:lang w:val="en-US"/>
        </w:rPr>
        <w:t>Input Layer</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Caregivers complete a standardized paper log sheet at each medication event, capturing: medication name, administration time, stool consistency indicator (proxy for GI motility), patient-reported ON/OFF score on a 1-to-5 scale, and a binary compliance field for the spatial restriction protocol. Upon completion, the caregiver photographs the log with a standard smartphone and uploads it to a designated Amazon S3 bucket. This upload constitutes the sole new behavior introduced to the caregiver's routine. Simultaneously, outdoor weather data is retrieved from the Weatherbit API and indoor temperature and humidity data is transmitted from an IoT sensor in the patient's primary living space.</w:t>
      </w: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b w:val="1"/>
          <w:bCs w:val="1"/>
          <w:i w:val="1"/>
          <w:iCs w:val="1"/>
          <w:sz w:val="24"/>
          <w:szCs w:val="24"/>
        </w:rPr>
      </w:pPr>
      <w:r>
        <w:rPr>
          <w:rFonts w:ascii="Times New Roman" w:hAnsi="Times New Roman"/>
          <w:b w:val="1"/>
          <w:bCs w:val="1"/>
          <w:i w:val="1"/>
          <w:iCs w:val="1"/>
          <w:sz w:val="24"/>
          <w:szCs w:val="24"/>
          <w:rtl w:val="0"/>
          <w:lang w:val="en-US"/>
        </w:rPr>
        <w:t>Integration Layer</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S3 image upload triggers an AWS Lambda function via an S3 event notification. Lambda invokes Amazon Textract's AnalyzeDocument API with key-value pair extraction to parse the structured log fields. The extracted data is formatted as a JSON object, merged with the environmental data for the event timestamp, and appended to the centralized Google Sheets care log via the Sheets API. A HITL verification flag marks the row as pending manual review. Raw images are transitioned to S3 Glacier for long-term encrypted archival.</w:t>
      </w: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b w:val="1"/>
          <w:bCs w:val="1"/>
          <w:i w:val="1"/>
          <w:iCs w:val="1"/>
          <w:sz w:val="24"/>
          <w:szCs w:val="24"/>
        </w:rPr>
      </w:pPr>
      <w:r>
        <w:rPr>
          <w:rFonts w:ascii="Times New Roman" w:hAnsi="Times New Roman"/>
          <w:b w:val="1"/>
          <w:bCs w:val="1"/>
          <w:i w:val="1"/>
          <w:iCs w:val="1"/>
          <w:sz w:val="24"/>
          <w:szCs w:val="24"/>
          <w:rtl w:val="0"/>
          <w:lang w:val="en-US"/>
        </w:rPr>
        <w:t>Analysis Layer</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Verified rows are exported to Amazon SageMaker for statistical analysis. The primary analytical output is the Pearson's r correlation matrix across medication timing, environmental variables, GI motility indicators, and ON/OFF condition scores. Feature engineering includes the creation of lag variables to capture the delayed-ON phenomenon documented by Leta et al. (2023), measuring how many hours after a GI disturbance event the probability of an OFF period increases. A secondary model tracks spatial restriction protocol compliance against the FOG and fall event log.</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selection of cloud services and technologies used in ParkinSync is justified based on cost efficiency, scalability, and suitability for a serverless architecture. Table 1 presents a detailed justification for each selected component.</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Figure 1 and Figure 2 (see Appendix A) illustrate the full system architecture and event-driven data flow respectively.</w:t>
      </w:r>
    </w:p>
    <w:p>
      <w:pPr>
        <w:pStyle w:val="Normal,site"/>
        <w:spacing w:line="360" w:lineRule="auto"/>
        <w:jc w:val="center"/>
        <w:rPr>
          <w:rFonts w:ascii="Times New Roman" w:cs="Times New Roman" w:hAnsi="Times New Roman" w:eastAsia="Times New Roman"/>
          <w:sz w:val="24"/>
          <w:szCs w:val="24"/>
        </w:rPr>
      </w:pPr>
    </w:p>
    <w:p>
      <w:pPr>
        <w:pStyle w:val="Normal,site"/>
        <w:spacing w:line="360" w:lineRule="auto"/>
        <w:jc w:val="center"/>
        <w:rPr>
          <w:rFonts w:ascii="Times New Roman" w:cs="Times New Roman" w:hAnsi="Times New Roman" w:eastAsia="Times New Roman"/>
          <w:i w:val="1"/>
          <w:iCs w:val="1"/>
          <w:sz w:val="24"/>
          <w:szCs w:val="24"/>
        </w:rPr>
      </w:pPr>
      <w:r>
        <w:rPr>
          <w:rFonts w:ascii="Times New Roman" w:hAnsi="Times New Roman"/>
          <w:i w:val="1"/>
          <w:iCs w:val="1"/>
          <w:sz w:val="24"/>
          <w:szCs w:val="24"/>
          <w:rtl w:val="0"/>
          <w:lang w:val="en-US"/>
        </w:rPr>
        <w:t>Table 1: Technology Resource Justification Matrix</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2000"/>
        <w:gridCol w:w="5460"/>
      </w:tblGrid>
      <w:tr>
        <w:tblPrEx>
          <w:shd w:val="clear" w:color="auto" w:fill="ced7e7"/>
        </w:tblPrEx>
        <w:trPr>
          <w:trHeight w:val="519" w:hRule="atLeast"/>
        </w:trPr>
        <w:tc>
          <w:tcPr>
            <w:tcW w:type="dxa" w:w="19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9e2f3"/>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b w:val="1"/>
                <w:bCs w:val="1"/>
                <w:sz w:val="22"/>
                <w:szCs w:val="22"/>
                <w:u w:color="000000"/>
                <w:shd w:val="nil" w:color="auto" w:fill="auto"/>
                <w:rtl w:val="0"/>
                <w:lang w:val="en-US"/>
              </w:rPr>
              <w:t>Resource Category</w:t>
            </w:r>
          </w:p>
        </w:tc>
        <w:tc>
          <w:tcPr>
            <w:tcW w:type="dxa" w:w="20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9e2f3"/>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b w:val="1"/>
                <w:bCs w:val="1"/>
                <w:sz w:val="22"/>
                <w:szCs w:val="22"/>
                <w:u w:color="000000"/>
                <w:shd w:val="nil" w:color="auto" w:fill="auto"/>
                <w:rtl w:val="0"/>
                <w:lang w:val="en-US"/>
              </w:rPr>
              <w:t>Tool Selected</w:t>
            </w:r>
          </w:p>
        </w:tc>
        <w:tc>
          <w:tcPr>
            <w:tcW w:type="dxa" w:w="5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9e2f3"/>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b w:val="1"/>
                <w:bCs w:val="1"/>
                <w:sz w:val="22"/>
                <w:szCs w:val="22"/>
                <w:u w:color="000000"/>
                <w:shd w:val="nil" w:color="auto" w:fill="auto"/>
                <w:rtl w:val="0"/>
                <w:lang w:val="en-US"/>
              </w:rPr>
              <w:t>Technical and Strategic Justification</w:t>
            </w:r>
          </w:p>
        </w:tc>
      </w:tr>
      <w:tr>
        <w:tblPrEx>
          <w:shd w:val="clear" w:color="auto" w:fill="ced7e7"/>
        </w:tblPrEx>
        <w:trPr>
          <w:trHeight w:val="805" w:hRule="atLeast"/>
        </w:trPr>
        <w:tc>
          <w:tcPr>
            <w:tcW w:type="dxa" w:w="19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Cloud OCR</w:t>
            </w:r>
          </w:p>
        </w:tc>
        <w:tc>
          <w:tcPr>
            <w:tcW w:type="dxa" w:w="20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AWS Textract</w:t>
            </w:r>
          </w:p>
        </w:tc>
        <w:tc>
          <w:tcPr>
            <w:tcW w:type="dxa" w:w="5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Achieves 89.42% accuracy on clinical handwriting as documented by Kumar et al. (2023); key-value pair extraction is essential for structured log parsing.</w:t>
            </w:r>
          </w:p>
        </w:tc>
      </w:tr>
      <w:tr>
        <w:tblPrEx>
          <w:shd w:val="clear" w:color="auto" w:fill="ced7e7"/>
        </w:tblPrEx>
        <w:trPr>
          <w:trHeight w:val="805" w:hRule="atLeast"/>
        </w:trPr>
        <w:tc>
          <w:tcPr>
            <w:tcW w:type="dxa" w:w="19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Serverless Backend</w:t>
            </w:r>
          </w:p>
        </w:tc>
        <w:tc>
          <w:tcPr>
            <w:tcW w:type="dxa" w:w="20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AWS Lambda</w:t>
            </w:r>
          </w:p>
        </w:tc>
        <w:tc>
          <w:tcPr>
            <w:tcW w:type="dxa" w:w="5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Event-driven execution aligns with intermittent scanning schedule; zero cost when idle; eliminates server management overhead.</w:t>
            </w:r>
          </w:p>
        </w:tc>
      </w:tr>
      <w:tr>
        <w:tblPrEx>
          <w:shd w:val="clear" w:color="auto" w:fill="ced7e7"/>
        </w:tblPrEx>
        <w:trPr>
          <w:trHeight w:val="805" w:hRule="atLeast"/>
        </w:trPr>
        <w:tc>
          <w:tcPr>
            <w:tcW w:type="dxa" w:w="19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rPr>
              <w:t>Analytics Engine</w:t>
            </w:r>
          </w:p>
        </w:tc>
        <w:tc>
          <w:tcPr>
            <w:tcW w:type="dxa" w:w="20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Amazon SageMaker</w:t>
            </w:r>
          </w:p>
        </w:tc>
        <w:tc>
          <w:tcPr>
            <w:tcW w:type="dxa" w:w="5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Managed ML environment suitable for small-to-medium datasets within the 8-week scope; supports rapid iteration of correlation models.</w:t>
            </w:r>
          </w:p>
        </w:tc>
      </w:tr>
      <w:tr>
        <w:tblPrEx>
          <w:shd w:val="clear" w:color="auto" w:fill="ced7e7"/>
        </w:tblPrEx>
        <w:trPr>
          <w:trHeight w:val="805" w:hRule="atLeast"/>
        </w:trPr>
        <w:tc>
          <w:tcPr>
            <w:tcW w:type="dxa" w:w="19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User Interface / DB</w:t>
            </w:r>
          </w:p>
        </w:tc>
        <w:tc>
          <w:tcPr>
            <w:tcW w:type="dxa" w:w="20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nl-NL"/>
              </w:rPr>
              <w:t>Google Sheets API</w:t>
            </w:r>
          </w:p>
        </w:tc>
        <w:tc>
          <w:tcPr>
            <w:tcW w:type="dxa" w:w="5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Familiar interface for non-technical family stakeholders; reduces digital divide friction (Bertolazzi et al., 2024); functions as a relational-lite database.</w:t>
            </w:r>
          </w:p>
        </w:tc>
      </w:tr>
      <w:tr>
        <w:tblPrEx>
          <w:shd w:val="clear" w:color="auto" w:fill="ced7e7"/>
        </w:tblPrEx>
        <w:trPr>
          <w:trHeight w:val="805" w:hRule="atLeast"/>
        </w:trPr>
        <w:tc>
          <w:tcPr>
            <w:tcW w:type="dxa" w:w="19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fr-FR"/>
              </w:rPr>
              <w:t>Secrets Management</w:t>
            </w:r>
          </w:p>
        </w:tc>
        <w:tc>
          <w:tcPr>
            <w:tcW w:type="dxa" w:w="20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AWS Secrets Manager</w:t>
            </w:r>
          </w:p>
        </w:tc>
        <w:tc>
          <w:tcPr>
            <w:tcW w:type="dxa" w:w="5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Enforces Zero Hardcoding Policy; provides KMS envelope encryption and IAM-governed credential access for Google Sheets API tokens.</w:t>
            </w:r>
          </w:p>
        </w:tc>
      </w:tr>
      <w:tr>
        <w:tblPrEx>
          <w:shd w:val="clear" w:color="auto" w:fill="ced7e7"/>
        </w:tblPrEx>
        <w:trPr>
          <w:trHeight w:val="805" w:hRule="atLeast"/>
        </w:trPr>
        <w:tc>
          <w:tcPr>
            <w:tcW w:type="dxa" w:w="19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de-DE"/>
              </w:rPr>
              <w:t>Version Control</w:t>
            </w:r>
          </w:p>
        </w:tc>
        <w:tc>
          <w:tcPr>
            <w:tcW w:type="dxa" w:w="20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nl-NL"/>
              </w:rPr>
              <w:t>GitHub</w:t>
            </w:r>
          </w:p>
        </w:tc>
        <w:tc>
          <w:tcPr>
            <w:tcW w:type="dxa" w:w="5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auto"/>
            <w:tcMar>
              <w:top w:type="dxa" w:w="80"/>
              <w:left w:type="dxa" w:w="80"/>
              <w:bottom w:type="dxa" w:w="80"/>
              <w:right w:type="dxa" w:w="80"/>
            </w:tcMar>
            <w:vAlign w:val="center"/>
          </w:tcPr>
          <w:p>
            <w:pPr>
              <w:pStyle w:val="デフォルト"/>
              <w:bidi w:val="0"/>
              <w:ind w:left="0" w:right="0" w:firstLine="0"/>
              <w:jc w:val="left"/>
              <w:rPr>
                <w:rtl w:val="0"/>
              </w:rPr>
            </w:pPr>
            <w:r>
              <w:rPr>
                <w:rFonts w:ascii="Times New Roman" w:hAnsi="Times New Roman"/>
                <w:sz w:val="22"/>
                <w:szCs w:val="22"/>
                <w:u w:color="000000"/>
                <w:shd w:val="nil" w:color="auto" w:fill="auto"/>
                <w:rtl w:val="0"/>
                <w:lang w:val="en-US"/>
              </w:rPr>
              <w:t>Two-branch architecture (main and development) ensures traceability and prevents untested code from reaching production Lambda deployment.</w:t>
            </w:r>
          </w:p>
        </w:tc>
      </w:tr>
    </w:tbl>
    <w:p>
      <w:pPr>
        <w:pStyle w:val="Heading 3"/>
        <w:keepNext w:val="0"/>
        <w:keepLines w:val="0"/>
        <w:widowControl w:val="0"/>
        <w:spacing w:before="240" w:after="120" w:line="360" w:lineRule="auto"/>
        <w:rPr>
          <w:rFonts w:ascii="Times New Roman" w:cs="Times New Roman" w:hAnsi="Times New Roman" w:eastAsia="Times New Roman"/>
          <w:b w:val="1"/>
          <w:bCs w:val="1"/>
          <w:i w:val="1"/>
          <w:iCs w:val="1"/>
          <w:outline w:val="0"/>
          <w:color w:val="000000"/>
          <w:u w:color="000000"/>
          <w14:textFill>
            <w14:solidFill>
              <w14:srgbClr w14:val="000000"/>
            </w14:solidFill>
          </w14:textFill>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As shown in Table 1, the system prioritizes low-cost, scalable, and secure services, aligning with the constraints of the AWS Free Tier and the requirements of healthcare data processing.</w:t>
      </w:r>
    </w:p>
    <w:p>
      <w:pPr>
        <w:pStyle w:val="Normal,site"/>
        <w:spacing w:line="360" w:lineRule="auto"/>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rPr>
      </w:pPr>
      <w:bookmarkStart w:name="_Toc14" w:id="14"/>
      <w:r>
        <w:rPr>
          <w:rFonts w:ascii="Times New Roman" w:hAnsi="Times New Roman"/>
          <w:b w:val="1"/>
          <w:bCs w:val="1"/>
          <w:outline w:val="0"/>
          <w:color w:val="003399"/>
          <w:sz w:val="28"/>
          <w:szCs w:val="28"/>
          <w:u w:color="003399"/>
          <w:rtl w:val="0"/>
          <w:lang w:val="en-US"/>
          <w14:textFill>
            <w14:solidFill>
              <w14:srgbClr w14:val="003399"/>
            </w14:solidFill>
          </w14:textFill>
        </w:rPr>
        <w:t>3.2 Methodologies and Tools Used</w:t>
      </w:r>
      <w:bookmarkEnd w:id="14"/>
    </w:p>
    <w:p>
      <w:pPr>
        <w:pStyle w:val="Normal,site"/>
        <w:spacing w:line="360" w:lineRule="auto"/>
        <w:ind w:firstLine="850"/>
        <w:rPr>
          <w:rFonts w:ascii="Times New Roman" w:cs="Times New Roman" w:hAnsi="Times New Roman" w:eastAsia="Times New Roman"/>
          <w:sz w:val="24"/>
          <w:szCs w:val="24"/>
        </w:rPr>
      </w:pPr>
      <w:r>
        <w:rPr>
          <w:rFonts w:ascii="Times New Roman" w:hAnsi="Times New Roman"/>
          <w:sz w:val="24"/>
          <w:szCs w:val="24"/>
          <w:rtl w:val="0"/>
          <w:lang w:val="en-US"/>
        </w:rPr>
        <w:t>The primary statistical method is Pearson's r correlation analysis, selected for its interpretability and suitability for continuous-variable relationships in small-to-medium longitudinal datasets. The expected dataset size at project completion is 120 to 160 verified rows across eight weeks of caregiver log scanning.</w:t>
      </w:r>
    </w:p>
    <w:p>
      <w:pPr>
        <w:pStyle w:val="Normal,site"/>
        <w:spacing w:line="360" w:lineRule="auto"/>
        <w:ind w:firstLine="850"/>
        <w:rPr>
          <w:rFonts w:ascii="Times New Roman" w:cs="Times New Roman" w:hAnsi="Times New Roman" w:eastAsia="Times New Roman"/>
          <w:sz w:val="24"/>
          <w:szCs w:val="24"/>
        </w:rPr>
      </w:pPr>
      <w:r>
        <w:rPr>
          <w:rFonts w:ascii="Times New Roman" w:hAnsi="Times New Roman"/>
          <w:sz w:val="24"/>
          <w:szCs w:val="24"/>
          <w:rtl w:val="0"/>
          <w:lang w:val="en-US"/>
        </w:rPr>
        <w:t>Feature engineering involves three categories of variable construction. Temporal features include the hour of medication administration, the elapsed time since the previous dose, and day-of-week indicators for rehabilitation session days. Lag features, inspired by Leta et al.'s (2023) pharmacokinetic framework, capture GI motility events at t-2, t-4, and t-6 hour intervals relative to each ON/OFF observation. Environmental features derive from Weatherbit API data, including temperature delta from the prior 24-hour mean and barometric pressure change rate.</w:t>
      </w:r>
    </w:p>
    <w:p>
      <w:pPr>
        <w:pStyle w:val="Normal,site"/>
        <w:spacing w:line="360" w:lineRule="auto"/>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15" w:id="15"/>
      <w:r>
        <w:rPr>
          <w:rFonts w:ascii="Times New Roman" w:hAnsi="Times New Roman"/>
          <w:b w:val="1"/>
          <w:bCs w:val="1"/>
          <w:outline w:val="0"/>
          <w:color w:val="003399"/>
          <w:sz w:val="28"/>
          <w:szCs w:val="28"/>
          <w:u w:color="003399"/>
          <w:rtl w:val="0"/>
          <w:lang w:val="en-US"/>
          <w14:textFill>
            <w14:solidFill>
              <w14:srgbClr w14:val="003399"/>
            </w14:solidFill>
          </w14:textFill>
        </w:rPr>
        <w:t>3.3 Data Flow and System Components</w:t>
      </w:r>
      <w:bookmarkEnd w:id="15"/>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Data is collected through four parallel channels. First, the standardized paper log sheet captures medication and condition data at each administration event. The log design was OCR-optimized during Week 1: field labels are printed, value fields are bordered boxes with sufficient white space for handwritten numeric entries, and the binary compliance fields use large checkboxes to reduce ambiguity. Second, the Weatherbit API delivers outdoor environmental data at each scanning event, geolocated to the Yabu City coordinates. Third, the IoT sensor records indoor temperature and humidity at ten-minute intervals. Fourth, the HITL verifier corrects and confirms each extracted row in Google Sheets before it is cleared for ML ingestion, providing a quality-controlled dataset.</w:t>
      </w:r>
    </w:p>
    <w:p>
      <w:pPr>
        <w:pStyle w:val="Normal,site"/>
        <w:spacing w:line="360" w:lineRule="auto"/>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16" w:id="16"/>
      <w:r>
        <w:rPr>
          <w:rFonts w:ascii="Times New Roman" w:hAnsi="Times New Roman"/>
          <w:b w:val="1"/>
          <w:bCs w:val="1"/>
          <w:outline w:val="0"/>
          <w:color w:val="003399"/>
          <w:sz w:val="28"/>
          <w:szCs w:val="28"/>
          <w:u w:color="003399"/>
          <w:rtl w:val="0"/>
          <w:lang w:val="en-US"/>
          <w14:textFill>
            <w14:solidFill>
              <w14:srgbClr w14:val="003399"/>
            </w14:solidFill>
          </w14:textFill>
        </w:rPr>
        <w:t xml:space="preserve">3.4 </w:t>
      </w:r>
      <w:r>
        <w:rPr>
          <w:rFonts w:ascii="Times New Roman" w:hAnsi="Times New Roman"/>
          <w:b w:val="1"/>
          <w:bCs w:val="1"/>
          <w:rtl w:val="0"/>
          <w:lang w:val="en-US"/>
        </w:rPr>
        <w:t>Security and Ethical Framework</w:t>
      </w:r>
      <w:bookmarkEnd w:id="16"/>
    </w:p>
    <w:p>
      <w:pPr>
        <w:pStyle w:val="デフォルト"/>
        <w:spacing w:line="360" w:lineRule="auto"/>
        <w:ind w:firstLine="567"/>
        <w:rPr>
          <w:rFonts w:ascii="Times New Roman" w:cs="Times New Roman" w:hAnsi="Times New Roman" w:eastAsia="Times New Roman"/>
        </w:rPr>
      </w:pPr>
      <w:r>
        <w:rPr>
          <w:rFonts w:ascii="Times New Roman" w:hAnsi="Times New Roman"/>
          <w:rtl w:val="0"/>
          <w:lang w:val="en-US"/>
        </w:rPr>
        <w:t>The security architecture implements a Zero Hardcoding Policy enforced through AWS Secrets Manager, which stores all API credentials as KMS-encrypted secrets retrieved by Lambda at runtime. IAM roles follow the Principle of Least Privilege, scoped to the minimum permissions required for each function. TLS 1.2 or higher is enforced for all API interactions. AWS CloudTrail logs all access events, maintaining an audit trail consistent with GDPR Article 32 and ISO 27001 requirements (Amazon Web Services, 2026). All records in the cloud are associated with a de-identified Patient ID (PS-001); no PII for the patient or caregivers is stored in any cloud service.</w:t>
      </w:r>
    </w:p>
    <w:p>
      <w:pPr>
        <w:pStyle w:val="デフォルト"/>
        <w:spacing w:line="360" w:lineRule="auto"/>
        <w:ind w:firstLine="567"/>
        <w:rPr>
          <w:rFonts w:ascii="Times New Roman" w:cs="Times New Roman" w:hAnsi="Times New Roman" w:eastAsia="Times New Roman"/>
        </w:rPr>
      </w:pPr>
      <w:r>
        <w:rPr>
          <w:rFonts w:ascii="Times New Roman" w:hAnsi="Times New Roman"/>
          <w:rtl w:val="0"/>
          <w:lang w:val="en-US"/>
        </w:rPr>
        <w:t>Two ethical risks are addressed in the design. Automation bias, defined by Goddard et al. (2012) as the tendency to uncritically accept automated output even when incorrect, is mitigated by the mandatory HITL verification step that prevents any OCR-extracted data from entering the ML pipeline without human confirmation. Caregiver surveillance anxiety, identified by Ho et al. (2024) as a significant risk in AI-based PD monitoring systems, is mitigated through a structured informed consent orientation and by stripping all caregiver-identifying information before SageMaker ingestion.</w:t>
      </w: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line="360" w:lineRule="auto"/>
        <w:rPr>
          <w:rFonts w:ascii="Times New Roman" w:cs="Times New Roman" w:hAnsi="Times New Roman" w:eastAsia="Times New Roman"/>
        </w:rPr>
      </w:pPr>
    </w:p>
    <w:p>
      <w:pPr>
        <w:pStyle w:val="Normal,site"/>
        <w:spacing w:before="240" w:line="360" w:lineRule="auto"/>
        <w:jc w:val="center"/>
        <w:rPr>
          <w:rFonts w:ascii="Times New Roman" w:cs="Times New Roman" w:hAnsi="Times New Roman" w:eastAsia="Times New Roman"/>
          <w:b w:val="1"/>
          <w:bCs w:val="1"/>
          <w:sz w:val="48"/>
          <w:szCs w:val="48"/>
          <w:lang w:val="en-US"/>
        </w:rPr>
      </w:pPr>
      <w:r>
        <w:rPr>
          <w:rFonts w:ascii="Times New Roman" w:hAnsi="Times New Roman"/>
          <w:b w:val="1"/>
          <w:bCs w:val="1"/>
          <w:outline w:val="0"/>
          <w:color w:val="2f5496"/>
          <w:sz w:val="48"/>
          <w:szCs w:val="48"/>
          <w:u w:color="2f5496"/>
          <w:rtl w:val="0"/>
          <w:lang w:val="en-US"/>
          <w14:textFill>
            <w14:solidFill>
              <w14:srgbClr w14:val="2F5496"/>
            </w14:solidFill>
          </w14:textFill>
        </w:rPr>
        <w:t>RESULTS</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As of the completion of Week 3, ParkinSync has produced the following preliminary results across its four defined success criteria.</w:t>
      </w:r>
    </w:p>
    <w:p>
      <w:pPr>
        <w:pStyle w:val="Heading 2"/>
        <w:spacing w:line="360" w:lineRule="auto"/>
        <w:rPr>
          <w:rFonts w:ascii="Times New Roman" w:cs="Times New Roman" w:hAnsi="Times New Roman" w:eastAsia="Times New Roman"/>
          <w:b w:val="1"/>
          <w:bCs w:val="1"/>
          <w:sz w:val="28"/>
          <w:szCs w:val="28"/>
        </w:rPr>
      </w:pPr>
      <w:bookmarkStart w:name="_Toc17" w:id="17"/>
      <w:r>
        <w:rPr>
          <w:rFonts w:ascii="Times New Roman" w:hAnsi="Times New Roman"/>
          <w:b w:val="1"/>
          <w:bCs w:val="1"/>
          <w:outline w:val="0"/>
          <w:color w:val="003399"/>
          <w:sz w:val="28"/>
          <w:szCs w:val="28"/>
          <w:u w:color="003399"/>
          <w:rtl w:val="0"/>
          <w:lang w:val="en-US"/>
          <w14:textFill>
            <w14:solidFill>
              <w14:srgbClr w14:val="003399"/>
            </w14:solidFill>
          </w14:textFill>
        </w:rPr>
        <w:t>4.1 Implementation Overview</w:t>
      </w:r>
      <w:r>
        <w:rPr>
          <w:rFonts w:ascii="Times New Roman" w:hAnsi="Times New Roman"/>
          <w:b w:val="1"/>
          <w:bCs w:val="1"/>
          <w:outline w:val="0"/>
          <w:color w:val="003399"/>
          <w:sz w:val="28"/>
          <w:szCs w:val="28"/>
          <w:u w:color="003399"/>
          <w:rtl w:val="0"/>
          <w:lang w:val="en-US"/>
          <w14:textFill>
            <w14:solidFill>
              <w14:srgbClr w14:val="003399"/>
            </w14:solidFill>
          </w14:textFill>
        </w:rPr>
        <w:t xml:space="preserve"> (</w:t>
      </w:r>
      <w:r>
        <w:rPr>
          <w:rFonts w:ascii="Times New Roman" w:hAnsi="Times New Roman"/>
          <w:b w:val="1"/>
          <w:bCs w:val="1"/>
          <w:rtl w:val="0"/>
          <w:lang w:val="en-US"/>
        </w:rPr>
        <w:t>OCR Accuracy</w:t>
      </w:r>
      <w:r>
        <w:rPr>
          <w:rFonts w:ascii="Times New Roman" w:hAnsi="Times New Roman"/>
          <w:b w:val="1"/>
          <w:bCs w:val="1"/>
          <w:outline w:val="0"/>
          <w:color w:val="003399"/>
          <w:sz w:val="28"/>
          <w:szCs w:val="28"/>
          <w:u w:color="003399"/>
          <w:rtl w:val="0"/>
          <w:lang w:val="en-US"/>
          <w14:textFill>
            <w14:solidFill>
              <w14:srgbClr w14:val="003399"/>
            </w14:solidFill>
          </w14:textFill>
        </w:rPr>
        <w:t>)</w:t>
      </w:r>
      <w:bookmarkEnd w:id="17"/>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Initial Textract testing against sample handwritten log sheets produced the following accuracy measurements. Printed field labels and values achieved 95 to 97 percent recognition accuracy, consistent with Kumar et al.'s (2023) benchmark of 95 percent for printed medical documents. Handwritten numeric entries, specifically medication times and condition scores, achieved 87 to 91 percent accuracy depending on individual caregiver handwriting characteristics. Image pre-processing steps implemented within the Lambda function prior to Textract invocation, including automated straightening via OpenCV and contrast normalization, improved handwritten recognition accuracy by approximately 3 to 4 percentage points over unprocessed uploads. The current average accuracy for handwritten values is 89.5 percent, approaching but not yet consistently exceeding the 90 percent success criterion. Further fine-tuning of the log sheet layout is planned for Week 4.</w:t>
      </w:r>
    </w:p>
    <w:p>
      <w:pPr>
        <w:pStyle w:val="Normal,site"/>
        <w:spacing w:line="360" w:lineRule="auto"/>
        <w:ind w:firstLine="567"/>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rPr>
      </w:pPr>
      <w:bookmarkStart w:name="_Toc18" w:id="18"/>
      <w:r>
        <w:rPr>
          <w:rFonts w:ascii="Times New Roman" w:hAnsi="Times New Roman"/>
          <w:b w:val="1"/>
          <w:bCs w:val="1"/>
          <w:outline w:val="0"/>
          <w:color w:val="003399"/>
          <w:sz w:val="28"/>
          <w:szCs w:val="28"/>
          <w:u w:color="003399"/>
          <w:rtl w:val="0"/>
          <w:lang w:val="en-US"/>
          <w14:textFill>
            <w14:solidFill>
              <w14:srgbClr w14:val="003399"/>
            </w14:solidFill>
          </w14:textFill>
        </w:rPr>
        <w:t>4.2 Output and Screenshots</w:t>
      </w:r>
      <w:r>
        <w:rPr>
          <w:rFonts w:ascii="Times New Roman" w:hAnsi="Times New Roman"/>
          <w:b w:val="1"/>
          <w:bCs w:val="1"/>
          <w:outline w:val="0"/>
          <w:color w:val="003399"/>
          <w:sz w:val="28"/>
          <w:szCs w:val="28"/>
          <w:u w:color="003399"/>
          <w:rtl w:val="0"/>
          <w:lang w:val="en-US"/>
          <w14:textFill>
            <w14:solidFill>
              <w14:srgbClr w14:val="003399"/>
            </w14:solidFill>
          </w14:textFill>
        </w:rPr>
        <w:t xml:space="preserve"> (</w:t>
      </w:r>
      <w:r>
        <w:rPr>
          <w:rFonts w:ascii="Times New Roman" w:hAnsi="Times New Roman"/>
          <w:b w:val="1"/>
          <w:bCs w:val="1"/>
          <w:rtl w:val="0"/>
          <w:lang w:val="en-US"/>
        </w:rPr>
        <w:t>Pipeline Reliability</w:t>
      </w:r>
      <w:r>
        <w:rPr>
          <w:rFonts w:ascii="Times New Roman" w:hAnsi="Times New Roman"/>
          <w:b w:val="1"/>
          <w:bCs w:val="1"/>
          <w:rtl w:val="0"/>
          <w:lang w:val="en-US"/>
        </w:rPr>
        <w:t>)</w:t>
      </w:r>
      <w:bookmarkEnd w:id="18"/>
    </w:p>
    <w:p>
      <w:pPr>
        <w:pStyle w:val="デフォルト"/>
        <w:spacing w:line="360" w:lineRule="auto"/>
        <w:ind w:firstLine="567"/>
        <w:rPr>
          <w:rFonts w:ascii="Times New Roman" w:cs="Times New Roman" w:hAnsi="Times New Roman" w:eastAsia="Times New Roman"/>
        </w:rPr>
      </w:pPr>
      <w:r>
        <w:rPr>
          <w:rFonts w:ascii="Times New Roman" w:hAnsi="Times New Roman"/>
          <w:rtl w:val="0"/>
          <w:lang w:val="en-US"/>
        </w:rPr>
        <w:t>The S3-to-Lambda event trigger was confirmed as functionally stable during end-to-end testing in Week 3. Ten simulated scanning events were processed without error. Lambda execution time averaged 4.2 seconds per invocation, well within the 15-minute Lambda timeout limit and the 29-second API Gateway limit. The Google Sheets API append operation succeeded in all ten test cases. The Weatherbit API returned valid environmental data for Yabu City coordinates in all test requests. The HITL verification interface in Google Sheets, implemented using conditional formatting to highlight unverified rows in amber, was confirmed readable and usable by a non-technical family caregiver test user.</w:t>
      </w:r>
    </w:p>
    <w:p>
      <w:pPr>
        <w:pStyle w:val="Heading 2"/>
        <w:spacing w:line="360" w:lineRule="auto"/>
        <w:rPr>
          <w:rFonts w:ascii="Times New Roman" w:cs="Times New Roman" w:hAnsi="Times New Roman" w:eastAsia="Times New Roman"/>
          <w:b w:val="1"/>
          <w:bCs w:val="1"/>
        </w:rPr>
      </w:pPr>
      <w:bookmarkStart w:name="_Toc19" w:id="19"/>
      <w:r>
        <w:rPr>
          <w:rFonts w:ascii="Times New Roman" w:hAnsi="Times New Roman"/>
          <w:b w:val="1"/>
          <w:bCs w:val="1"/>
          <w:outline w:val="0"/>
          <w:color w:val="003399"/>
          <w:sz w:val="28"/>
          <w:szCs w:val="28"/>
          <w:u w:color="003399"/>
          <w:rtl w:val="0"/>
          <w:lang w:val="en-US"/>
          <w14:textFill>
            <w14:solidFill>
              <w14:srgbClr w14:val="003399"/>
            </w14:solidFill>
          </w14:textFill>
        </w:rPr>
        <w:t>4.3 Evaluation Metrics</w:t>
      </w:r>
      <w:bookmarkEnd w:id="19"/>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The evaluation of ParkinSync is based on four primary performance metrics aligned with the project objectives.</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First, OCR accuracy is measured as the percentage of correctly recognized handwritten entries extracted by AWS Textract, with a target threshold of 90 percent.</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Second, pipeline reliability is evaluated based on successful end-to-end execution of the S3</w:t>
      </w:r>
      <w:r>
        <w:rPr>
          <w:rFonts w:ascii="Times New Roman" w:hAnsi="Times New Roman" w:hint="default"/>
          <w:rtl w:val="0"/>
        </w:rPr>
        <w:t>–</w:t>
      </w:r>
      <w:r>
        <w:rPr>
          <w:rFonts w:ascii="Times New Roman" w:hAnsi="Times New Roman"/>
          <w:rtl w:val="0"/>
        </w:rPr>
        <w:t>Lambda</w:t>
      </w:r>
      <w:r>
        <w:rPr>
          <w:rFonts w:ascii="Times New Roman" w:hAnsi="Times New Roman" w:hint="default"/>
          <w:rtl w:val="0"/>
        </w:rPr>
        <w:t>–</w:t>
      </w:r>
      <w:r>
        <w:rPr>
          <w:rFonts w:ascii="Times New Roman" w:hAnsi="Times New Roman"/>
          <w:rtl w:val="0"/>
          <w:lang w:val="de-DE"/>
        </w:rPr>
        <w:t>Textract</w:t>
      </w:r>
      <w:r>
        <w:rPr>
          <w:rFonts w:ascii="Times New Roman" w:hAnsi="Times New Roman" w:hint="default"/>
          <w:rtl w:val="0"/>
        </w:rPr>
        <w:t>–</w:t>
      </w:r>
      <w:r>
        <w:rPr>
          <w:rFonts w:ascii="Times New Roman" w:hAnsi="Times New Roman"/>
          <w:rtl w:val="0"/>
          <w:lang w:val="en-US"/>
        </w:rPr>
        <w:t>Google Sheets workflow without system failure.</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Third, security compliance is assessed through the correct implementation of AWS security controls, including Secrets Manager usage, IAM Least Privilege enforcement, encryption via KMS, and CloudTrail logging.</w:t>
      </w:r>
    </w:p>
    <w:p>
      <w:pPr>
        <w:pStyle w:val="デフォルト"/>
        <w:bidi w:val="0"/>
        <w:spacing w:before="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Fourth, caregiver workflow adherence is measured by log completion rate and scanning adherence rate, reflecting the system</w:t>
      </w:r>
      <w:r>
        <w:rPr>
          <w:rFonts w:ascii="Times New Roman" w:hAnsi="Times New Roman" w:hint="default"/>
          <w:rtl w:val="1"/>
        </w:rPr>
        <w:t>’</w:t>
      </w:r>
      <w:r>
        <w:rPr>
          <w:rFonts w:ascii="Times New Roman" w:hAnsi="Times New Roman"/>
          <w:rtl w:val="0"/>
          <w:lang w:val="en-US"/>
        </w:rPr>
        <w:t>s ability to integrate into existing caregiving routines without disruption.</w:t>
      </w:r>
    </w:p>
    <w:p>
      <w:pPr>
        <w:pStyle w:val="Heading 2"/>
        <w:keepNext w:val="0"/>
        <w:keepLines w:val="0"/>
        <w:spacing w:before="360" w:after="120" w:line="360" w:lineRule="auto"/>
        <w:ind w:firstLine="567"/>
        <w:rPr>
          <w:rFonts w:ascii="Times New Roman" w:cs="Times New Roman" w:hAnsi="Times New Roman" w:eastAsia="Times New Roman"/>
          <w:b w:val="1"/>
          <w:bCs w:val="1"/>
          <w:outline w:val="0"/>
          <w:color w:val="000000"/>
          <w:sz w:val="24"/>
          <w:szCs w:val="24"/>
          <w:u w:color="000000"/>
          <w14:textFill>
            <w14:solidFill>
              <w14:srgbClr w14:val="000000"/>
            </w14:solidFill>
          </w14:textFill>
        </w:rPr>
      </w:pPr>
    </w:p>
    <w:p>
      <w:pPr>
        <w:pStyle w:val="Heading 2"/>
        <w:keepNext w:val="0"/>
        <w:keepLines w:val="0"/>
        <w:spacing w:before="360" w:after="120" w:line="360" w:lineRule="auto"/>
        <w:ind w:firstLine="567"/>
        <w:rPr>
          <w:rFonts w:ascii="Times New Roman" w:cs="Times New Roman" w:hAnsi="Times New Roman" w:eastAsia="Times New Roman"/>
          <w:b w:val="1"/>
          <w:bCs w:val="1"/>
          <w:outline w:val="0"/>
          <w:color w:val="000000"/>
          <w:sz w:val="24"/>
          <w:szCs w:val="24"/>
          <w:u w:color="000000"/>
          <w14:textFill>
            <w14:solidFill>
              <w14:srgbClr w14:val="000000"/>
            </w14:solidFill>
          </w14:textFill>
        </w:rPr>
      </w:pPr>
    </w:p>
    <w:p>
      <w:pPr>
        <w:pStyle w:val="Heading 2"/>
        <w:keepNext w:val="0"/>
        <w:keepLines w:val="0"/>
        <w:spacing w:before="360" w:after="120" w:line="360" w:lineRule="auto"/>
        <w:rPr>
          <w:rFonts w:ascii="Times New Roman" w:cs="Times New Roman" w:hAnsi="Times New Roman" w:eastAsia="Times New Roman"/>
          <w:b w:val="1"/>
          <w:bCs w:val="1"/>
          <w:outline w:val="0"/>
          <w:color w:val="000000"/>
          <w:sz w:val="24"/>
          <w:szCs w:val="24"/>
          <w:u w:color="000000"/>
          <w14:textFill>
            <w14:solidFill>
              <w14:srgbClr w14:val="000000"/>
            </w14:solidFill>
          </w14:textFill>
        </w:rPr>
      </w:pP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sz w:val="24"/>
          <w:szCs w:val="24"/>
        </w:rPr>
      </w:pPr>
    </w:p>
    <w:p>
      <w:pPr>
        <w:pStyle w:val="Normal,site"/>
        <w:spacing w:line="360" w:lineRule="auto"/>
        <w:rPr>
          <w:rFonts w:ascii="Times New Roman" w:cs="Times New Roman" w:hAnsi="Times New Roman" w:eastAsia="Times New Roman"/>
          <w:sz w:val="24"/>
          <w:szCs w:val="24"/>
        </w:rPr>
      </w:pPr>
    </w:p>
    <w:p>
      <w:pPr>
        <w:pStyle w:val="Normal,site"/>
        <w:spacing w:before="240" w:line="360" w:lineRule="auto"/>
        <w:jc w:val="center"/>
        <w:rPr>
          <w:rFonts w:ascii="Times New Roman" w:cs="Times New Roman" w:hAnsi="Times New Roman" w:eastAsia="Times New Roman"/>
          <w:lang w:val="en-US"/>
        </w:rPr>
      </w:pPr>
      <w:r>
        <w:rPr>
          <w:rFonts w:ascii="Times New Roman" w:hAnsi="Times New Roman"/>
          <w:b w:val="1"/>
          <w:bCs w:val="1"/>
          <w:outline w:val="0"/>
          <w:color w:val="2f5496"/>
          <w:sz w:val="48"/>
          <w:szCs w:val="48"/>
          <w:u w:color="2f5496"/>
          <w:rtl w:val="0"/>
          <w:lang w:val="en-US"/>
          <w14:textFill>
            <w14:solidFill>
              <w14:srgbClr w14:val="2F5496"/>
            </w14:solidFill>
          </w14:textFill>
        </w:rPr>
        <w:t>DISCUSSION</w:t>
      </w:r>
    </w:p>
    <w:p>
      <w:pPr>
        <w:pStyle w:val="Normal,site"/>
        <w:spacing w:line="360" w:lineRule="auto"/>
        <w:rPr>
          <w:rFonts w:ascii="Times New Roman" w:cs="Times New Roman" w:hAnsi="Times New Roman" w:eastAsia="Times New Roman"/>
        </w:rPr>
      </w:pPr>
    </w:p>
    <w:p>
      <w:pPr>
        <w:pStyle w:val="Heading 2"/>
        <w:spacing w:line="360" w:lineRule="auto"/>
        <w:rPr>
          <w:rFonts w:ascii="Times New Roman" w:cs="Times New Roman" w:hAnsi="Times New Roman" w:eastAsia="Times New Roman"/>
          <w:b w:val="1"/>
          <w:bCs w:val="1"/>
          <w:sz w:val="28"/>
          <w:szCs w:val="28"/>
        </w:rPr>
      </w:pPr>
      <w:bookmarkStart w:name="_Toc20" w:id="20"/>
      <w:r>
        <w:rPr>
          <w:rFonts w:ascii="Times New Roman" w:hAnsi="Times New Roman"/>
          <w:b w:val="1"/>
          <w:bCs w:val="1"/>
          <w:outline w:val="0"/>
          <w:color w:val="003399"/>
          <w:sz w:val="28"/>
          <w:szCs w:val="28"/>
          <w:u w:color="003399"/>
          <w:rtl w:val="0"/>
          <w:lang w:val="en-US"/>
          <w14:textFill>
            <w14:solidFill>
              <w14:srgbClr w14:val="003399"/>
            </w14:solidFill>
          </w14:textFill>
        </w:rPr>
        <w:t>5.1 Interpretation of Results</w:t>
      </w:r>
      <w:bookmarkEnd w:id="20"/>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preliminary results from Weeks 1 through 3 support the core architectural assumptions of ParkinSync while identifying two areas requiring refinement. The OCR accuracy result of 89.5 percent is meaningful in two ways. First, it is close to the 90 percent success criterion, suggesting that the target is achievable with continued log design optimization. Second, it confirms the practical necessity of the HITL verification step: a system operating at 89.5 percent accuracy without manual review would introduce approximately one error per eleven extracted values, which is clinically unacceptable for medication timestamp data.</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80 percent scanning adherence rate reveals a human factors gap that is not captured by the technical architecture. The paper log completion rate of 100 percent confirms that Bertolazzi et al.'s (2024) prediction holds: caregivers who are comfortable with paper-based recording will maintain that behavior without disruption. However, the secondary behavior of photographing and uploading the completed log is new and requires reinforcement. This finding informs the Week 4 protocol adjustment and may also suggest that future system iterations should explore automated scanning solutions, such as a dedicated home scanner with a one-button upload interface, to reduce reliance on caregiver-initiated uploads.</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spatial restriction compliance tracking field was introduced in Week 3 and has not yet produced sufficient data for analysis. Initial qualitative feedback from the care team indicates that the structured binary field increases caregiver awareness of the protocol, which is itself a behavioral intervention benefit independent of the data it generates.</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From a clinical risk perspective, even small OCR inaccuracies can have disproportionate consequences. A single misread medication timestamp may distort the temporal relationship between drug administration and symptom onset, leading to misleading correlation results. This reinforces that accuracy requirements in healthcare data systems are not merely technical thresholds but safety-critical constraints. Therefore, the inclusion of a Human-in-the-Loop (HITL) verification step is not an optional enhancement but a necessary safeguard to ensure data integrity.</w:t>
      </w:r>
    </w:p>
    <w:p>
      <w:pPr>
        <w:pStyle w:val="Normal,site"/>
        <w:spacing w:line="360" w:lineRule="auto"/>
        <w:ind w:firstLine="567"/>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21" w:id="21"/>
      <w:r>
        <w:rPr>
          <w:rFonts w:ascii="Times New Roman" w:hAnsi="Times New Roman"/>
          <w:b w:val="1"/>
          <w:bCs w:val="1"/>
          <w:outline w:val="0"/>
          <w:color w:val="003399"/>
          <w:sz w:val="28"/>
          <w:szCs w:val="28"/>
          <w:u w:color="003399"/>
          <w:rtl w:val="0"/>
          <w:lang w:val="en-US"/>
          <w14:textFill>
            <w14:solidFill>
              <w14:srgbClr w14:val="003399"/>
            </w14:solidFill>
          </w14:textFill>
        </w:rPr>
        <w:t>5.2 Comparison with Literature Findings</w:t>
      </w:r>
      <w:bookmarkEnd w:id="21"/>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The findings of this project are broadly consistent with the existing literature while extending it into a practical implementation context.</w:t>
      </w:r>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First, the OCR accuracy and system reliability results support the technical feasibility of machine learning</w:t>
      </w:r>
      <w:r>
        <w:rPr>
          <w:rFonts w:ascii="Times New Roman" w:hAnsi="Times New Roman" w:hint="default"/>
          <w:rtl w:val="0"/>
        </w:rPr>
        <w:t>–</w:t>
      </w:r>
      <w:r>
        <w:rPr>
          <w:rFonts w:ascii="Times New Roman" w:hAnsi="Times New Roman"/>
          <w:rtl w:val="0"/>
          <w:lang w:val="en-US"/>
        </w:rPr>
        <w:t>supported adherence monitoring identified by Bohlmann et al. (2021). However, unlike the sensor-heavy environments described in their review, ParkinSync demonstrates that similar data capture can be achieved through a low-cost, minimally intrusive architecture that preserves analog workflows.</w:t>
      </w:r>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Second, the observed 100 percent paper log completion rate directly confirms the findings of Bertolazzi et al. (2024), which emphasize that older adults and caregivers prefer technologies that supplement rather than replace existing routines. The lower scanning adherence rate (80 percent), however, highlights the challenge of introducing even minimal behavioral changes, reinforcing the importance of designing systems that minimize additional user burden.</w:t>
      </w:r>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Third, the structured data capture approach implemented in ParkinSync addresses the communication gap identified by Mantri et al. (2021), where patients often fail to report OFF periods systematically. By converting caregiver observations into time-stamped digital records, the system creates a foundation for more informed clinical decision-making.</w:t>
      </w:r>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Finally, the integration of gastrointestinal motility tracking extends beyond the scope of most digital health systems and aligns with the pharmacokinetic considerations described by Leta et al. (2023), demonstrating how non-neurological variables can significantly influence medication effectiveness.</w:t>
      </w:r>
    </w:p>
    <w:p>
      <w:pPr>
        <w:pStyle w:val="デフォルト"/>
        <w:bidi w:val="0"/>
        <w:spacing w:before="0" w:after="240" w:line="360" w:lineRule="auto"/>
        <w:ind w:left="0" w:right="0" w:firstLine="567"/>
        <w:jc w:val="left"/>
        <w:rPr>
          <w:rFonts w:ascii="Times New Roman" w:cs="Times New Roman" w:hAnsi="Times New Roman" w:eastAsia="Times New Roman"/>
          <w:sz w:val="24"/>
          <w:szCs w:val="24"/>
          <w:rtl w:val="0"/>
        </w:rPr>
      </w:pPr>
      <w:r>
        <w:rPr>
          <w:rFonts w:ascii="Times New Roman" w:hAnsi="Times New Roman"/>
          <w:rtl w:val="0"/>
          <w:lang w:val="en-US"/>
        </w:rPr>
        <w:t>Overall, the project contributes not only technical validation but also a practical design model that bridges the gap between theoretical feasibility and real-world applicability in rural home-care settings.</w:t>
      </w:r>
    </w:p>
    <w:p>
      <w:pPr>
        <w:pStyle w:val="Normal,site"/>
        <w:spacing w:line="360" w:lineRule="auto"/>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22" w:id="22"/>
      <w:r>
        <w:rPr>
          <w:rFonts w:ascii="Times New Roman" w:hAnsi="Times New Roman"/>
          <w:b w:val="1"/>
          <w:bCs w:val="1"/>
          <w:outline w:val="0"/>
          <w:color w:val="003399"/>
          <w:sz w:val="28"/>
          <w:szCs w:val="28"/>
          <w:u w:color="003399"/>
          <w:rtl w:val="0"/>
          <w:lang w:val="en-US"/>
          <w14:textFill>
            <w14:solidFill>
              <w14:srgbClr w14:val="003399"/>
            </w14:solidFill>
          </w14:textFill>
        </w:rPr>
        <w:t>5.3 Implications and Limitations</w:t>
      </w:r>
      <w:bookmarkEnd w:id="22"/>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Several limitations constrain the generalizability and analytical power of the current system. First, the single-patient study design means that all Pearson's r findings will be descriptive rather than generalizable. The project does not claim to produce population-level evidence; its contribution is a reproducible workflow architecture and a proof-of-concept for the correlation methodology. Second, the eight-week data collection window produces a dataset of 120 to 160 rows, which limits the statistical power of lag variable analysis. Third, the current OCR accuracy of 89.5 percent means that the ML analysis will be conducted on data that has passed HITL review but may still contain a small number of undetected transcription errors. Fourth, the gastrointestinal motility indicator, while clinically motivated by Leta et al. (2023), relies on a subjective stool consistency self-report rather than an objective physiological measurement.</w:t>
      </w:r>
    </w:p>
    <w:p>
      <w:pPr>
        <w:pStyle w:val="Normal,site"/>
        <w:spacing w:line="360" w:lineRule="auto"/>
        <w:ind w:firstLine="567"/>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b w:val="1"/>
          <w:bCs w:val="1"/>
          <w:sz w:val="28"/>
          <w:szCs w:val="28"/>
        </w:rPr>
      </w:pPr>
      <w:bookmarkStart w:name="_Toc23" w:id="23"/>
      <w:r>
        <w:rPr>
          <w:rFonts w:ascii="Times New Roman" w:hAnsi="Times New Roman"/>
          <w:b w:val="1"/>
          <w:bCs w:val="1"/>
          <w:outline w:val="0"/>
          <w:color w:val="003399"/>
          <w:sz w:val="28"/>
          <w:szCs w:val="28"/>
          <w:u w:color="003399"/>
          <w:rtl w:val="0"/>
          <w:lang w:val="en-US"/>
          <w14:textFill>
            <w14:solidFill>
              <w14:srgbClr w14:val="003399"/>
            </w14:solidFill>
          </w14:textFill>
        </w:rPr>
        <w:t>5.4 Future Work</w:t>
      </w:r>
      <w:bookmarkEnd w:id="23"/>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Four directions for post-capstone development are recommended. First, longitudinal seasonal analysis should compare Year-over-Year data to assess the climate impact on PD symptom patterns in the Oya-cho microclimate. Second, AWS SNS alert integration should notify family members when significant deviations in medication timing or condition scores are detected, moving the system from descriptive toward prescriptive analytics. Third, multi-tenancy architecture should be developed to enable other families to deploy ParkinSync with user-defined hazardous zones and risk windows specific to their home environment. Fourth, wearable accelerometer and smart pillbox integration should be explored to automate motor symptom and adherence data collection, reducing the manual burden on caregivers while increasing sensor precision. As Joseph (2025) argues, health AI systems must be designed with equity considerations in mind, ensuring that the system's benefits remain accessible in low-resource settings including rural Japan.</w:t>
      </w:r>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I</w:t>
      </w:r>
      <w:r>
        <w:rPr>
          <w:rFonts w:ascii="Times New Roman" w:hAnsi="Times New Roman"/>
          <w:rtl w:val="0"/>
          <w:lang w:val="en-US"/>
        </w:rPr>
        <w:t>n addition to technical and operational considerations, the results also highlight the importance of embedding ethical and security principles into system design. The implementation of a Zero Hardcoding Policy, combined with IAM-based access control and KMS encryption, ensured that sensitive health data remained protected throughout the pipeline.</w:t>
      </w:r>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From an ethical standpoint, the HITL verification model mitigates automation bias, while the anonymization of caregiver data addresses concerns related to surveillance and privacy. These findings reinforce that in healthcare informatics, system performance cannot be evaluated solely in terms of efficiency or accuracy, but must also consider trust, transparency, and user acceptance.</w:t>
      </w:r>
    </w:p>
    <w:p>
      <w:pPr>
        <w:pStyle w:val="Normal,site"/>
        <w:spacing w:line="360" w:lineRule="auto"/>
        <w:ind w:firstLine="567"/>
        <w:rPr>
          <w:rFonts w:ascii="Times New Roman" w:cs="Times New Roman" w:hAnsi="Times New Roman" w:eastAsia="Times New Roman"/>
          <w:sz w:val="24"/>
          <w:szCs w:val="24"/>
        </w:rPr>
      </w:pPr>
    </w:p>
    <w:p>
      <w:pPr>
        <w:pStyle w:val="Heading 2"/>
        <w:spacing w:line="360" w:lineRule="auto"/>
        <w:rPr>
          <w:rFonts w:ascii="Times New Roman" w:cs="Times New Roman" w:hAnsi="Times New Roman" w:eastAsia="Times New Roman"/>
        </w:rPr>
      </w:pPr>
      <w:bookmarkStart w:name="_Toc24" w:id="24"/>
      <w:r>
        <w:rPr>
          <w:rFonts w:ascii="Times New Roman" w:hAnsi="Times New Roman"/>
          <w:b w:val="1"/>
          <w:bCs w:val="1"/>
          <w:outline w:val="0"/>
          <w:color w:val="003399"/>
          <w:sz w:val="28"/>
          <w:szCs w:val="28"/>
          <w:u w:color="003399"/>
          <w:rtl w:val="0"/>
          <w:lang w:val="en-US"/>
          <w14:textFill>
            <w14:solidFill>
              <w14:srgbClr w14:val="003399"/>
            </w14:solidFill>
          </w14:textFill>
        </w:rPr>
        <w:t xml:space="preserve">5.4 </w:t>
      </w:r>
      <w:r>
        <w:rPr>
          <w:rFonts w:ascii="Times New Roman" w:hAnsi="Times New Roman"/>
          <w:b w:val="1"/>
          <w:bCs w:val="1"/>
          <w:outline w:val="0"/>
          <w:color w:val="003399"/>
          <w:sz w:val="28"/>
          <w:szCs w:val="28"/>
          <w:u w:color="003399"/>
          <w:rtl w:val="0"/>
          <w:lang w:val="en-US"/>
          <w14:textFill>
            <w14:solidFill>
              <w14:srgbClr w14:val="003399"/>
            </w14:solidFill>
          </w14:textFill>
        </w:rPr>
        <w:t>Theoretical Implications</w:t>
      </w:r>
      <w:bookmarkEnd w:id="24"/>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The findings of this study contribute to the broader discourse on digital health system design by challenging the dominant assumption that fully digitized environments are necessary for effective data collection. Existing literature, such as Bohlmann et al. (2021), emphasizes sensor-based monitoring systems, while Bertolazzi et al. (2024) highlights user resistance to digital transformation. ParkinSync demonstrates that a hybrid architecture</w:t>
      </w:r>
      <w:r>
        <w:rPr>
          <w:rFonts w:ascii="Times New Roman" w:hAnsi="Times New Roman" w:hint="default"/>
          <w:rtl w:val="0"/>
          <w:lang w:val="en-US"/>
        </w:rPr>
        <w:t>—</w:t>
      </w:r>
      <w:r>
        <w:rPr>
          <w:rFonts w:ascii="Times New Roman" w:hAnsi="Times New Roman"/>
          <w:rtl w:val="0"/>
          <w:lang w:val="en-US"/>
        </w:rPr>
        <w:t>preserving analog input while enabling digital analysis</w:t>
      </w:r>
      <w:r>
        <w:rPr>
          <w:rFonts w:ascii="Times New Roman" w:hAnsi="Times New Roman" w:hint="default"/>
          <w:rtl w:val="0"/>
          <w:lang w:val="en-US"/>
        </w:rPr>
        <w:t>—</w:t>
      </w:r>
      <w:r>
        <w:rPr>
          <w:rFonts w:ascii="Times New Roman" w:hAnsi="Times New Roman"/>
          <w:rtl w:val="0"/>
          <w:lang w:val="en-US"/>
        </w:rPr>
        <w:t>can reconcile these two opposing trends.</w:t>
      </w:r>
    </w:p>
    <w:p>
      <w:pPr>
        <w:pStyle w:val="デフォルト"/>
        <w:bidi w:val="0"/>
        <w:spacing w:before="0" w:after="240" w:line="360" w:lineRule="auto"/>
        <w:ind w:left="0" w:right="0" w:firstLine="567"/>
        <w:jc w:val="left"/>
        <w:rPr>
          <w:rFonts w:ascii="Times New Roman" w:cs="Times New Roman" w:hAnsi="Times New Roman" w:eastAsia="Times New Roman"/>
          <w:rtl w:val="0"/>
        </w:rPr>
      </w:pPr>
      <w:r>
        <w:rPr>
          <w:rFonts w:ascii="Times New Roman" w:hAnsi="Times New Roman"/>
          <w:rtl w:val="0"/>
          <w:lang w:val="en-US"/>
        </w:rPr>
        <w:t xml:space="preserve">This suggests that future health informatics systems, particularly in aging and rural populations, should prioritize behavioral compatibility over technological sophistication. The concept of </w:t>
      </w:r>
      <w:r>
        <w:rPr>
          <w:rFonts w:ascii="Times New Roman" w:hAnsi="Times New Roman" w:hint="default"/>
          <w:rtl w:val="1"/>
          <w:lang w:val="ar-SA" w:bidi="ar-SA"/>
        </w:rPr>
        <w:t>“</w:t>
      </w:r>
      <w:r>
        <w:rPr>
          <w:rFonts w:ascii="Times New Roman" w:hAnsi="Times New Roman"/>
          <w:rtl w:val="0"/>
          <w:lang w:val="fr-FR"/>
        </w:rPr>
        <w:t>zero-disruption design</w:t>
      </w:r>
      <w:r>
        <w:rPr>
          <w:rFonts w:ascii="Times New Roman" w:hAnsi="Times New Roman" w:hint="default"/>
          <w:rtl w:val="0"/>
        </w:rPr>
        <w:t xml:space="preserve">” </w:t>
      </w:r>
      <w:r>
        <w:rPr>
          <w:rFonts w:ascii="Times New Roman" w:hAnsi="Times New Roman"/>
          <w:rtl w:val="0"/>
          <w:lang w:val="en-US"/>
        </w:rPr>
        <w:t>may therefore represent a critical design paradigm for next-generation healthcare systems.</w:t>
      </w:r>
    </w:p>
    <w:p>
      <w:pPr>
        <w:pStyle w:val="デフォルト"/>
        <w:bidi w:val="0"/>
        <w:spacing w:before="0" w:after="240" w:line="240" w:lineRule="auto"/>
        <w:ind w:left="0" w:right="0" w:firstLine="0"/>
        <w:jc w:val="left"/>
        <w:rPr>
          <w:rFonts w:ascii="Times Roman" w:cs="Times Roman" w:hAnsi="Times Roman" w:eastAsia="Times Roman"/>
          <w:rtl w:val="0"/>
        </w:rPr>
      </w:pPr>
    </w:p>
    <w:p>
      <w:pPr>
        <w:pStyle w:val="Heading 1"/>
        <w:jc w:val="center"/>
        <w:rPr>
          <w:rFonts w:ascii="Times New Roman" w:cs="Times New Roman" w:hAnsi="Times New Roman" w:eastAsia="Times New Roman"/>
        </w:rPr>
      </w:pPr>
      <w:bookmarkStart w:name="_Toc25" w:id="25"/>
      <w:r>
        <w:rPr>
          <w:rFonts w:ascii="Times New Roman" w:hAnsi="Times New Roman"/>
          <w:b w:val="1"/>
          <w:bCs w:val="1"/>
          <w:sz w:val="48"/>
          <w:szCs w:val="48"/>
          <w:rtl w:val="0"/>
          <w:lang w:val="en-US"/>
        </w:rPr>
        <w:t>CONCLUSION</w:t>
      </w:r>
      <w:bookmarkEnd w:id="25"/>
    </w:p>
    <w:p>
      <w:pPr>
        <w:pStyle w:val="デフォルト"/>
        <w:spacing w:line="360" w:lineRule="auto"/>
        <w:ind w:firstLine="567"/>
        <w:rPr>
          <w:rFonts w:ascii="Times New Roman" w:cs="Times New Roman" w:hAnsi="Times New Roman" w:eastAsia="Times New Roman"/>
        </w:rPr>
      </w:pPr>
      <w:r>
        <w:rPr>
          <w:rFonts w:ascii="Times New Roman" w:hAnsi="Times New Roman"/>
          <w:rtl w:val="0"/>
          <w:lang w:val="en-US"/>
        </w:rPr>
        <w:t>ParkinSync demonstrates that the gap between analog home-care workflows and cloud-based ML analysis is bridgeable without disrupting the human behaviors on which care continuity depends. By preserving paper-based input, applying OCR-based digitization, and implementing a HITL verification layer, the system addresses the convergent limitations identified by Bohlmann et al. (2021), Bertolazzi et al. (2024), and Mantri et al. (2021): technical feasibility constrained by inaccessible implementation, adoption barriers created by digital-first design, and clinical data loss caused by the absence of structured capture mechanisms.</w:t>
      </w:r>
    </w:p>
    <w:p>
      <w:pPr>
        <w:pStyle w:val="デフォルト"/>
        <w:spacing w:line="360" w:lineRule="auto"/>
        <w:ind w:firstLine="567"/>
        <w:rPr>
          <w:rFonts w:ascii="Times New Roman" w:cs="Times New Roman" w:hAnsi="Times New Roman" w:eastAsia="Times New Roman"/>
        </w:rPr>
      </w:pPr>
      <w:r>
        <w:rPr>
          <w:rFonts w:ascii="Times New Roman" w:hAnsi="Times New Roman"/>
          <w:rtl w:val="0"/>
          <w:lang w:val="en-US"/>
        </w:rPr>
        <w:t>The inclusion of gastrointestinal motility tracking, grounded in Leta et al.'s (2023) pharmacokinetic evidence, extends the system beyond standard medication adherence monitoring to address a dimension of PD management that is absent from existing digital health platforms. The spatial-temporal risk management protocol transforms observational data about fall risk patterns into a structured, evidence-based safety intervention.</w:t>
      </w:r>
      <w:r>
        <w:rPr>
          <w:rFonts w:ascii="Times New Roman" w:hAnsi="Times New Roman"/>
          <w:rtl w:val="0"/>
          <w:lang w:val="en-US"/>
        </w:rPr>
        <w:t xml:space="preserve"> </w:t>
      </w:r>
    </w:p>
    <w:p>
      <w:pPr>
        <w:pStyle w:val="デフォルト"/>
        <w:spacing w:line="360" w:lineRule="auto"/>
        <w:ind w:firstLine="567"/>
        <w:rPr>
          <w:rFonts w:ascii="Times New Roman" w:cs="Times New Roman" w:hAnsi="Times New Roman" w:eastAsia="Times New Roman"/>
        </w:rPr>
      </w:pPr>
      <w:r>
        <w:rPr>
          <w:rFonts w:ascii="Times New Roman" w:hAnsi="Times New Roman"/>
          <w:rtl w:val="0"/>
          <w:lang w:val="en-US"/>
        </w:rPr>
        <w:t>The significance of this project extends beyond Parkinson</w:t>
      </w:r>
      <w:r>
        <w:rPr>
          <w:rFonts w:ascii="Times New Roman" w:hAnsi="Times New Roman" w:hint="default"/>
          <w:rtl w:val="1"/>
        </w:rPr>
        <w:t>’</w:t>
      </w:r>
      <w:r>
        <w:rPr>
          <w:rFonts w:ascii="Times New Roman" w:hAnsi="Times New Roman"/>
          <w:rtl w:val="0"/>
          <w:lang w:val="en-US"/>
        </w:rPr>
        <w:t>s Disease management. It demonstrates a scalable design principle for digital health systems in resource-constrained and aging societies. By prioritizing workflow continuity and human-centered design, ParkinSync provides a model for bridging the gap between technological capability and real-world usability.</w:t>
      </w:r>
    </w:p>
    <w:p>
      <w:pPr>
        <w:pStyle w:val="Normal,site"/>
        <w:spacing w:line="360" w:lineRule="auto"/>
        <w:rPr>
          <w:rFonts w:ascii="Times New Roman" w:cs="Times New Roman" w:hAnsi="Times New Roman" w:eastAsia="Times New Roman"/>
        </w:rPr>
      </w:pPr>
    </w:p>
    <w:p>
      <w:pPr>
        <w:pStyle w:val="Heading 1"/>
        <w:jc w:val="center"/>
        <w:rPr>
          <w:rFonts w:ascii="Times New Roman" w:cs="Times New Roman" w:hAnsi="Times New Roman" w:eastAsia="Times New Roman"/>
        </w:rPr>
      </w:pPr>
      <w:bookmarkStart w:name="_Toc26" w:id="26"/>
      <w:r>
        <w:rPr>
          <w:rFonts w:ascii="Times New Roman" w:hAnsi="Times New Roman"/>
          <w:b w:val="1"/>
          <w:bCs w:val="1"/>
          <w:sz w:val="48"/>
          <w:szCs w:val="48"/>
          <w:rtl w:val="0"/>
          <w:lang w:val="en-US"/>
        </w:rPr>
        <w:t>REFERENCES</w:t>
      </w:r>
      <w:bookmarkEnd w:id="26"/>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Amazon Web Services. (2026). Navigating GDPR compliance on AWS [Whitepaper].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"https://docs.aws.amazon.com/whitepapers/latest/navigating-gdpr-compliance/navigating-gdpr-compliance.pdf"</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https://docs.aws.amazon.com/whitepapers/latest/navigating-gdpr-compliance/navigating-gdpr-compliance.pdf</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Bertolazzi, A., Quaglia, V., &amp; Bongelli, R. (2024). Barriers and facilitators to health technology adoption by older adults with chronic diseases: An integrative systematic review. BMC Public Health, 24(1), 506.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"https://doi.org/10.1186/s12889-024-18036-5"</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https://doi.org/10.1186/s12889-024-18036-5</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Bohlmann, A., Mostafa, J., &amp; Kumar, M. (2021). Machine learning and medication adherence: Scoping review. JMIRx Med, 2(4), e26993.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"https://doi.org/10.2196/26993"</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https://doi.org/10.2196/26993</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Goddard, K., Roudsari, A., &amp; Wyatt, J. C. (2012). Automation bias: A systematic review of frequency, effect mediators, and mitigators. Journal of the American Medical Informatics Association, 19(1), 121-127.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"https://doi.org/10.1136/amiajnl-2011-000089"</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https://doi.org/10.1136/amiajnl-2011-000089</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Ho, A., Bavli, I., Mahal, R., &amp; McKeown, M. J. (2024). Multi-level ethical considerations of artificial intelligence health monitoring for people living with Parkinson's Disease. AJOB Empirical Bioethics, 15(3), 178-191.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"https://doi.org/10.1080/23294515.2023.2274582"</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https://doi.org/10.1080/23294515.2023.2274582</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Joseph, J. (2025). Algorithmic bias in public health AI: A silent threat to equity in low-resource settings. Frontiers in Public Health, 13, 1643180.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"https://doi.org/10.3389/fpubh.2025.1643180"</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https://doi.org/10.3389/fpubh.2025.1643180</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Kumar, A., Singh, P., &amp; Lata, K. (2023). Comparative study of different optical character recognition models on handwritten and printed medical reports. 2023 International Conference on Computer Communication and Informatics (ICCCI), 1-6.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"https://doi.org/10.1109/ICCCI56745.2023.10128501"</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https://doi.org/10.1109/ICCCI56745.2023.10128501</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Leta, V., Klingelhoefer, L., Longardner, K., Campagnolo, M., Qamar, M. A., Metta, V., &amp; Chaudhuri, K. R. (2023). Gastrointestinal barriers to levodopa transport and absorption in Parkinson's disease. European Journal of Neurology, 30(5), 1465-1480.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"https://doi.org/10.1111/ene.15734"</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https://doi.org/10.1111/ene.15734</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Mantri, S., Lepore, M., Edison, B., Daeschler, M., Kopil, C. M., Marras, C., &amp; Chahine, L. M. (2021). The experience of OFF periods in Parkinson's disease: Descriptions, triggers, and alleviating factors. Journal of Patient-Centered Research and Reviews, 8(3), 232-238.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"https://doi.org/10.17294/2330-0698.1836"</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https://doi.org/10.17294/2330-0698.1836</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rPr>
      </w:pPr>
    </w:p>
    <w:p>
      <w:pPr>
        <w:pStyle w:val="Normal,site"/>
        <w:spacing w:before="240" w:line="360" w:lineRule="auto"/>
        <w:rPr>
          <w:rFonts w:ascii="Times New Roman" w:cs="Times New Roman" w:hAnsi="Times New Roman" w:eastAsia="Times New Roman"/>
          <w:outline w:val="0"/>
          <w:color w:val="2f5496"/>
          <w:sz w:val="32"/>
          <w:szCs w:val="32"/>
          <w:u w:color="2f5496"/>
          <w:lang w:val="en-US"/>
          <w14:textFill>
            <w14:solidFill>
              <w14:srgbClr w14:val="2F5496"/>
            </w14:solidFill>
          </w14:textFill>
        </w:rPr>
      </w:pPr>
    </w:p>
    <w:p>
      <w:pPr>
        <w:pStyle w:val="Normal,site"/>
        <w:spacing w:before="240" w:line="360" w:lineRule="auto"/>
        <w:jc w:val="center"/>
        <w:rPr>
          <w:rFonts w:ascii="Times New Roman" w:cs="Times New Roman" w:hAnsi="Times New Roman" w:eastAsia="Times New Roman"/>
          <w:lang w:val="en-US"/>
        </w:rPr>
      </w:pPr>
      <w:r>
        <w:rPr>
          <w:rFonts w:ascii="Times New Roman" w:hAnsi="Times New Roman"/>
          <w:b w:val="1"/>
          <w:bCs w:val="1"/>
          <w:outline w:val="0"/>
          <w:color w:val="2f5496"/>
          <w:sz w:val="48"/>
          <w:szCs w:val="48"/>
          <w:u w:color="2f5496"/>
          <w:rtl w:val="0"/>
          <w:lang w:val="en-US"/>
          <w14:textFill>
            <w14:solidFill>
              <w14:srgbClr w14:val="2F5496"/>
            </w14:solidFill>
          </w14:textFill>
        </w:rPr>
        <w:t>APPENDICES:</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Appendix A: System Architecture and Data Flow Diagrams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Figure 1. ParkinSync system architecture showing input, integration, and analysis layers.</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702924</wp:posOffset>
            </wp:positionH>
            <wp:positionV relativeFrom="line">
              <wp:posOffset>318235</wp:posOffset>
            </wp:positionV>
            <wp:extent cx="4525051" cy="5943600"/>
            <wp:effectExtent l="0" t="0" r="0" b="0"/>
            <wp:wrapThrough wrapText="bothSides" distL="152400" distR="152400">
              <wp:wrapPolygon edited="1">
                <wp:start x="0" y="0"/>
                <wp:lineTo x="21611" y="0"/>
                <wp:lineTo x="21611" y="21621"/>
                <wp:lineTo x="0" y="21621"/>
                <wp:lineTo x="0" y="0"/>
              </wp:wrapPolygon>
            </wp:wrapThrough>
            <wp:docPr id="1073741827" name="officeArt object" descr="Technology Resource-2026-04-25-085258.png"/>
            <wp:cNvGraphicFramePr/>
            <a:graphic xmlns:a="http://schemas.openxmlformats.org/drawingml/2006/main">
              <a:graphicData uri="http://schemas.openxmlformats.org/drawingml/2006/picture">
                <pic:pic xmlns:pic="http://schemas.openxmlformats.org/drawingml/2006/picture">
                  <pic:nvPicPr>
                    <pic:cNvPr id="1073741827" name="Technology Resource-2026-04-25-085258.png" descr="Technology Resource-2026-04-25-085258.png"/>
                    <pic:cNvPicPr>
                      <a:picLocks noChangeAspect="1"/>
                    </pic:cNvPicPr>
                  </pic:nvPicPr>
                  <pic:blipFill>
                    <a:blip r:embed="rId4">
                      <a:extLst/>
                    </a:blip>
                    <a:stretch>
                      <a:fillRect/>
                    </a:stretch>
                  </pic:blipFill>
                  <pic:spPr>
                    <a:xfrm>
                      <a:off x="0" y="0"/>
                      <a:ext cx="4525051" cy="5943600"/>
                    </a:xfrm>
                    <a:prstGeom prst="rect">
                      <a:avLst/>
                    </a:prstGeom>
                    <a:ln w="12700" cap="flat">
                      <a:noFill/>
                      <a:miter lim="400000"/>
                    </a:ln>
                    <a:effectLst/>
                  </pic:spPr>
                </pic:pic>
              </a:graphicData>
            </a:graphic>
          </wp:anchor>
        </w:drawing>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Figure 2. Event-driven data flow of ParkinSync from data ingestion to analysis.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Appendix B: GitHub Repository</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i w:val="1"/>
          <w:iCs w:val="1"/>
          <w:sz w:val="24"/>
          <w:szCs w:val="24"/>
          <w:rtl w:val="0"/>
          <w:lang w:val="en-US"/>
        </w:rPr>
        <w:t xml:space="preserve">Repository URL: :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"https://github.com/larai-w/ParkinSync.git"</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https://github.com/larai-w/ParkinSync.git</w:t>
      </w:r>
      <w:r>
        <w:rPr>
          <w:rFonts w:ascii="Times New Roman" w:cs="Times New Roman" w:hAnsi="Times New Roman" w:eastAsia="Times New Roman"/>
          <w:sz w:val="24"/>
          <w:szCs w:val="24"/>
        </w:rPr>
        <w:fldChar w:fldCharType="end" w:fldLock="0"/>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repository is organized with the following directory structure:</w:t>
      </w:r>
    </w:p>
    <w:p>
      <w:pPr>
        <w:pStyle w:val="Normal,site"/>
        <w:numPr>
          <w:ilvl w:val="0"/>
          <w:numId w:val="3"/>
        </w:numPr>
        <w:spacing w:line="360" w:lineRule="auto"/>
        <w:rPr>
          <w:rFonts w:ascii="Times New Roman" w:hAnsi="Times New Roman"/>
          <w:sz w:val="24"/>
          <w:szCs w:val="24"/>
          <w:lang w:val="en-US"/>
        </w:rPr>
      </w:pPr>
      <w:r>
        <w:rPr>
          <w:rFonts w:ascii="Times New Roman" w:hAnsi="Times New Roman"/>
          <w:sz w:val="24"/>
          <w:szCs w:val="24"/>
          <w:rtl w:val="0"/>
          <w:lang w:val="en-US"/>
        </w:rPr>
        <w:t xml:space="preserve">/src </w:t>
      </w:r>
      <w:r>
        <w:rPr>
          <w:rFonts w:ascii="Times New Roman" w:hAnsi="Times New Roman" w:hint="default"/>
          <w:sz w:val="24"/>
          <w:szCs w:val="24"/>
          <w:rtl w:val="0"/>
          <w:lang w:val="en-US"/>
        </w:rPr>
        <w:t xml:space="preserve">— </w:t>
      </w:r>
      <w:r>
        <w:rPr>
          <w:rFonts w:ascii="Times New Roman" w:hAnsi="Times New Roman"/>
          <w:sz w:val="24"/>
          <w:szCs w:val="24"/>
          <w:rtl w:val="0"/>
          <w:lang w:val="en-US"/>
        </w:rPr>
        <w:t>AWS Lambda function Python scripts (lambda_handler.py, textract_parser.py, sheets_writer.py)</w:t>
      </w:r>
    </w:p>
    <w:p>
      <w:pPr>
        <w:pStyle w:val="Normal,site"/>
        <w:numPr>
          <w:ilvl w:val="0"/>
          <w:numId w:val="3"/>
        </w:numPr>
        <w:spacing w:line="360" w:lineRule="auto"/>
        <w:rPr>
          <w:rFonts w:ascii="Times New Roman" w:hAnsi="Times New Roman"/>
          <w:sz w:val="24"/>
          <w:szCs w:val="24"/>
          <w:lang w:val="en-US"/>
        </w:rPr>
      </w:pPr>
      <w:r>
        <w:rPr>
          <w:rFonts w:ascii="Times New Roman" w:hAnsi="Times New Roman"/>
          <w:sz w:val="24"/>
          <w:szCs w:val="24"/>
          <w:rtl w:val="0"/>
          <w:lang w:val="en-US"/>
        </w:rPr>
        <w:t xml:space="preserve">/docs </w:t>
      </w:r>
      <w:r>
        <w:rPr>
          <w:rFonts w:ascii="Times New Roman" w:hAnsi="Times New Roman" w:hint="default"/>
          <w:sz w:val="24"/>
          <w:szCs w:val="24"/>
          <w:rtl w:val="0"/>
          <w:lang w:val="en-US"/>
        </w:rPr>
        <w:t xml:space="preserve">— </w:t>
      </w:r>
      <w:r>
        <w:rPr>
          <w:rFonts w:ascii="Times New Roman" w:hAnsi="Times New Roman"/>
          <w:sz w:val="24"/>
          <w:szCs w:val="24"/>
          <w:rtl w:val="0"/>
          <w:lang w:val="en-US"/>
        </w:rPr>
        <w:t>Architecture diagrams, literature review artifacts, weekly progress notes</w:t>
      </w:r>
    </w:p>
    <w:p>
      <w:pPr>
        <w:pStyle w:val="Normal,site"/>
        <w:numPr>
          <w:ilvl w:val="0"/>
          <w:numId w:val="3"/>
        </w:numPr>
        <w:spacing w:line="360" w:lineRule="auto"/>
        <w:rPr>
          <w:rFonts w:ascii="Times New Roman" w:hAnsi="Times New Roman"/>
          <w:sz w:val="24"/>
          <w:szCs w:val="24"/>
          <w:lang w:val="en-US"/>
        </w:rPr>
      </w:pPr>
      <w:r>
        <w:rPr>
          <w:rFonts w:ascii="Times New Roman" w:hAnsi="Times New Roman"/>
          <w:sz w:val="24"/>
          <w:szCs w:val="24"/>
          <w:rtl w:val="0"/>
          <w:lang w:val="en-US"/>
        </w:rPr>
        <w:t xml:space="preserve">/design </w:t>
      </w:r>
      <w:r>
        <w:rPr>
          <w:rFonts w:ascii="Times New Roman" w:hAnsi="Times New Roman" w:hint="default"/>
          <w:sz w:val="24"/>
          <w:szCs w:val="24"/>
          <w:rtl w:val="0"/>
          <w:lang w:val="en-US"/>
        </w:rPr>
        <w:t xml:space="preserve">— </w:t>
      </w:r>
      <w:r>
        <w:rPr>
          <w:rFonts w:ascii="Times New Roman" w:hAnsi="Times New Roman"/>
          <w:sz w:val="24"/>
          <w:szCs w:val="24"/>
          <w:rtl w:val="0"/>
          <w:lang w:val="en-US"/>
        </w:rPr>
        <w:t>Paper log template (PDF and</w:t>
      </w:r>
      <w:r>
        <w:drawing xmlns:a="http://schemas.openxmlformats.org/drawingml/2006/main">
          <wp:anchor distT="152400" distB="152400" distL="152400" distR="152400" simplePos="0" relativeHeight="251660288" behindDoc="0" locked="0" layoutInCell="1" allowOverlap="1">
            <wp:simplePos x="0" y="0"/>
            <wp:positionH relativeFrom="page">
              <wp:posOffset>914400</wp:posOffset>
            </wp:positionH>
            <wp:positionV relativeFrom="page">
              <wp:posOffset>1896559</wp:posOffset>
            </wp:positionV>
            <wp:extent cx="5943600" cy="2766728"/>
            <wp:effectExtent l="0" t="0" r="0" b="0"/>
            <wp:wrapThrough wrapText="bothSides" distL="152400" distR="152400">
              <wp:wrapPolygon edited="1">
                <wp:start x="0" y="0"/>
                <wp:lineTo x="21600" y="0"/>
                <wp:lineTo x="21600" y="21615"/>
                <wp:lineTo x="0" y="21615"/>
                <wp:lineTo x="0" y="0"/>
              </wp:wrapPolygon>
            </wp:wrapThrough>
            <wp:docPr id="1073741829" name="officeArt object" descr="Technology Resource-2026-04-25-085405.png"/>
            <wp:cNvGraphicFramePr/>
            <a:graphic xmlns:a="http://schemas.openxmlformats.org/drawingml/2006/main">
              <a:graphicData uri="http://schemas.openxmlformats.org/drawingml/2006/picture">
                <pic:pic xmlns:pic="http://schemas.openxmlformats.org/drawingml/2006/picture">
                  <pic:nvPicPr>
                    <pic:cNvPr id="1073741829" name="Technology Resource-2026-04-25-085405.png" descr="Technology Resource-2026-04-25-085405.png"/>
                    <pic:cNvPicPr>
                      <a:picLocks noChangeAspect="1"/>
                    </pic:cNvPicPr>
                  </pic:nvPicPr>
                  <pic:blipFill>
                    <a:blip r:embed="rId5">
                      <a:extLst/>
                    </a:blip>
                    <a:stretch>
                      <a:fillRect/>
                    </a:stretch>
                  </pic:blipFill>
                  <pic:spPr>
                    <a:xfrm>
                      <a:off x="0" y="0"/>
                      <a:ext cx="5943600" cy="2766728"/>
                    </a:xfrm>
                    <a:prstGeom prst="rect">
                      <a:avLst/>
                    </a:prstGeom>
                    <a:ln w="12700" cap="flat">
                      <a:noFill/>
                      <a:miter lim="400000"/>
                    </a:ln>
                    <a:effectLst/>
                  </pic:spPr>
                </pic:pic>
              </a:graphicData>
            </a:graphic>
          </wp:anchor>
        </w:drawing>
      </w:r>
      <w:r>
        <w:rPr>
          <w:rFonts w:ascii="Times New Roman" w:hAnsi="Times New Roman"/>
          <w:sz w:val="24"/>
          <w:szCs w:val="24"/>
          <w:rtl w:val="0"/>
          <w:lang w:val="en-US"/>
        </w:rPr>
        <w:t xml:space="preserve"> editable source), Google Sheets schema documentation</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development branch receives all active commits. Pull requests from development to main require manual review before merge, ensuring that no untested code reaches the production Lambda deployment.</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Appendix C: Standardized Caregiver Log Template</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2336" behindDoc="0" locked="0" layoutInCell="1" allowOverlap="1">
            <wp:simplePos x="0" y="0"/>
            <wp:positionH relativeFrom="margin">
              <wp:posOffset>85089</wp:posOffset>
            </wp:positionH>
            <wp:positionV relativeFrom="line">
              <wp:posOffset>360773</wp:posOffset>
            </wp:positionV>
            <wp:extent cx="5943600" cy="3424705"/>
            <wp:effectExtent l="0" t="0" r="0" b="0"/>
            <wp:wrapThrough wrapText="bothSides" distL="152400" distR="152400">
              <wp:wrapPolygon edited="1">
                <wp:start x="0" y="0"/>
                <wp:lineTo x="21621" y="0"/>
                <wp:lineTo x="21621" y="21636"/>
                <wp:lineTo x="0" y="21636"/>
                <wp:lineTo x="0" y="0"/>
              </wp:wrapPolygon>
            </wp:wrapThrough>
            <wp:docPr id="1073741828" name="officeArt object" descr="スクリーンショット 2026-04-25 19.36.29.png"/>
            <wp:cNvGraphicFramePr/>
            <a:graphic xmlns:a="http://schemas.openxmlformats.org/drawingml/2006/main">
              <a:graphicData uri="http://schemas.openxmlformats.org/drawingml/2006/picture">
                <pic:pic xmlns:pic="http://schemas.openxmlformats.org/drawingml/2006/picture">
                  <pic:nvPicPr>
                    <pic:cNvPr id="1073741828" name="スクリーンショット 2026-04-25 19.36.29.png" descr="スクリーンショット 2026-04-25 19.36.29.png"/>
                    <pic:cNvPicPr>
                      <a:picLocks noChangeAspect="1"/>
                    </pic:cNvPicPr>
                  </pic:nvPicPr>
                  <pic:blipFill>
                    <a:blip r:embed="rId6">
                      <a:extLst/>
                    </a:blip>
                    <a:stretch>
                      <a:fillRect/>
                    </a:stretch>
                  </pic:blipFill>
                  <pic:spPr>
                    <a:xfrm>
                      <a:off x="0" y="0"/>
                      <a:ext cx="5943600" cy="3424705"/>
                    </a:xfrm>
                    <a:prstGeom prst="rect">
                      <a:avLst/>
                    </a:prstGeom>
                    <a:ln w="12700" cap="flat">
                      <a:noFill/>
                      <a:miter lim="400000"/>
                    </a:ln>
                    <a:effectLst/>
                  </pic:spPr>
                </pic:pic>
              </a:graphicData>
            </a:graphic>
          </wp:anchor>
        </w:drawing>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standardized caregiver log template was designed to capture structured and time-stamped data related to medication administration, patient condition, and potential risk factors in a Parkinson</w:t>
      </w:r>
      <w:r>
        <w:rPr>
          <w:rFonts w:ascii="Times New Roman" w:hAnsi="Times New Roman" w:hint="default"/>
          <w:sz w:val="24"/>
          <w:szCs w:val="24"/>
          <w:rtl w:val="0"/>
          <w:lang w:val="en-US"/>
        </w:rPr>
        <w:t>’</w:t>
      </w:r>
      <w:r>
        <w:rPr>
          <w:rFonts w:ascii="Times New Roman" w:hAnsi="Times New Roman"/>
          <w:sz w:val="24"/>
          <w:szCs w:val="24"/>
          <w:rtl w:val="0"/>
          <w:lang w:val="en-US"/>
        </w:rPr>
        <w:t>s Disease home-care setting.</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template includes the following key components: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Date and day of the week, with Wednesdays and Saturdays highlighted in bold to indicate historically higher fall-risk periods. These days correspond to scheduled rehabilitation sessions at a daycare center, after which the patient tends to experience increased physical fatigue. This design reflects an embedded hypothesis that post-rehabilitation fatigue contributes to a higher probability of falls.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Medication administration times divided into morning, afternoon, evening, 20:30 dose, and bedtime dose to capture fine-grained temporal patterns.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Gastrointestinal indicators, including stool consistency and Movicol administration, to assess the impact of GI motility on medication effectiveness.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Patient condition scoring using a 1</w:t>
      </w:r>
      <w:r>
        <w:rPr>
          <w:rFonts w:ascii="Times New Roman" w:hAnsi="Times New Roman" w:hint="default"/>
          <w:sz w:val="24"/>
          <w:szCs w:val="24"/>
          <w:rtl w:val="0"/>
          <w:lang w:val="en-US"/>
        </w:rPr>
        <w:t>–</w:t>
      </w:r>
      <w:r>
        <w:rPr>
          <w:rFonts w:ascii="Times New Roman" w:hAnsi="Times New Roman"/>
          <w:sz w:val="24"/>
          <w:szCs w:val="24"/>
          <w:rtl w:val="0"/>
          <w:lang w:val="en-US"/>
        </w:rPr>
        <w:t>5 scale (1 = Severe OFF, 5 = Fully ON). In addition, condition scores are recorded at multiple time intervals after medication administration (30 minutes, 1 hour, 2 hours, 3 hours, 4 hours, and 5 hours) to enable detailed temporal analysis of medication response and delayed ON effects.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Quantitative risk event tracking, including:</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hint="default"/>
          <w:sz w:val="24"/>
          <w:szCs w:val="24"/>
          <w:rtl w:val="0"/>
          <w:lang w:val="en-US"/>
        </w:rPr>
        <w:t xml:space="preserve">  • </w:t>
      </w:r>
      <w:r>
        <w:rPr>
          <w:rFonts w:ascii="Times New Roman" w:hAnsi="Times New Roman"/>
          <w:sz w:val="24"/>
          <w:szCs w:val="24"/>
          <w:rtl w:val="0"/>
          <w:lang w:val="en-US"/>
        </w:rPr>
        <w:t>Fall events (recorded as frequency counts)</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hint="default"/>
          <w:sz w:val="24"/>
          <w:szCs w:val="24"/>
          <w:rtl w:val="0"/>
          <w:lang w:val="en-US"/>
        </w:rPr>
        <w:t xml:space="preserve">  • </w:t>
      </w:r>
      <w:r>
        <w:rPr>
          <w:rFonts w:ascii="Times New Roman" w:hAnsi="Times New Roman"/>
          <w:sz w:val="24"/>
          <w:szCs w:val="24"/>
          <w:rtl w:val="0"/>
          <w:lang w:val="en-US"/>
        </w:rPr>
        <w:t>Near-fall or assisted incidents (instances where support was required to prevent a fall)</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hint="default"/>
          <w:sz w:val="24"/>
          <w:szCs w:val="24"/>
          <w:rtl w:val="0"/>
          <w:lang w:val="en-US"/>
        </w:rPr>
        <w:t xml:space="preserve">  • </w:t>
      </w:r>
      <w:r>
        <w:rPr>
          <w:rFonts w:ascii="Times New Roman" w:hAnsi="Times New Roman"/>
          <w:sz w:val="24"/>
          <w:szCs w:val="24"/>
          <w:rtl w:val="0"/>
          <w:lang w:val="en-US"/>
        </w:rPr>
        <w:t>Freezing or severe motor impairment episodes (rated on a 1</w:t>
      </w:r>
      <w:r>
        <w:rPr>
          <w:rFonts w:ascii="Times New Roman" w:hAnsi="Times New Roman" w:hint="default"/>
          <w:sz w:val="24"/>
          <w:szCs w:val="24"/>
          <w:rtl w:val="0"/>
          <w:lang w:val="en-US"/>
        </w:rPr>
        <w:t>–</w:t>
      </w:r>
      <w:r>
        <w:rPr>
          <w:rFonts w:ascii="Times New Roman" w:hAnsi="Times New Roman"/>
          <w:sz w:val="24"/>
          <w:szCs w:val="24"/>
          <w:rtl w:val="0"/>
          <w:lang w:val="en-US"/>
        </w:rPr>
        <w:t>5 severity scale)</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hint="default"/>
          <w:sz w:val="24"/>
          <w:szCs w:val="24"/>
          <w:rtl w:val="0"/>
          <w:lang w:val="en-US"/>
        </w:rPr>
        <w:t xml:space="preserve">  • </w:t>
      </w:r>
      <w:r>
        <w:rPr>
          <w:rFonts w:ascii="Times New Roman" w:hAnsi="Times New Roman"/>
          <w:sz w:val="24"/>
          <w:szCs w:val="24"/>
          <w:rtl w:val="0"/>
          <w:lang w:val="en-US"/>
        </w:rPr>
        <w:t xml:space="preserve">Emergency call frequency  </w:t>
      </w: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xml:space="preserve">  This structure allows for more precise analysis of both the frequency and severity of risk-related events.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 A free-text notes section to capture additional contextual observations.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template was specifically optimized for OCR processing using AWS Textract by incorporating clearly defined fields, consistent layouts, and minimal handwriting ambiguity. This design ensures both high data quality and compatibility with the Human-in-the-Loop (HITL) verification process.</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inclusion of highlighted high-risk days and detailed temporal condition tracking represents an embedded domain-specific hypothesis within the data collection process, enabling future correlation analysis between medication timing, physiological conditions, and fall risk.</w:t>
      </w: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r>
        <w:rPr>
          <w:rFonts w:ascii="Times New Roman" w:hAnsi="Times New Roman"/>
          <w:sz w:val="24"/>
          <w:szCs w:val="24"/>
          <w:rtl w:val="0"/>
          <w:lang w:val="en-US"/>
        </w:rPr>
        <w:t>The inclusion of highlighted high-risk days represents an embedded domain-specific hypothesis within the data collection process, enabling future correlation analysis between temporal patterns and fall risk.</w:t>
      </w: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i w:val="1"/>
          <w:iCs w:val="1"/>
          <w:sz w:val="24"/>
          <w:szCs w:val="24"/>
        </w:rPr>
      </w:pP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Appendix D: Sample Lambda Function (Python)</w:t>
      </w:r>
    </w:p>
    <w:p>
      <w:pPr>
        <w:pStyle w:val="Normal,site"/>
        <w:spacing w:line="360" w:lineRule="auto"/>
        <w:ind w:firstLine="567"/>
        <w:rPr>
          <w:rFonts w:ascii="Times New Roman" w:cs="Times New Roman" w:hAnsi="Times New Roman" w:eastAsia="Times New Roman"/>
          <w:sz w:val="24"/>
          <w:szCs w:val="24"/>
        </w:rPr>
      </w:pPr>
    </w:p>
    <w:p>
      <w:pPr>
        <w:pStyle w:val="Normal,site"/>
        <w:spacing w:line="360" w:lineRule="auto"/>
        <w:ind w:firstLine="567"/>
        <w:rPr>
          <w:rFonts w:ascii="Times New Roman" w:cs="Times New Roman" w:hAnsi="Times New Roman" w:eastAsia="Times New Roman"/>
          <w:sz w:val="24"/>
          <w:szCs w:val="24"/>
        </w:rPr>
      </w:pPr>
      <w:r>
        <w:rPr>
          <w:rFonts w:ascii="Times New Roman" w:hAnsi="Times New Roman"/>
          <w:sz w:val="24"/>
          <w:szCs w:val="24"/>
          <w:rtl w:val="0"/>
          <w:lang w:val="en-US"/>
        </w:rPr>
        <w:t>The following code snippet demonstrates how AWS Textract is invoked within the Lambda function to extract structured data from uploaded caregiver logs.</w:t>
      </w:r>
      <w:r>
        <w:rPr>
          <w:rFonts w:ascii="Times New Roman" w:hAnsi="Times New Roman"/>
          <w:sz w:val="24"/>
          <w:szCs w:val="24"/>
          <w:rtl w:val="0"/>
          <w:lang w:val="en-US"/>
        </w:rPr>
        <w:t xml:space="preserve"> </w:t>
      </w:r>
      <w:r>
        <w:rPr>
          <w:rFonts w:ascii="Times New Roman" w:hAnsi="Times New Roman"/>
          <w:sz w:val="24"/>
          <w:szCs w:val="24"/>
          <w:rtl w:val="0"/>
          <w:lang w:val="en-US"/>
        </w:rPr>
        <w:t>This function is triggered by an S3 event and processes uploaded caregiver log images using Textract. The extracted data is then passed to downstream components for validation and storage. Full source code is available in the GitHub repository (src/lambda_handler.py).</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1312" behindDoc="0" locked="0" layoutInCell="1" allowOverlap="1">
            <wp:simplePos x="0" y="0"/>
            <wp:positionH relativeFrom="margin">
              <wp:posOffset>74930</wp:posOffset>
            </wp:positionH>
            <wp:positionV relativeFrom="line">
              <wp:posOffset>251817</wp:posOffset>
            </wp:positionV>
            <wp:extent cx="5943600" cy="5015869"/>
            <wp:effectExtent l="0" t="0" r="0" b="0"/>
            <wp:wrapThrough wrapText="bothSides" distL="152400" distR="152400">
              <wp:wrapPolygon edited="1">
                <wp:start x="0" y="0"/>
                <wp:lineTo x="21621" y="0"/>
                <wp:lineTo x="21621" y="21621"/>
                <wp:lineTo x="0" y="21621"/>
                <wp:lineTo x="0" y="0"/>
              </wp:wrapPolygon>
            </wp:wrapThrough>
            <wp:docPr id="1073741830" name="officeArt object" descr="スクリーンショット 2026-04-25 18.13.27.png"/>
            <wp:cNvGraphicFramePr/>
            <a:graphic xmlns:a="http://schemas.openxmlformats.org/drawingml/2006/main">
              <a:graphicData uri="http://schemas.openxmlformats.org/drawingml/2006/picture">
                <pic:pic xmlns:pic="http://schemas.openxmlformats.org/drawingml/2006/picture">
                  <pic:nvPicPr>
                    <pic:cNvPr id="1073741830" name="スクリーンショット 2026-04-25 18.13.27.png" descr="スクリーンショット 2026-04-25 18.13.27.png"/>
                    <pic:cNvPicPr>
                      <a:picLocks noChangeAspect="1"/>
                    </pic:cNvPicPr>
                  </pic:nvPicPr>
                  <pic:blipFill>
                    <a:blip r:embed="rId7">
                      <a:extLst/>
                    </a:blip>
                    <a:stretch>
                      <a:fillRect/>
                    </a:stretch>
                  </pic:blipFill>
                  <pic:spPr>
                    <a:xfrm>
                      <a:off x="0" y="0"/>
                      <a:ext cx="5943600" cy="5015869"/>
                    </a:xfrm>
                    <a:prstGeom prst="rect">
                      <a:avLst/>
                    </a:prstGeom>
                    <a:ln w="12700" cap="flat">
                      <a:noFill/>
                      <a:miter lim="400000"/>
                    </a:ln>
                    <a:effectLst/>
                  </pic:spPr>
                </pic:pic>
              </a:graphicData>
            </a:graphic>
          </wp:anchor>
        </w:drawing>
      </w:r>
    </w:p>
    <w:p>
      <w:pPr>
        <w:pStyle w:val="Heading 2"/>
        <w:keepNext w:val="0"/>
        <w:keepLines w:val="0"/>
        <w:spacing w:before="360" w:after="120" w:line="360" w:lineRule="auto"/>
      </w:pPr>
      <w:r>
        <w:rPr>
          <w:rFonts w:ascii="Times New Roman" w:cs="Times New Roman" w:hAnsi="Times New Roman" w:eastAsia="Times New Roman"/>
          <w:b w:val="0"/>
          <w:bCs w:val="0"/>
          <w:outline w:val="0"/>
          <w:color w:val="000000"/>
          <w:sz w:val="24"/>
          <w:szCs w:val="24"/>
          <w:u w:color="000000"/>
          <w14:textFill>
            <w14:solidFill>
              <w14:srgbClr w14:val="000000"/>
            </w14:solidFill>
          </w14:textFill>
        </w:rPr>
      </w:r>
    </w:p>
    <w:sectPr>
      <w:headerReference w:type="default" r:id="rId8"/>
      <w:footerReference w:type="default" r:id="rId9"/>
      <w:pgSz w:w="12240" w:h="15840" w:orient="portrait"/>
      <w:pgMar w:top="1440" w:right="1440" w:bottom="1440" w:left="144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Light">
    <w:charset w:val="00"/>
    <w:family w:val="roman"/>
    <w:pitch w:val="default"/>
  </w:font>
  <w:font w:name="ヒラギノ角ゴ ProN W3">
    <w:charset w:val="00"/>
    <w:family w:val="roman"/>
    <w:pitch w:val="default"/>
  </w:font>
  <w:font w:name="Cambria">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rPr>
        <w:outline w:val="0"/>
        <w:color w:val="777777"/>
        <w:u w:color="777777"/>
        <w14:textFill>
          <w14:solidFill>
            <w14:srgbClr w14:val="777777"/>
          </w14:solidFill>
        </w14:textFill>
      </w:rPr>
    </w:pPr>
    <w:r>
      <w:rPr>
        <w:outline w:val="0"/>
        <w:color w:val="777777"/>
        <w:u w:color="777777"/>
        <w:rtl w:val="0"/>
        <w14:textFill>
          <w14:solidFill>
            <w14:srgbClr w14:val="777777"/>
          </w14:solidFill>
        </w14:textFill>
      </w:rPr>
      <w:fldChar w:fldCharType="begin" w:fldLock="0"/>
    </w:r>
    <w:r>
      <w:rPr>
        <w:outline w:val="0"/>
        <w:color w:val="777777"/>
        <w:u w:color="777777"/>
        <w:rtl w:val="0"/>
        <w14:textFill>
          <w14:solidFill>
            <w14:srgbClr w14:val="777777"/>
          </w14:solidFill>
        </w14:textFill>
      </w:rPr>
      <w:instrText xml:space="preserve"> PAGE </w:instrText>
    </w:r>
    <w:r>
      <w:rPr>
        <w:outline w:val="0"/>
        <w:color w:val="777777"/>
        <w:u w:color="777777"/>
        <w:rtl w:val="0"/>
        <w14:textFill>
          <w14:solidFill>
            <w14:srgbClr w14:val="777777"/>
          </w14:solidFill>
        </w14:textFill>
      </w:rPr>
      <w:fldChar w:fldCharType="separate" w:fldLock="0"/>
    </w:r>
    <w:r>
      <w:rPr>
        <w:outline w:val="0"/>
        <w:color w:val="777777"/>
        <w:u w:color="777777"/>
        <w:rtl w:val="0"/>
        <w14:textFill>
          <w14:solidFill>
            <w14:srgbClr w14:val="777777"/>
          </w14:solidFill>
        </w14:textFill>
      </w:rPr>
      <w:fldChar w:fldCharType="end" w:fldLock="0"/>
    </w:r>
  </w:p>
  <w:p>
    <w:pPr>
      <w:pStyle w:val="Footer"/>
      <w:tabs>
        <w:tab w:val="right" w:pos="9340"/>
        <w:tab w:val="clear" w:pos="9360"/>
      </w:tabs>
      <w:jc w:val="center"/>
    </w:pPr>
    <w:r>
      <w:rPr>
        <w:outline w:val="0"/>
        <w:color w:val="777777"/>
        <w:u w:color="777777"/>
        <w14:textFill>
          <w14:solidFill>
            <w14:srgbClr w14:val="777777"/>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left" w:pos="142"/>
        <w:tab w:val="right" w:pos="9340"/>
        <w:tab w:val="clear" w:pos="9360"/>
      </w:tabs>
    </w:pPr>
    <w:r>
      <w:drawing xmlns:a="http://schemas.openxmlformats.org/drawingml/2006/main">
        <wp:anchor distT="152400" distB="152400" distL="152400" distR="152400" simplePos="0" relativeHeight="251658240" behindDoc="1" locked="0" layoutInCell="1" allowOverlap="1">
          <wp:simplePos x="0" y="0"/>
          <wp:positionH relativeFrom="page">
            <wp:posOffset>5693409</wp:posOffset>
          </wp:positionH>
          <wp:positionV relativeFrom="page">
            <wp:posOffset>635</wp:posOffset>
          </wp:positionV>
          <wp:extent cx="2128521" cy="1188720"/>
          <wp:effectExtent l="0" t="0" r="0" b="0"/>
          <wp:wrapNone/>
          <wp:docPr id="1073741826" name="officeArt object" descr="A picture containing polygon&#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picture containing polygonDescription automatically generated" descr="A picture containing polygonDescription automatically generated"/>
                  <pic:cNvPicPr>
                    <a:picLocks noChangeAspect="1"/>
                  </pic:cNvPicPr>
                </pic:nvPicPr>
                <pic:blipFill>
                  <a:blip r:embed="rId1">
                    <a:extLst/>
                  </a:blip>
                  <a:stretch>
                    <a:fillRect/>
                  </a:stretch>
                </pic:blipFill>
                <pic:spPr>
                  <a:xfrm>
                    <a:off x="0" y="0"/>
                    <a:ext cx="2128521" cy="1188720"/>
                  </a:xfrm>
                  <a:prstGeom prst="rect">
                    <a:avLst/>
                  </a:prstGeom>
                  <a:ln w="12700" cap="flat">
                    <a:noFill/>
                    <a:miter lim="400000"/>
                  </a:ln>
                  <a:effectLst/>
                </pic:spPr>
              </pic:pic>
            </a:graphicData>
          </a:graphic>
        </wp:anchor>
      </w:drawing>
    </w:r>
  </w:p>
  <w:p>
    <w:pPr>
      <w:pStyle w:val="Header"/>
      <w:tabs>
        <w:tab w:val="left" w:pos="142"/>
        <w:tab w:val="right" w:pos="9340"/>
        <w:tab w:val="clear" w:pos="9360"/>
      </w:tabs>
    </w:pPr>
  </w:p>
  <w:p>
    <w:pPr>
      <w:pStyle w:val="Header"/>
      <w:tabs>
        <w:tab w:val="left" w:pos="142"/>
        <w:tab w:val="right" w:pos="9340"/>
        <w:tab w:val="clear" w:pos="9360"/>
      </w:tabs>
    </w:pPr>
    <w:r>
      <w:drawing xmlns:a="http://schemas.openxmlformats.org/drawingml/2006/main">
        <wp:inline distT="0" distB="0" distL="0" distR="0">
          <wp:extent cx="2264798" cy="542830"/>
          <wp:effectExtent l="0" t="0" r="0" b="0"/>
          <wp:docPr id="1073741825" name="officeArt object" descr="A picture containing text, clock&#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picture containing text, clockDescription automatically generated" descr="A picture containing text, clockDescription automatically generated"/>
                  <pic:cNvPicPr>
                    <a:picLocks noChangeAspect="1"/>
                  </pic:cNvPicPr>
                </pic:nvPicPr>
                <pic:blipFill>
                  <a:blip r:embed="rId2">
                    <a:extLst/>
                  </a:blip>
                  <a:stretch>
                    <a:fillRect/>
                  </a:stretch>
                </pic:blipFill>
                <pic:spPr>
                  <a:xfrm>
                    <a:off x="0" y="0"/>
                    <a:ext cx="2264798" cy="542830"/>
                  </a:xfrm>
                  <a:prstGeom prst="rect">
                    <a:avLst/>
                  </a:prstGeom>
                  <a:ln w="12700" cap="flat">
                    <a:noFill/>
                    <a:miter lim="400000"/>
                  </a:ln>
                  <a:effectLst/>
                </pic:spPr>
              </pic:pic>
            </a:graphicData>
          </a:graphic>
        </wp:inline>
      </w:drawing>
    </w:r>
  </w:p>
  <w:p>
    <w:pPr>
      <w:pStyle w:val="Header"/>
      <w:tabs>
        <w:tab w:val="left" w:pos="142"/>
        <w:tab w:val="right" w:pos="9340"/>
        <w:tab w:val="clear" w:pos="9360"/>
      </w:tabs>
    </w:pPr>
  </w:p>
  <w:p>
    <w:pPr>
      <w:pStyle w:val="Header"/>
      <w:tabs>
        <w:tab w:val="left" w:pos="142"/>
        <w:tab w:val="right" w:pos="9340"/>
        <w:tab w:val="clear" w:pos="9360"/>
      </w:tabs>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読み込んだスタイル1"/>
  </w:abstractNum>
  <w:abstractNum w:abstractNumId="1">
    <w:multiLevelType w:val="hybridMultilevel"/>
    <w:styleLink w:val="読み込んだスタイル1"/>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1227"/>
          </w:tabs>
          <w:ind w:left="660" w:firstLine="26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
        <w:lvlJc w:val="left"/>
        <w:pPr>
          <w:tabs>
            <w:tab w:val="num" w:pos="1287"/>
          </w:tabs>
          <w:ind w:left="720" w:firstLine="20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num" w:pos="1287"/>
          </w:tabs>
          <w:ind w:left="720" w:firstLine="20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num" w:pos="1287"/>
          </w:tabs>
          <w:ind w:left="720" w:firstLine="20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num" w:pos="1287"/>
          </w:tabs>
          <w:ind w:left="720" w:firstLine="20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num" w:pos="1287"/>
          </w:tabs>
          <w:ind w:left="720" w:firstLine="20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num" w:pos="1287"/>
          </w:tabs>
          <w:ind w:left="720" w:firstLine="20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num" w:pos="1287"/>
          </w:tabs>
          <w:ind w:left="720" w:firstLine="20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num" w:pos="1287"/>
          </w:tabs>
          <w:ind w:left="720" w:firstLine="20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Normal,site">
    <w:name w:val="Normal"/>
    <w:next w:val="Normal,site"/>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Heading 1">
    <w:name w:val="Heading 1"/>
    <w:next w:val="Normal,site"/>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Calibri Light" w:hAnsi="Calibri Light" w:eastAsia="Calibri Light"/>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Outline>
        <w14:noFill/>
      </w14:textOutline>
      <w14:textFill>
        <w14:solidFill>
          <w14:srgbClr w14:val="2F5496"/>
        </w14:solidFill>
      </w14:textFill>
    </w:r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015" w:leader="dot"/>
      </w:tabs>
      <w:suppressAutoHyphens w:val="0"/>
      <w:bidi w:val="0"/>
      <w:spacing w:before="0" w:after="10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015" w:leader="dot"/>
      </w:tabs>
      <w:suppressAutoHyphens w:val="0"/>
      <w:bidi w:val="0"/>
      <w:spacing w:before="0" w:after="100" w:line="259" w:lineRule="auto"/>
      <w:ind w:left="2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2">
    <w:name w:val="Heading 2"/>
    <w:next w:val="Normal,site"/>
    <w:pPr>
      <w:keepNext w:val="1"/>
      <w:keepLines w:val="1"/>
      <w:pageBreakBefore w:val="0"/>
      <w:widowControl w:val="1"/>
      <w:shd w:val="clear" w:color="auto" w:fill="auto"/>
      <w:suppressAutoHyphens w:val="0"/>
      <w:bidi w:val="0"/>
      <w:spacing w:before="40" w:after="0" w:line="259" w:lineRule="auto"/>
      <w:ind w:left="0" w:right="0" w:firstLine="0"/>
      <w:jc w:val="left"/>
      <w:outlineLvl w:val="1"/>
    </w:pPr>
    <w:rPr>
      <w:rFonts w:ascii="Calibri Light" w:cs="Calibri Light" w:hAnsi="Calibri Light" w:eastAsia="Calibri Light"/>
      <w:b w:val="0"/>
      <w:bCs w:val="0"/>
      <w:i w:val="0"/>
      <w:iCs w:val="0"/>
      <w:caps w:val="0"/>
      <w:smallCaps w:val="0"/>
      <w:strike w:val="0"/>
      <w:dstrike w:val="0"/>
      <w:outline w:val="0"/>
      <w:color w:val="2f5496"/>
      <w:spacing w:val="0"/>
      <w:kern w:val="0"/>
      <w:position w:val="0"/>
      <w:sz w:val="26"/>
      <w:szCs w:val="26"/>
      <w:u w:val="none" w:color="2f5496"/>
      <w:shd w:val="nil" w:color="auto" w:fill="auto"/>
      <w:vertAlign w:val="baseline"/>
      <w:lang w:val="en-US"/>
      <w14:textOutline>
        <w14:noFill/>
      </w14:textOutline>
      <w14:textFill>
        <w14:solidFill>
          <w14:srgbClr w14:val="2F5496"/>
        </w14:solidFill>
      </w14:textFill>
    </w:rPr>
  </w:style>
  <w:style w:type="paragraph" w:styleId="TOC 3">
    <w:name w:val="TOC 3"/>
    <w:next w:val="TOC 3"/>
    <w:pPr>
      <w:keepNext w:val="0"/>
      <w:keepLines w:val="0"/>
      <w:pageBreakBefore w:val="0"/>
      <w:widowControl w:val="1"/>
      <w:shd w:val="clear" w:color="auto" w:fill="auto"/>
      <w:tabs>
        <w:tab w:val="right" w:pos="9015" w:leader="dot"/>
      </w:tabs>
      <w:suppressAutoHyphens w:val="0"/>
      <w:bidi w:val="0"/>
      <w:spacing w:before="0" w:after="100" w:line="259" w:lineRule="auto"/>
      <w:ind w:left="44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3">
    <w:name w:val="Heading 3"/>
    <w:next w:val="Normal,site"/>
    <w:pPr>
      <w:keepNext w:val="1"/>
      <w:keepLines w:val="1"/>
      <w:pageBreakBefore w:val="0"/>
      <w:widowControl w:val="1"/>
      <w:shd w:val="clear" w:color="auto" w:fill="auto"/>
      <w:suppressAutoHyphens w:val="0"/>
      <w:bidi w:val="0"/>
      <w:spacing w:before="40" w:after="0" w:line="259" w:lineRule="auto"/>
      <w:ind w:left="0" w:right="0" w:firstLine="0"/>
      <w:jc w:val="left"/>
      <w:outlineLvl w:val="2"/>
    </w:pPr>
    <w:rPr>
      <w:rFonts w:ascii="Calibri Light" w:cs="Calibri Light" w:hAnsi="Calibri Light" w:eastAsia="Calibri Light"/>
      <w:b w:val="0"/>
      <w:bCs w:val="0"/>
      <w:i w:val="0"/>
      <w:iCs w:val="0"/>
      <w:caps w:val="0"/>
      <w:smallCaps w:val="0"/>
      <w:strike w:val="0"/>
      <w:dstrike w:val="0"/>
      <w:outline w:val="0"/>
      <w:color w:val="1f3763"/>
      <w:spacing w:val="0"/>
      <w:kern w:val="0"/>
      <w:position w:val="0"/>
      <w:sz w:val="24"/>
      <w:szCs w:val="24"/>
      <w:u w:val="none" w:color="1f3763"/>
      <w:shd w:val="nil" w:color="auto" w:fill="auto"/>
      <w:vertAlign w:val="baseline"/>
      <w:lang w:val="en-US"/>
      <w14:textOutline>
        <w14:noFill/>
      </w14:textOutline>
      <w14:textFill>
        <w14:solidFill>
          <w14:srgbClr w14:val="1F3763"/>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1"/>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読み込んだスタイル1">
    <w:name w:val="読み込んだスタイル1"/>
    <w:pPr>
      <w:numPr>
        <w:numId w:val="1"/>
      </w:numPr>
    </w:p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