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デフォルト"/>
        <w:bidi w:val="0"/>
        <w:spacing w:before="0" w:line="480" w:lineRule="auto"/>
        <w:ind w:left="0" w:right="0" w:firstLine="0"/>
        <w:jc w:val="left"/>
        <w:rPr>
          <w:rFonts w:ascii="Times New Roman" w:cs="Times New Roman" w:hAnsi="Times New Roman" w:eastAsia="Times New Roman"/>
          <w:b w:val="1"/>
          <w:bCs w:val="1"/>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Embedding Ethical and Security Principles in System Architecture</w:t>
      </w:r>
    </w:p>
    <w:p>
      <w:pPr>
        <w:pStyle w:val="デフォルト"/>
        <w:bidi w:val="0"/>
        <w:spacing w:before="0" w:line="240" w:lineRule="auto"/>
        <w:ind w:left="0" w:right="0" w:firstLine="0"/>
        <w:jc w:val="left"/>
        <w:rPr>
          <w:rFonts w:ascii="Lucida Grande" w:cs="Lucida Grande" w:hAnsi="Lucida Grande" w:eastAsia="Lucida Grande"/>
          <w:outline w:val="0"/>
          <w:color w:val="202122"/>
          <w:sz w:val="36"/>
          <w:szCs w:val="36"/>
          <w:shd w:val="clear" w:color="auto" w:fill="ffffff"/>
          <w:rtl w:val="0"/>
          <w14:textFill>
            <w14:solidFill>
              <w14:srgbClr w14:val="202122"/>
            </w14:solidFill>
          </w14:textFill>
        </w:rPr>
      </w:pP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1. Introduction: The Imperative of Security-by-Design in Health Informatics</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In the contemporary landscape of Health Information Technology (HIT), the integration of ethical principles and robust security mechanisms is no longer an optional feature but a foundational requirement. Security, reliability, and privacy are critical non-functional requirements that must guide system design from the early stages (Sommerville, 2016; ISO/IEC 25010, 2023).</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In addition, clearly defined system and performance requirements are essential to ensure alignment between system components and overall project objectives (Summers, 2020). This is particularly true for projects like</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ParkinSync</w:t>
      </w:r>
      <w:r>
        <w:rPr>
          <w:rFonts w:ascii="Times New Roman" w:hAnsi="Times New Roman"/>
          <w:outline w:val="0"/>
          <w:color w:val="202122"/>
          <w:shd w:val="clear" w:color="auto" w:fill="ffffff"/>
          <w:rtl w:val="0"/>
          <w:lang w:val="en-US"/>
          <w14:textFill>
            <w14:solidFill>
              <w14:srgbClr w14:val="202122"/>
            </w14:solidFill>
          </w14:textFill>
        </w:rPr>
        <w:t>, a serverless decision-support system designed to monitor motor fluctuations in Parkinson</w:t>
      </w:r>
      <w:r>
        <w:rPr>
          <w:rFonts w:ascii="Times New Roman" w:hAnsi="Times New Roman" w:hint="default"/>
          <w:outline w:val="0"/>
          <w:color w:val="202122"/>
          <w:shd w:val="clear" w:color="auto" w:fill="ffffff"/>
          <w:rtl w:val="1"/>
          <w14:textFill>
            <w14:solidFill>
              <w14:srgbClr w14:val="202122"/>
            </w14:solidFill>
          </w14:textFill>
        </w:rPr>
        <w:t>’</w:t>
      </w:r>
      <w:r>
        <w:rPr>
          <w:rFonts w:ascii="Times New Roman" w:hAnsi="Times New Roman"/>
          <w:outline w:val="0"/>
          <w:color w:val="202122"/>
          <w:shd w:val="clear" w:color="auto" w:fill="ffffff"/>
          <w:rtl w:val="0"/>
          <w:lang w:val="en-US"/>
          <w14:textFill>
            <w14:solidFill>
              <w14:srgbClr w14:val="202122"/>
            </w14:solidFill>
          </w14:textFill>
        </w:rPr>
        <w:t>s Disease (PD) patients by correlating medication adherence with hyper-local environmental data.</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The</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ParkinSync</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architecture operates at the intersection of analog caregiving and cloud-based analytics, handling highly sensitive Protected Health Information (PHI). Given the vulnerability of PD patients and the critical nature of medication timing, any failure in system integrity or data confidentiality could lead to suboptimal clinical outcomes. Therefore, this project adopts a "Security-by-Design" and "Ethics-by-Design" philosophy. By embedding these principles into the initial system architecture, specifically through AWS serverless primitives and managed security services,</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ParkinSync</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ensures that data protection is proactive rather than reactive. This discussion analyzes three primary risks and the architectural safeguards implemented to mitigate them, aligning with international standards such as ISO 27001 and the GDPR framework.</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2. Security Risk 1: Unauthorized Access and Credential Exposure</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The most immediate security risk in a cloud-native pipeline is the mismanagement of authentication credentials.</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ParkinSync</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relies on multiple external integrations, including the Google Sheets API for data persistence and the Weatherbit API for environmental context. Traditionally, developers might hardcode API keys or service account JSON credentials directly into the Lambda source code or environment variables. This practice creates a significant vulnerability: if the source code is compromised or inadvertently shared via version control platforms such as GitHub, unauthorized actors could gain access to sensitive patient data or underlying cloud infrastructure, leading to serious security and privacy risks (NIST, 2020; OWASP, 2025).</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Mitigation via AWS Secrets Manager and IAM</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To eliminate this risk, the</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ParkinSync</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architecture enforces a "Zero Hardcoding Policy" by integrating AWS Secrets Manager. Instead of storing sensitive tokens in the code, they are vaulted in a centralized, encrypted repository managed by AWS. From a technical standpoint, this design utilizes AWS Key Management Service (KMS) to provide envelope encryption for the secrets. At runtime, the Lambda function performs an authorized API call to Secrets Manager to retrieve the necessary credentials.</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This process is governed by the Principle of Least Privilege (PoLP) via AWS Identity and Access Management (IAM). The Lambda execution role is explicitly restricted to only read specific secrets, preventing lateral movement within the AWS environment even if the function code is exploited. Ethically, this approach fulfills the principle of Accountability. By using a managed service, every attempt to access the patient</w:t>
      </w:r>
      <w:r>
        <w:rPr>
          <w:rFonts w:ascii="Times New Roman" w:hAnsi="Times New Roman" w:hint="default"/>
          <w:outline w:val="0"/>
          <w:color w:val="202122"/>
          <w:shd w:val="clear" w:color="auto" w:fill="ffffff"/>
          <w:rtl w:val="1"/>
          <w14:textFill>
            <w14:solidFill>
              <w14:srgbClr w14:val="202122"/>
            </w14:solidFill>
          </w14:textFill>
        </w:rPr>
        <w:t>’</w:t>
      </w:r>
      <w:r>
        <w:rPr>
          <w:rFonts w:ascii="Times New Roman" w:hAnsi="Times New Roman"/>
          <w:outline w:val="0"/>
          <w:color w:val="202122"/>
          <w:shd w:val="clear" w:color="auto" w:fill="ffffff"/>
          <w:rtl w:val="0"/>
          <w:lang w:val="en-US"/>
          <w14:textFill>
            <w14:solidFill>
              <w14:srgbClr w14:val="202122"/>
            </w14:solidFill>
          </w14:textFill>
        </w:rPr>
        <w:t>s data credentials is logged via AWS CloudTrail. This creates an immutable audit trail, ensuring system transparency and immediate detection of any unauthorized access attempts. This architecture aligns with the OWASP Top 10 (A01:2025 - Broken Access Control) and the ISO 27001 Access Control domain, providing a professional-grade security posture for home-care informatics (Amazon Web Services, 2026). This approach aligns with the access control and audit requirements defined in ISO/IEC 27001 (2022).</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3. Ethical Risk 2: Algorithmic Inaccuracy and Automation Bias</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In any healthcare system utilizing Optical Character Recognition (OCR), a primary ethical concern is the risk of algorithmic inaccuracy. While Amazon Textract offers high precision in handwriting recognition, it is not infallible. Such risks are consistent with broader concerns regarding errors and safety in health AI systems (World Health Organization, 2021). A misinterpretation of a caregiver</w:t>
      </w:r>
      <w:r>
        <w:rPr>
          <w:rFonts w:ascii="Times New Roman" w:hAnsi="Times New Roman" w:hint="default"/>
          <w:outline w:val="0"/>
          <w:color w:val="202122"/>
          <w:shd w:val="clear" w:color="auto" w:fill="ffffff"/>
          <w:rtl w:val="1"/>
          <w14:textFill>
            <w14:solidFill>
              <w14:srgbClr w14:val="202122"/>
            </w14:solidFill>
          </w14:textFill>
        </w:rPr>
        <w:t>’</w:t>
      </w:r>
      <w:r>
        <w:rPr>
          <w:rFonts w:ascii="Times New Roman" w:hAnsi="Times New Roman"/>
          <w:outline w:val="0"/>
          <w:color w:val="202122"/>
          <w:shd w:val="clear" w:color="auto" w:fill="ffffff"/>
          <w:rtl w:val="0"/>
          <w:lang w:val="en-US"/>
          <w14:textFill>
            <w14:solidFill>
              <w14:srgbClr w14:val="202122"/>
            </w14:solidFill>
          </w14:textFill>
        </w:rPr>
        <w:t xml:space="preserve">s log, such as recording "EC-Doparl taken at 08:00" as </w:t>
      </w:r>
      <w:r>
        <w:rPr>
          <w:rFonts w:ascii="Times New Roman" w:hAnsi="Times New Roman" w:hint="default"/>
          <w:outline w:val="0"/>
          <w:color w:val="202122"/>
          <w:shd w:val="clear" w:color="auto" w:fill="ffffff"/>
          <w:rtl w:val="1"/>
          <w:lang w:val="ar-SA" w:bidi="ar-SA"/>
          <w14:textFill>
            <w14:solidFill>
              <w14:srgbClr w14:val="202122"/>
            </w14:solidFill>
          </w14:textFill>
        </w:rPr>
        <w:t>“</w:t>
      </w:r>
      <w:r>
        <w:rPr>
          <w:rFonts w:ascii="Times New Roman" w:hAnsi="Times New Roman"/>
          <w:outline w:val="0"/>
          <w:color w:val="202122"/>
          <w:shd w:val="clear" w:color="auto" w:fill="ffffff"/>
          <w:rtl w:val="0"/>
          <w:lang w:val="en-US"/>
          <w14:textFill>
            <w14:solidFill>
              <w14:srgbClr w14:val="202122"/>
            </w14:solidFill>
          </w14:textFill>
        </w:rPr>
        <w:t>09:00," could lead to flawed longitudinal data. This poses the risk of Automation Bias, in which clinicians or family members might uncritically accept digitized data, leading to inappropriate changes in medication dosages or clinical interventions (Goddard et al., 2012).</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Mitigation: The Human-in-the-Loop (HITL) Framework</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To mitigate this risk,</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ParkinSync</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is strictly defined in its architecture as a Clinical Decision Support System (CDSS) rather than an autonomous medical device. The design incorporates a Human-in-the-Loop (HITL) model, where the extracted data is synchronized to a transparent Google Sheets interface. This allows a designated "Verifier" (such as a family member or lead nurse) to cross-reference the digital entries with the original analog logs.</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By facilitating this manual verification step, the system ensures Non-maleficence (avoiding harm to the patient) and adheres to the GDPR</w:t>
      </w:r>
      <w:r>
        <w:rPr>
          <w:rFonts w:ascii="Times New Roman" w:hAnsi="Times New Roman" w:hint="default"/>
          <w:outline w:val="0"/>
          <w:color w:val="202122"/>
          <w:shd w:val="clear" w:color="auto" w:fill="ffffff"/>
          <w:rtl w:val="1"/>
          <w14:textFill>
            <w14:solidFill>
              <w14:srgbClr w14:val="202122"/>
            </w14:solidFill>
          </w14:textFill>
        </w:rPr>
        <w:t>’</w:t>
      </w:r>
      <w:r>
        <w:rPr>
          <w:rFonts w:ascii="Times New Roman" w:hAnsi="Times New Roman"/>
          <w:outline w:val="0"/>
          <w:color w:val="202122"/>
          <w:shd w:val="clear" w:color="auto" w:fill="ffffff"/>
          <w:rtl w:val="0"/>
          <w:lang w:val="en-US"/>
          <w14:textFill>
            <w14:solidFill>
              <w14:srgbClr w14:val="202122"/>
            </w14:solidFill>
          </w14:textFill>
        </w:rPr>
        <w:t>s "Right to Explanation." The system</w:t>
      </w:r>
      <w:r>
        <w:rPr>
          <w:rFonts w:ascii="Times New Roman" w:hAnsi="Times New Roman" w:hint="default"/>
          <w:outline w:val="0"/>
          <w:color w:val="202122"/>
          <w:shd w:val="clear" w:color="auto" w:fill="ffffff"/>
          <w:rtl w:val="1"/>
          <w14:textFill>
            <w14:solidFill>
              <w14:srgbClr w14:val="202122"/>
            </w14:solidFill>
          </w14:textFill>
        </w:rPr>
        <w:t>’</w:t>
      </w:r>
      <w:r>
        <w:rPr>
          <w:rFonts w:ascii="Times New Roman" w:hAnsi="Times New Roman"/>
          <w:outline w:val="0"/>
          <w:color w:val="202122"/>
          <w:shd w:val="clear" w:color="auto" w:fill="ffffff"/>
          <w:rtl w:val="0"/>
          <w:lang w:val="en-US"/>
          <w14:textFill>
            <w14:solidFill>
              <w14:srgbClr w14:val="202122"/>
            </w14:solidFill>
          </w14:textFill>
        </w:rPr>
        <w:t>s role is to reduce the administrative burden of data entry, but the final clinical authority remains with human judgment. This design decision directly consistent with the broader literature on algorithmic fairness in health AI systems.</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4. Ethical/Social Risk 3: Caregiver Privacy and the "Surveillance" Concern</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The digitization of home-care logs introduces a subtle yet profound social-ethical risk: the perception of workplace surveillance. Professional caregivers, such as visiting nurses and home-helpers, may feel that their performance is being minutely monitored and evaluated by the system. This perception can lead to psychological stress, reduced trust between the caregiver and the family, or even intentional data omission to avoid scrutiny.</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Mitigation: Informed Consent and Data Anonymization</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ParkinSync</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addresses this through a robust framework of Informed Consent and Data Minimization. Before implementing the system, an ethical orientation is required for all care staff, clarifying that the system</w:t>
      </w:r>
      <w:r>
        <w:rPr>
          <w:rFonts w:ascii="Times New Roman" w:hAnsi="Times New Roman" w:hint="default"/>
          <w:outline w:val="0"/>
          <w:color w:val="202122"/>
          <w:shd w:val="clear" w:color="auto" w:fill="ffffff"/>
          <w:rtl w:val="1"/>
          <w14:textFill>
            <w14:solidFill>
              <w14:srgbClr w14:val="202122"/>
            </w14:solidFill>
          </w14:textFill>
        </w:rPr>
        <w:t>’</w:t>
      </w:r>
      <w:r>
        <w:rPr>
          <w:rFonts w:ascii="Times New Roman" w:hAnsi="Times New Roman"/>
          <w:outline w:val="0"/>
          <w:color w:val="202122"/>
          <w:shd w:val="clear" w:color="auto" w:fill="ffffff"/>
          <w:rtl w:val="0"/>
          <w:lang w:val="en-US"/>
          <w14:textFill>
            <w14:solidFill>
              <w14:srgbClr w14:val="202122"/>
            </w14:solidFill>
          </w14:textFill>
        </w:rPr>
        <w:t>s objective is to identify physiological and environmental trends (e.g., the correlation between weather and "OFF" periods) rather than to evaluate caregiver performance.</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Furthermore, the system design prioritizes Data Anonymization. Before the datasets are ingested into Amazon SageMaker for higher-level analysis, Personally Identifiable Information (PII) of the caregivers is stripped from the records. This ensures that the focus of the analytics remains on the patient</w:t>
      </w:r>
      <w:r>
        <w:rPr>
          <w:rFonts w:ascii="Times New Roman" w:hAnsi="Times New Roman" w:hint="default"/>
          <w:outline w:val="0"/>
          <w:color w:val="202122"/>
          <w:shd w:val="clear" w:color="auto" w:fill="ffffff"/>
          <w:rtl w:val="1"/>
          <w14:textFill>
            <w14:solidFill>
              <w14:srgbClr w14:val="202122"/>
            </w14:solidFill>
          </w14:textFill>
        </w:rPr>
        <w:t>’</w:t>
      </w:r>
      <w:r>
        <w:rPr>
          <w:rFonts w:ascii="Times New Roman" w:hAnsi="Times New Roman"/>
          <w:outline w:val="0"/>
          <w:color w:val="202122"/>
          <w:shd w:val="clear" w:color="auto" w:fill="ffffff"/>
          <w:rtl w:val="0"/>
          <w:lang w:val="en-US"/>
          <w14:textFill>
            <w14:solidFill>
              <w14:srgbClr w14:val="202122"/>
            </w14:solidFill>
          </w14:textFill>
        </w:rPr>
        <w:t>s symptoms and environmental variables, respecting the care team's autonomy and privacy while fulfilling the project's clinical goals (Ho et al., 2024; World Health Organization, 2021). This approach aligns with the GDPR principle of Privacy by Design, ensuring that the data collected is proportionate to the clinical objective.</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5. Concrete Example: AWS KMS and GDPR Compliance</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A concrete example of how</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ParkinSync</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supports both ethical integrity and secure operation is the implementation of AWS Key Management Service (KMS) for data-at-rest encryption. Under the GDPR (Article 32), organizations are required to implement appropriate technical measures to ensure a level of security appropriate to the risk, specifically mentioning the encryption of personal data.</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14:textFill>
            <w14:solidFill>
              <w14:srgbClr w14:val="202122"/>
            </w14:solidFill>
          </w14:textFill>
        </w:rPr>
        <w:t>In</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ParkinSync</w:t>
      </w:r>
      <w:r>
        <w:rPr>
          <w:rFonts w:ascii="Times New Roman" w:hAnsi="Times New Roman"/>
          <w:outline w:val="0"/>
          <w:color w:val="202122"/>
          <w:shd w:val="clear" w:color="auto" w:fill="ffffff"/>
          <w:rtl w:val="0"/>
          <w:lang w:val="en-US"/>
          <w14:textFill>
            <w14:solidFill>
              <w14:srgbClr w14:val="202122"/>
            </w14:solidFill>
          </w14:textFill>
        </w:rPr>
        <w:t>, every artifact stored in the Amazon S3 "Ingestion Bucket" is encrypted using a customer-managed key (CMK). This design choice supports Security by ensuring that even if the physical storage media were compromised, the data remains unreadable without the specific cryptographic key. Simultaneously, it supports Ethical Integrity by fulfilling the project's commitment to the patient</w:t>
      </w:r>
      <w:r>
        <w:rPr>
          <w:rFonts w:ascii="Times New Roman" w:hAnsi="Times New Roman" w:hint="default"/>
          <w:outline w:val="0"/>
          <w:color w:val="202122"/>
          <w:shd w:val="clear" w:color="auto" w:fill="ffffff"/>
          <w:rtl w:val="1"/>
          <w14:textFill>
            <w14:solidFill>
              <w14:srgbClr w14:val="202122"/>
            </w14:solidFill>
          </w14:textFill>
        </w:rPr>
        <w:t>’</w:t>
      </w:r>
      <w:r>
        <w:rPr>
          <w:rFonts w:ascii="Times New Roman" w:hAnsi="Times New Roman"/>
          <w:outline w:val="0"/>
          <w:color w:val="202122"/>
          <w:shd w:val="clear" w:color="auto" w:fill="ffffff"/>
          <w:rtl w:val="0"/>
          <w:lang w:val="en-US"/>
          <w14:textFill>
            <w14:solidFill>
              <w14:srgbClr w14:val="202122"/>
            </w14:solidFill>
          </w14:textFill>
        </w:rPr>
        <w:t>s right to privacy. By using AWS KMS, the system can also implement automatic key rotation, a requirement of ISO 27001 (Annex A.10), thereby maintaining a high security posture over the long term without manual intervention. This synthesis of technical encryption and regulatory compliance demonstrates a mature approach to health informatics (European Union, 2016; ISO/IEC 27001, 2022).</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en-US"/>
          <w14:textFill>
            <w14:solidFill>
              <w14:srgbClr w14:val="202122"/>
            </w14:solidFill>
          </w14:textFill>
        </w:rPr>
        <w:t>6. Conclusion: Synthesizing Security and Ethics in Rural Healthcare</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In conclusion, the</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ParkinSync</w:t>
      </w:r>
      <w:r>
        <w:rPr>
          <w:rFonts w:ascii="Times New Roman" w:hAnsi="Times New Roman" w:hint="default"/>
          <w:b w:val="1"/>
          <w:bCs w:val="1"/>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project demonstrates that technical innovation in healthcare informatics must be balanced with rigorous ethical and security standards. By embedding AWS Secrets Manager for secure credential management, adopting a Human-in-the-Loop model to mitigate algorithmic errors, and ensuring informed consent for caregivers, the system architecture addresses the core pillars of the CIA Triad (Confidentiality, Integrity, and Availability) while respecting the human elements of caregiving. These considerations reinforce the importance of non-functional requirements such as security, usability, and reliability in determining overall system quality (Letaw, 2024).</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Aligning with international frameworks such as ISO 27001, GDPR, and OWASP,</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b w:val="1"/>
          <w:bCs w:val="1"/>
          <w:outline w:val="0"/>
          <w:color w:val="202122"/>
          <w:shd w:val="clear" w:color="auto" w:fill="ffffff"/>
          <w:rtl w:val="0"/>
          <w:lang w:val="en-US"/>
          <w14:textFill>
            <w14:solidFill>
              <w14:srgbClr w14:val="202122"/>
            </w14:solidFill>
          </w14:textFill>
        </w:rPr>
        <w:t>ParkinSync</w:t>
      </w:r>
      <w:r>
        <w:rPr>
          <w:rFonts w:ascii="Times New Roman" w:hAnsi="Times New Roman" w:hint="default"/>
          <w:b w:val="1"/>
          <w:bCs w:val="1"/>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provides a sustainable and secure model for bridging the analog-to-digital gap. Ultimately, integrating these principles ensures that the transition to data-driven Parkinson</w:t>
      </w:r>
      <w:r>
        <w:rPr>
          <w:rFonts w:ascii="Times New Roman" w:hAnsi="Times New Roman" w:hint="default"/>
          <w:outline w:val="0"/>
          <w:color w:val="202122"/>
          <w:shd w:val="clear" w:color="auto" w:fill="ffffff"/>
          <w:rtl w:val="1"/>
          <w14:textFill>
            <w14:solidFill>
              <w14:srgbClr w14:val="202122"/>
            </w14:solidFill>
          </w14:textFill>
        </w:rPr>
        <w:t>’</w:t>
      </w:r>
      <w:r>
        <w:rPr>
          <w:rFonts w:ascii="Times New Roman" w:hAnsi="Times New Roman"/>
          <w:outline w:val="0"/>
          <w:color w:val="202122"/>
          <w:shd w:val="clear" w:color="auto" w:fill="ffffff"/>
          <w:rtl w:val="0"/>
          <w:lang w:val="en-US"/>
          <w14:textFill>
            <w14:solidFill>
              <w14:srgbClr w14:val="202122"/>
            </w14:solidFill>
          </w14:textFill>
        </w:rPr>
        <w:t>s management empowers both patients and caregivers, fostering an environment in which technology serves as a reliable ally in improving clinical outcomes without compromising the fundamental values of privacy and safety.</w:t>
      </w:r>
    </w:p>
    <w:p>
      <w:pPr>
        <w:pStyle w:val="デフォルト"/>
        <w:bidi w:val="0"/>
        <w:spacing w:before="0" w:after="380" w:line="480" w:lineRule="auto"/>
        <w:ind w:left="0" w:right="0" w:firstLine="0"/>
        <w:jc w:val="left"/>
        <w:rPr>
          <w:rFonts w:ascii="Times New Roman" w:cs="Times New Roman" w:hAnsi="Times New Roman" w:eastAsia="Times New Roman"/>
          <w:b w:val="0"/>
          <w:bCs w:val="0"/>
          <w:outline w:val="0"/>
          <w:color w:val="202122"/>
          <w:shd w:val="clear" w:color="auto" w:fill="ffffff"/>
          <w:rtl w:val="0"/>
          <w14:textFill>
            <w14:solidFill>
              <w14:srgbClr w14:val="202122"/>
            </w14:solidFill>
          </w14:textFill>
        </w:rPr>
      </w:pPr>
      <w:r>
        <w:rPr>
          <w:rFonts w:ascii="Times New Roman" w:hAnsi="Times New Roman"/>
          <w:b w:val="1"/>
          <w:bCs w:val="1"/>
          <w:outline w:val="0"/>
          <w:color w:val="202122"/>
          <w:shd w:val="clear" w:color="auto" w:fill="ffffff"/>
          <w:rtl w:val="0"/>
          <w:lang w:val="fr-FR"/>
          <w14:textFill>
            <w14:solidFill>
              <w14:srgbClr w14:val="202122"/>
            </w14:solidFill>
          </w14:textFill>
        </w:rPr>
        <w:t>References</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Amazon Web Services. (2026).</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Navigating GDPR compliance on AWS.</w:t>
      </w:r>
      <w:r>
        <w:rPr>
          <w:rFonts w:ascii="Times New Roman" w:cs="Times New Roman" w:hAnsi="Times New Roman" w:eastAsia="Times New Roman"/>
          <w:outline w:val="0"/>
          <w:color w:val="202122"/>
          <w:shd w:val="clear" w:color="auto" w:fill="ffffff"/>
          <w:rtl w:val="0"/>
          <w14:textFill>
            <w14:solidFill>
              <w14:srgbClr w14:val="202122"/>
            </w14:solidFill>
          </w14:textFill>
        </w:rPr>
        <w:br w:type="textWrapping"/>
      </w:r>
      <w:r>
        <w:rPr>
          <w:rStyle w:val="Hyperlink.0"/>
          <w:rFonts w:ascii="Times New Roman" w:cs="Times New Roman" w:hAnsi="Times New Roman" w:eastAsia="Times New Roman"/>
          <w:outline w:val="0"/>
          <w:color w:val="006fbf"/>
          <w:shd w:val="clear" w:color="auto" w:fill="ffffff"/>
          <w:rtl w:val="0"/>
          <w14:textFill>
            <w14:solidFill>
              <w14:srgbClr w14:val="006FBF"/>
            </w14:solidFill>
          </w14:textFill>
        </w:rPr>
        <w:fldChar w:fldCharType="begin" w:fldLock="0"/>
      </w:r>
      <w:r>
        <w:rPr>
          <w:rStyle w:val="Hyperlink.0"/>
          <w:rFonts w:ascii="Times New Roman" w:cs="Times New Roman" w:hAnsi="Times New Roman" w:eastAsia="Times New Roman"/>
          <w:outline w:val="0"/>
          <w:color w:val="006fbf"/>
          <w:shd w:val="clear" w:color="auto" w:fill="ffffff"/>
          <w:rtl w:val="0"/>
          <w14:textFill>
            <w14:solidFill>
              <w14:srgbClr w14:val="006FBF"/>
            </w14:solidFill>
          </w14:textFill>
        </w:rPr>
        <w:instrText xml:space="preserve"> HYPERLINK "https://docs.aws.amazon.com/whitepapers/latest/navigating-gdpr-compliance/navigating-gdpr-compliance.pdf"</w:instrText>
      </w:r>
      <w:r>
        <w:rPr>
          <w:rStyle w:val="Hyperlink.0"/>
          <w:rFonts w:ascii="Times New Roman" w:cs="Times New Roman" w:hAnsi="Times New Roman" w:eastAsia="Times New Roman"/>
          <w:outline w:val="0"/>
          <w:color w:val="006fbf"/>
          <w:shd w:val="clear" w:color="auto" w:fill="ffffff"/>
          <w:rtl w:val="0"/>
          <w14:textFill>
            <w14:solidFill>
              <w14:srgbClr w14:val="006FBF"/>
            </w14:solidFill>
          </w14:textFill>
        </w:rPr>
        <w:fldChar w:fldCharType="separate" w:fldLock="0"/>
      </w:r>
      <w:r>
        <w:rPr>
          <w:rStyle w:val="Hyperlink.0"/>
          <w:rFonts w:ascii="Times New Roman" w:hAnsi="Times New Roman"/>
          <w:outline w:val="0"/>
          <w:color w:val="006fbf"/>
          <w:shd w:val="clear" w:color="auto" w:fill="ffffff"/>
          <w:rtl w:val="0"/>
          <w:lang w:val="en-US"/>
          <w14:textFill>
            <w14:solidFill>
              <w14:srgbClr w14:val="006FBF"/>
            </w14:solidFill>
          </w14:textFill>
        </w:rPr>
        <w:t>https://docs.aws.amazon.com/whitepapers/latest/navigating-gdpr-compliance/navigating-gdpr-compliance.pdf</w:t>
      </w:r>
      <w:r>
        <w:rPr>
          <w:rFonts w:ascii="Times New Roman" w:cs="Times New Roman" w:hAnsi="Times New Roman" w:eastAsia="Times New Roman"/>
          <w:outline w:val="0"/>
          <w:color w:val="006fbf"/>
          <w:shd w:val="clear" w:color="auto" w:fill="ffffff"/>
          <w:rtl w:val="0"/>
          <w14:textFill>
            <w14:solidFill>
              <w14:srgbClr w14:val="006FBF"/>
            </w14:solidFill>
          </w14:textFill>
        </w:rPr>
        <w:fldChar w:fldCharType="end" w:fldLock="0"/>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it-IT"/>
          <w14:textFill>
            <w14:solidFill>
              <w14:srgbClr w14:val="202122"/>
            </w14:solidFill>
          </w14:textFill>
        </w:rPr>
        <w:t>European Union. (2016).</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Regulation (EU) 2016/679 of the European Parliament and of the Council (General Data Protection Regulation).</w:t>
      </w:r>
      <w:r>
        <w:rPr>
          <w:rFonts w:ascii="Times New Roman" w:cs="Times New Roman" w:hAnsi="Times New Roman" w:eastAsia="Times New Roman"/>
          <w:outline w:val="0"/>
          <w:color w:val="202122"/>
          <w:shd w:val="clear" w:color="auto" w:fill="ffffff"/>
          <w:rtl w:val="0"/>
          <w14:textFill>
            <w14:solidFill>
              <w14:srgbClr w14:val="202122"/>
            </w14:solidFill>
          </w14:textFill>
        </w:rPr>
        <w:br w:type="textWrapping"/>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begin" w:fldLock="0"/>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instrText xml:space="preserve"> HYPERLINK "https://eur-lex.europa.eu/eli/reg/2016/679/oj"</w:instrText>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separate" w:fldLock="0"/>
      </w:r>
      <w:r>
        <w:rPr>
          <w:rStyle w:val="Hyperlink.1"/>
          <w:rFonts w:ascii="Times New Roman" w:hAnsi="Times New Roman"/>
          <w:outline w:val="0"/>
          <w:color w:val="006fbf"/>
          <w:shd w:val="clear" w:color="auto" w:fill="ffffff"/>
          <w:rtl w:val="0"/>
          <w:lang w:val="en-US"/>
          <w14:textFill>
            <w14:solidFill>
              <w14:srgbClr w14:val="006FBF"/>
            </w14:solidFill>
          </w14:textFill>
        </w:rPr>
        <w:t>https://eur-lex.europa.eu/eli/reg/2016/679/oj</w:t>
      </w:r>
      <w:r>
        <w:rPr>
          <w:rFonts w:ascii="Times New Roman" w:cs="Times New Roman" w:hAnsi="Times New Roman" w:eastAsia="Times New Roman"/>
          <w:outline w:val="0"/>
          <w:color w:val="202122"/>
          <w:shd w:val="clear" w:color="auto" w:fill="ffffff"/>
          <w:rtl w:val="0"/>
          <w14:textFill>
            <w14:solidFill>
              <w14:srgbClr w14:val="202122"/>
            </w14:solidFill>
          </w14:textFill>
        </w:rPr>
        <w:fldChar w:fldCharType="end" w:fldLock="0"/>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it-IT"/>
          <w14:textFill>
            <w14:solidFill>
              <w14:srgbClr w14:val="202122"/>
            </w14:solidFill>
          </w14:textFill>
        </w:rPr>
        <w:t>Goddard, K., Roudsari, A., &amp; Wyatt, J. C. (2012).</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Automation bias: A systematic review of frequency, effect mediators, and mitigators. Journal of the American Medical Informatics Association, 19(1), 121</w:t>
      </w:r>
      <w:r>
        <w:rPr>
          <w:rFonts w:ascii="Times New Roman" w:hAnsi="Times New Roman" w:hint="default"/>
          <w:outline w:val="0"/>
          <w:color w:val="202122"/>
          <w:shd w:val="clear" w:color="auto" w:fill="ffffff"/>
          <w:rtl w:val="0"/>
          <w14:textFill>
            <w14:solidFill>
              <w14:srgbClr w14:val="202122"/>
            </w14:solidFill>
          </w14:textFill>
        </w:rPr>
        <w:t>–</w:t>
      </w:r>
      <w:r>
        <w:rPr>
          <w:rFonts w:ascii="Times New Roman" w:hAnsi="Times New Roman"/>
          <w:outline w:val="0"/>
          <w:color w:val="202122"/>
          <w:shd w:val="clear" w:color="auto" w:fill="ffffff"/>
          <w:rtl w:val="0"/>
          <w14:textFill>
            <w14:solidFill>
              <w14:srgbClr w14:val="202122"/>
            </w14:solidFill>
          </w14:textFill>
        </w:rPr>
        <w:t>127.</w:t>
      </w:r>
      <w:r>
        <w:rPr>
          <w:rFonts w:ascii="Times New Roman" w:cs="Times New Roman" w:hAnsi="Times New Roman" w:eastAsia="Times New Roman"/>
          <w:outline w:val="0"/>
          <w:color w:val="202122"/>
          <w:shd w:val="clear" w:color="auto" w:fill="ffffff"/>
          <w:rtl w:val="0"/>
          <w14:textFill>
            <w14:solidFill>
              <w14:srgbClr w14:val="202122"/>
            </w14:solidFill>
          </w14:textFill>
        </w:rPr>
        <w:br w:type="textWrapping"/>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begin" w:fldLock="0"/>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instrText xml:space="preserve"> HYPERLINK "https://doi.org/10.1136/amiajnl-2011-000089"</w:instrText>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separate" w:fldLock="0"/>
      </w:r>
      <w:r>
        <w:rPr>
          <w:rStyle w:val="Hyperlink.1"/>
          <w:rFonts w:ascii="Times New Roman" w:hAnsi="Times New Roman"/>
          <w:outline w:val="0"/>
          <w:color w:val="006fbf"/>
          <w:shd w:val="clear" w:color="auto" w:fill="ffffff"/>
          <w:rtl w:val="0"/>
          <w:lang w:val="nl-NL"/>
          <w14:textFill>
            <w14:solidFill>
              <w14:srgbClr w14:val="006FBF"/>
            </w14:solidFill>
          </w14:textFill>
        </w:rPr>
        <w:t>https://doi.org/10.1136/amiajnl-2011-000089</w:t>
      </w:r>
      <w:r>
        <w:rPr>
          <w:rFonts w:ascii="Times New Roman" w:cs="Times New Roman" w:hAnsi="Times New Roman" w:eastAsia="Times New Roman"/>
          <w:outline w:val="0"/>
          <w:color w:val="202122"/>
          <w:shd w:val="clear" w:color="auto" w:fill="ffffff"/>
          <w:rtl w:val="0"/>
          <w14:textFill>
            <w14:solidFill>
              <w14:srgbClr w14:val="202122"/>
            </w14:solidFill>
          </w14:textFill>
        </w:rPr>
        <w:fldChar w:fldCharType="end" w:fldLock="0"/>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Ho, A., Bavli, I., Mahal, R., &amp; McKeown, M. J. (2024).</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Multi-level ethical considerations of artificial intelligence health monitoring for people living with Parkinson</w:t>
      </w:r>
      <w:r>
        <w:rPr>
          <w:rFonts w:ascii="Times New Roman" w:hAnsi="Times New Roman" w:hint="default"/>
          <w:outline w:val="0"/>
          <w:color w:val="202122"/>
          <w:shd w:val="clear" w:color="auto" w:fill="ffffff"/>
          <w:rtl w:val="1"/>
          <w14:textFill>
            <w14:solidFill>
              <w14:srgbClr w14:val="202122"/>
            </w14:solidFill>
          </w14:textFill>
        </w:rPr>
        <w:t>’</w:t>
      </w:r>
      <w:r>
        <w:rPr>
          <w:rFonts w:ascii="Times New Roman" w:hAnsi="Times New Roman"/>
          <w:outline w:val="0"/>
          <w:color w:val="202122"/>
          <w:shd w:val="clear" w:color="auto" w:fill="ffffff"/>
          <w:rtl w:val="0"/>
          <w:lang w:val="en-US"/>
          <w14:textFill>
            <w14:solidFill>
              <w14:srgbClr w14:val="202122"/>
            </w14:solidFill>
          </w14:textFill>
        </w:rPr>
        <w:t>s disease.</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AJOB Empirical Bioethics, 15(3), 178</w:t>
      </w:r>
      <w:r>
        <w:rPr>
          <w:rFonts w:ascii="Times New Roman" w:hAnsi="Times New Roman" w:hint="default"/>
          <w:outline w:val="0"/>
          <w:color w:val="202122"/>
          <w:shd w:val="clear" w:color="auto" w:fill="ffffff"/>
          <w:rtl w:val="0"/>
          <w14:textFill>
            <w14:solidFill>
              <w14:srgbClr w14:val="202122"/>
            </w14:solidFill>
          </w14:textFill>
        </w:rPr>
        <w:t>–</w:t>
      </w:r>
      <w:r>
        <w:rPr>
          <w:rFonts w:ascii="Times New Roman" w:hAnsi="Times New Roman"/>
          <w:outline w:val="0"/>
          <w:color w:val="202122"/>
          <w:shd w:val="clear" w:color="auto" w:fill="ffffff"/>
          <w:rtl w:val="0"/>
          <w14:textFill>
            <w14:solidFill>
              <w14:srgbClr w14:val="202122"/>
            </w14:solidFill>
          </w14:textFill>
        </w:rPr>
        <w:t>191.</w:t>
      </w:r>
      <w:r>
        <w:rPr>
          <w:rFonts w:ascii="Times New Roman" w:cs="Times New Roman" w:hAnsi="Times New Roman" w:eastAsia="Times New Roman"/>
          <w:outline w:val="0"/>
          <w:color w:val="202122"/>
          <w:shd w:val="clear" w:color="auto" w:fill="ffffff"/>
          <w:rtl w:val="0"/>
          <w14:textFill>
            <w14:solidFill>
              <w14:srgbClr w14:val="202122"/>
            </w14:solidFill>
          </w14:textFill>
        </w:rPr>
        <w:br w:type="textWrapping"/>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begin" w:fldLock="0"/>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instrText xml:space="preserve"> HYPERLINK "https://doi.org/10.1080/23294515.2023.2274582"</w:instrText>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separate" w:fldLock="0"/>
      </w:r>
      <w:r>
        <w:rPr>
          <w:rStyle w:val="Hyperlink.1"/>
          <w:rFonts w:ascii="Times New Roman" w:hAnsi="Times New Roman"/>
          <w:outline w:val="0"/>
          <w:color w:val="006fbf"/>
          <w:shd w:val="clear" w:color="auto" w:fill="ffffff"/>
          <w:rtl w:val="0"/>
          <w:lang w:val="en-US"/>
          <w14:textFill>
            <w14:solidFill>
              <w14:srgbClr w14:val="006FBF"/>
            </w14:solidFill>
          </w14:textFill>
        </w:rPr>
        <w:t>https://doi.org/10.1080/23294515.2023.2274582</w:t>
      </w:r>
      <w:r>
        <w:rPr>
          <w:rFonts w:ascii="Times New Roman" w:cs="Times New Roman" w:hAnsi="Times New Roman" w:eastAsia="Times New Roman"/>
          <w:outline w:val="0"/>
          <w:color w:val="202122"/>
          <w:shd w:val="clear" w:color="auto" w:fill="ffffff"/>
          <w:rtl w:val="0"/>
          <w14:textFill>
            <w14:solidFill>
              <w14:srgbClr w14:val="202122"/>
            </w14:solidFill>
          </w14:textFill>
        </w:rPr>
        <w:fldChar w:fldCharType="end" w:fldLock="0"/>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International Organization for Standardization. (2023). ISO/IEC 25010:2023</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 xml:space="preserve">Systems and software engineering </w:t>
      </w:r>
      <w:r>
        <w:rPr>
          <w:rFonts w:ascii="Times New Roman" w:hAnsi="Times New Roman" w:hint="default"/>
          <w:outline w:val="0"/>
          <w:color w:val="202122"/>
          <w:shd w:val="clear" w:color="auto" w:fill="ffffff"/>
          <w:rtl w:val="0"/>
          <w:lang w:val="en-US"/>
          <w14:textFill>
            <w14:solidFill>
              <w14:srgbClr w14:val="202122"/>
            </w14:solidFill>
          </w14:textFill>
        </w:rPr>
        <w:t xml:space="preserve">— </w:t>
      </w:r>
      <w:r>
        <w:rPr>
          <w:rFonts w:ascii="Times New Roman" w:hAnsi="Times New Roman"/>
          <w:outline w:val="0"/>
          <w:color w:val="202122"/>
          <w:shd w:val="clear" w:color="auto" w:fill="ffffff"/>
          <w:rtl w:val="0"/>
          <w:lang w:val="en-US"/>
          <w14:textFill>
            <w14:solidFill>
              <w14:srgbClr w14:val="202122"/>
            </w14:solidFill>
          </w14:textFill>
        </w:rPr>
        <w:t xml:space="preserve">Systems and software Quality Requirements and Evaluation (SQuaRE) </w:t>
      </w:r>
      <w:r>
        <w:rPr>
          <w:rFonts w:ascii="Times New Roman" w:hAnsi="Times New Roman" w:hint="default"/>
          <w:outline w:val="0"/>
          <w:color w:val="202122"/>
          <w:shd w:val="clear" w:color="auto" w:fill="ffffff"/>
          <w:rtl w:val="0"/>
          <w:lang w:val="en-US"/>
          <w14:textFill>
            <w14:solidFill>
              <w14:srgbClr w14:val="202122"/>
            </w14:solidFill>
          </w14:textFill>
        </w:rPr>
        <w:t xml:space="preserve">— </w:t>
      </w:r>
      <w:r>
        <w:rPr>
          <w:rFonts w:ascii="Times New Roman" w:hAnsi="Times New Roman"/>
          <w:outline w:val="0"/>
          <w:color w:val="202122"/>
          <w:shd w:val="clear" w:color="auto" w:fill="ffffff"/>
          <w:rtl w:val="0"/>
          <w:lang w:val="en-US"/>
          <w14:textFill>
            <w14:solidFill>
              <w14:srgbClr w14:val="202122"/>
            </w14:solidFill>
          </w14:textFill>
        </w:rPr>
        <w:t>Product quality model</w:t>
      </w:r>
      <w:r>
        <w:rPr>
          <w:rFonts w:ascii="Times New Roman" w:hAnsi="Times New Roman" w:hint="default"/>
          <w:outline w:val="0"/>
          <w:color w:val="202122"/>
          <w:shd w:val="clear" w:color="auto" w:fill="ffffff"/>
          <w:rtl w:val="0"/>
          <w14:textFill>
            <w14:solidFill>
              <w14:srgbClr w14:val="202122"/>
            </w14:solidFill>
          </w14:textFill>
        </w:rPr>
        <w:t> </w:t>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begin" w:fldLock="0"/>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instrText xml:space="preserve"> HYPERLINK "https://www.iso.org/standard/78176.html"</w:instrText>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separate" w:fldLock="0"/>
      </w:r>
      <w:r>
        <w:rPr>
          <w:rStyle w:val="Hyperlink.1"/>
          <w:rFonts w:ascii="Times New Roman" w:hAnsi="Times New Roman"/>
          <w:outline w:val="0"/>
          <w:color w:val="006fbf"/>
          <w:shd w:val="clear" w:color="auto" w:fill="ffffff"/>
          <w:rtl w:val="0"/>
          <w14:textFill>
            <w14:solidFill>
              <w14:srgbClr w14:val="006FBF"/>
            </w14:solidFill>
          </w14:textFill>
        </w:rPr>
        <w:t>https://www.iso.org/standard/78176.html</w:t>
      </w:r>
      <w:r>
        <w:rPr>
          <w:rFonts w:ascii="Times New Roman" w:cs="Times New Roman" w:hAnsi="Times New Roman" w:eastAsia="Times New Roman"/>
          <w:outline w:val="0"/>
          <w:color w:val="202122"/>
          <w:shd w:val="clear" w:color="auto" w:fill="ffffff"/>
          <w:rtl w:val="0"/>
          <w14:textFill>
            <w14:solidFill>
              <w14:srgbClr w14:val="202122"/>
            </w14:solidFill>
          </w14:textFill>
        </w:rPr>
        <w:fldChar w:fldCharType="end" w:fldLock="0"/>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International Organization for Standardization. (2022).</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 xml:space="preserve">ISO/IEC 27001:2022 Information security, cybersecurity and privacy protection </w:t>
      </w:r>
      <w:r>
        <w:rPr>
          <w:rFonts w:ascii="Times New Roman" w:hAnsi="Times New Roman" w:hint="default"/>
          <w:outline w:val="0"/>
          <w:color w:val="202122"/>
          <w:shd w:val="clear" w:color="auto" w:fill="ffffff"/>
          <w:rtl w:val="0"/>
          <w:lang w:val="en-US"/>
          <w14:textFill>
            <w14:solidFill>
              <w14:srgbClr w14:val="202122"/>
            </w14:solidFill>
          </w14:textFill>
        </w:rPr>
        <w:t xml:space="preserve">— </w:t>
      </w:r>
      <w:r>
        <w:rPr>
          <w:rFonts w:ascii="Times New Roman" w:hAnsi="Times New Roman"/>
          <w:outline w:val="0"/>
          <w:color w:val="202122"/>
          <w:shd w:val="clear" w:color="auto" w:fill="ffffff"/>
          <w:rtl w:val="0"/>
          <w:lang w:val="en-US"/>
          <w14:textFill>
            <w14:solidFill>
              <w14:srgbClr w14:val="202122"/>
            </w14:solidFill>
          </w14:textFill>
        </w:rPr>
        <w:t xml:space="preserve">Information security management systems </w:t>
      </w:r>
      <w:r>
        <w:rPr>
          <w:rFonts w:ascii="Times New Roman" w:hAnsi="Times New Roman" w:hint="default"/>
          <w:outline w:val="0"/>
          <w:color w:val="202122"/>
          <w:shd w:val="clear" w:color="auto" w:fill="ffffff"/>
          <w:rtl w:val="0"/>
          <w:lang w:val="en-US"/>
          <w14:textFill>
            <w14:solidFill>
              <w14:srgbClr w14:val="202122"/>
            </w14:solidFill>
          </w14:textFill>
        </w:rPr>
        <w:t xml:space="preserve">— </w:t>
      </w:r>
      <w:r>
        <w:rPr>
          <w:rFonts w:ascii="Times New Roman" w:hAnsi="Times New Roman"/>
          <w:outline w:val="0"/>
          <w:color w:val="202122"/>
          <w:shd w:val="clear" w:color="auto" w:fill="ffffff"/>
          <w:rtl w:val="0"/>
          <w:lang w:val="en-US"/>
          <w14:textFill>
            <w14:solidFill>
              <w14:srgbClr w14:val="202122"/>
            </w14:solidFill>
          </w14:textFill>
        </w:rPr>
        <w:t>Requirements</w:t>
      </w:r>
      <w:r>
        <w:rPr>
          <w:rFonts w:ascii="Times New Roman" w:hAnsi="Times New Roman" w:hint="default"/>
          <w:outline w:val="0"/>
          <w:color w:val="202122"/>
          <w:shd w:val="clear" w:color="auto" w:fill="ffffff"/>
          <w:rtl w:val="0"/>
          <w14:textFill>
            <w14:solidFill>
              <w14:srgbClr w14:val="202122"/>
            </w14:solidFill>
          </w14:textFill>
        </w:rPr>
        <w:t> </w:t>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begin" w:fldLock="0"/>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instrText xml:space="preserve"> HYPERLINK "https://www.iso.org/standard/27001"</w:instrText>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separate" w:fldLock="0"/>
      </w:r>
      <w:r>
        <w:rPr>
          <w:rStyle w:val="Hyperlink.1"/>
          <w:rFonts w:ascii="Times New Roman" w:hAnsi="Times New Roman"/>
          <w:outline w:val="0"/>
          <w:color w:val="006fbf"/>
          <w:shd w:val="clear" w:color="auto" w:fill="ffffff"/>
          <w:rtl w:val="0"/>
          <w14:textFill>
            <w14:solidFill>
              <w14:srgbClr w14:val="006FBF"/>
            </w14:solidFill>
          </w14:textFill>
        </w:rPr>
        <w:t>https://www.iso.org/standard/27001</w:t>
      </w:r>
      <w:r>
        <w:rPr>
          <w:rFonts w:ascii="Times New Roman" w:cs="Times New Roman" w:hAnsi="Times New Roman" w:eastAsia="Times New Roman"/>
          <w:outline w:val="0"/>
          <w:color w:val="202122"/>
          <w:shd w:val="clear" w:color="auto" w:fill="ffffff"/>
          <w:rtl w:val="0"/>
          <w14:textFill>
            <w14:solidFill>
              <w14:srgbClr w14:val="202122"/>
            </w14:solidFill>
          </w14:textFill>
        </w:rPr>
        <w:fldChar w:fldCharType="end" w:fldLock="0"/>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Letaw, L. (2024).</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Handbook of Software Engineering Methods. Oregon State University.</w:t>
      </w:r>
      <w:r>
        <w:rPr>
          <w:rFonts w:ascii="Times New Roman" w:cs="Times New Roman" w:hAnsi="Times New Roman" w:eastAsia="Times New Roman"/>
          <w:outline w:val="0"/>
          <w:color w:val="202122"/>
          <w:shd w:val="clear" w:color="auto" w:fill="ffffff"/>
          <w:rtl w:val="0"/>
          <w14:textFill>
            <w14:solidFill>
              <w14:srgbClr w14:val="202122"/>
            </w14:solidFill>
          </w14:textFill>
        </w:rPr>
        <w:br w:type="textWrapping"/>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begin" w:fldLock="0"/>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instrText xml:space="preserve"> HYPERLINK "https://open.oregonstate.education/setextbook/"</w:instrText>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separate" w:fldLock="0"/>
      </w:r>
      <w:r>
        <w:rPr>
          <w:rStyle w:val="Hyperlink.1"/>
          <w:rFonts w:ascii="Times New Roman" w:hAnsi="Times New Roman"/>
          <w:outline w:val="0"/>
          <w:color w:val="006fbf"/>
          <w:shd w:val="clear" w:color="auto" w:fill="ffffff"/>
          <w:rtl w:val="0"/>
          <w:lang w:val="en-US"/>
          <w14:textFill>
            <w14:solidFill>
              <w14:srgbClr w14:val="006FBF"/>
            </w14:solidFill>
          </w14:textFill>
        </w:rPr>
        <w:t>https://open.oregonstate.education/setextbook/</w:t>
      </w:r>
      <w:r>
        <w:rPr>
          <w:rFonts w:ascii="Times New Roman" w:cs="Times New Roman" w:hAnsi="Times New Roman" w:eastAsia="Times New Roman"/>
          <w:outline w:val="0"/>
          <w:color w:val="202122"/>
          <w:shd w:val="clear" w:color="auto" w:fill="ffffff"/>
          <w:rtl w:val="0"/>
          <w14:textFill>
            <w14:solidFill>
              <w14:srgbClr w14:val="202122"/>
            </w14:solidFill>
          </w14:textFill>
        </w:rPr>
        <w:fldChar w:fldCharType="end" w:fldLock="0"/>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National Institute of Standards and Technology. (2020).</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Security and privacy controls for information systems and organizations (NIST SP 800-53 Rev. 5).</w:t>
      </w:r>
      <w:r>
        <w:rPr>
          <w:rFonts w:ascii="Times New Roman" w:cs="Times New Roman" w:hAnsi="Times New Roman" w:eastAsia="Times New Roman"/>
          <w:outline w:val="0"/>
          <w:color w:val="202122"/>
          <w:shd w:val="clear" w:color="auto" w:fill="ffffff"/>
          <w:rtl w:val="0"/>
          <w14:textFill>
            <w14:solidFill>
              <w14:srgbClr w14:val="202122"/>
            </w14:solidFill>
          </w14:textFill>
        </w:rPr>
        <w:br w:type="textWrapping"/>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begin" w:fldLock="0"/>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instrText xml:space="preserve"> HYPERLINK "https://doi.org/10.6028/NIST.SP.800-53r5"</w:instrText>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separate" w:fldLock="0"/>
      </w:r>
      <w:r>
        <w:rPr>
          <w:rStyle w:val="Hyperlink.1"/>
          <w:rFonts w:ascii="Times New Roman" w:hAnsi="Times New Roman"/>
          <w:outline w:val="0"/>
          <w:color w:val="006fbf"/>
          <w:shd w:val="clear" w:color="auto" w:fill="ffffff"/>
          <w:rtl w:val="0"/>
          <w:lang w:val="en-US"/>
          <w14:textFill>
            <w14:solidFill>
              <w14:srgbClr w14:val="006FBF"/>
            </w14:solidFill>
          </w14:textFill>
        </w:rPr>
        <w:t>https://doi.org/10.6028/NIST.SP.800-53r5</w:t>
      </w:r>
      <w:r>
        <w:rPr>
          <w:rFonts w:ascii="Times New Roman" w:cs="Times New Roman" w:hAnsi="Times New Roman" w:eastAsia="Times New Roman"/>
          <w:outline w:val="0"/>
          <w:color w:val="202122"/>
          <w:shd w:val="clear" w:color="auto" w:fill="ffffff"/>
          <w:rtl w:val="0"/>
          <w14:textFill>
            <w14:solidFill>
              <w14:srgbClr w14:val="202122"/>
            </w14:solidFill>
          </w14:textFill>
        </w:rPr>
        <w:fldChar w:fldCharType="end" w:fldLock="0"/>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OWASP Foundation. (2025). OWASP Top 10: 2025.</w:t>
      </w:r>
      <w:r>
        <w:rPr>
          <w:rFonts w:ascii="Times New Roman" w:hAnsi="Times New Roman" w:hint="default"/>
          <w:outline w:val="0"/>
          <w:color w:val="202122"/>
          <w:shd w:val="clear" w:color="auto" w:fill="ffffff"/>
          <w:rtl w:val="0"/>
          <w14:textFill>
            <w14:solidFill>
              <w14:srgbClr w14:val="202122"/>
            </w14:solidFill>
          </w14:textFill>
        </w:rPr>
        <w:t> </w:t>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begin" w:fldLock="0"/>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instrText xml:space="preserve"> HYPERLINK "https://owasp.org/Top10/2025/"</w:instrText>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separate" w:fldLock="0"/>
      </w:r>
      <w:r>
        <w:rPr>
          <w:rStyle w:val="Hyperlink.1"/>
          <w:rFonts w:ascii="Times New Roman" w:hAnsi="Times New Roman"/>
          <w:outline w:val="0"/>
          <w:color w:val="006fbf"/>
          <w:shd w:val="clear" w:color="auto" w:fill="ffffff"/>
          <w:rtl w:val="0"/>
          <w:lang w:val="en-US"/>
          <w14:textFill>
            <w14:solidFill>
              <w14:srgbClr w14:val="006FBF"/>
            </w14:solidFill>
          </w14:textFill>
        </w:rPr>
        <w:t>https://owasp.org/Top10/2025/</w:t>
      </w:r>
      <w:r>
        <w:rPr>
          <w:rFonts w:ascii="Times New Roman" w:cs="Times New Roman" w:hAnsi="Times New Roman" w:eastAsia="Times New Roman"/>
          <w:outline w:val="0"/>
          <w:color w:val="202122"/>
          <w:shd w:val="clear" w:color="auto" w:fill="ffffff"/>
          <w:rtl w:val="0"/>
          <w14:textFill>
            <w14:solidFill>
              <w14:srgbClr w14:val="202122"/>
            </w14:solidFill>
          </w14:textFill>
        </w:rPr>
        <w:fldChar w:fldCharType="end" w:fldLock="0"/>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Sommerville, I. (2016).</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Software engineering</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(10th ed.). Pearson.</w:t>
      </w:r>
    </w:p>
    <w:p>
      <w:pPr>
        <w:pStyle w:val="デフォルト"/>
        <w:bidi w:val="0"/>
        <w:spacing w:before="0" w:after="38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14:textFill>
            <w14:solidFill>
              <w14:srgbClr w14:val="202122"/>
            </w14:solidFill>
          </w14:textFill>
        </w:rPr>
        <w:t>Summers, B. L. (2020).</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Effective methods for software engineering. Auerbach Publishers.</w:t>
      </w:r>
    </w:p>
    <w:p>
      <w:pPr>
        <w:pStyle w:val="デフォルト"/>
        <w:bidi w:val="0"/>
        <w:spacing w:before="0" w:line="480" w:lineRule="auto"/>
        <w:ind w:left="0" w:right="0" w:firstLine="0"/>
        <w:jc w:val="left"/>
        <w:rPr>
          <w:rFonts w:ascii="Times New Roman" w:cs="Times New Roman" w:hAnsi="Times New Roman" w:eastAsia="Times New Roman"/>
          <w:outline w:val="0"/>
          <w:color w:val="202122"/>
          <w:shd w:val="clear" w:color="auto" w:fill="ffffff"/>
          <w:rtl w:val="0"/>
          <w14:textFill>
            <w14:solidFill>
              <w14:srgbClr w14:val="202122"/>
            </w14:solidFill>
          </w14:textFill>
        </w:rPr>
      </w:pPr>
      <w:r>
        <w:rPr>
          <w:rFonts w:ascii="Times New Roman" w:hAnsi="Times New Roman"/>
          <w:outline w:val="0"/>
          <w:color w:val="202122"/>
          <w:shd w:val="clear" w:color="auto" w:fill="ffffff"/>
          <w:rtl w:val="0"/>
          <w:lang w:val="en-US"/>
          <w14:textFill>
            <w14:solidFill>
              <w14:srgbClr w14:val="202122"/>
            </w14:solidFill>
          </w14:textFill>
        </w:rPr>
        <w:t>World Health Organization. (2021).</w:t>
      </w:r>
      <w:r>
        <w:rPr>
          <w:rFonts w:ascii="Times New Roman" w:hAnsi="Times New Roman" w:hint="default"/>
          <w:outline w:val="0"/>
          <w:color w:val="202122"/>
          <w:shd w:val="clear" w:color="auto" w:fill="ffffff"/>
          <w:rtl w:val="0"/>
          <w14:textFill>
            <w14:solidFill>
              <w14:srgbClr w14:val="202122"/>
            </w14:solidFill>
          </w14:textFill>
        </w:rPr>
        <w:t> </w:t>
      </w:r>
      <w:r>
        <w:rPr>
          <w:rFonts w:ascii="Times New Roman" w:hAnsi="Times New Roman"/>
          <w:outline w:val="0"/>
          <w:color w:val="202122"/>
          <w:shd w:val="clear" w:color="auto" w:fill="ffffff"/>
          <w:rtl w:val="0"/>
          <w:lang w:val="en-US"/>
          <w14:textFill>
            <w14:solidFill>
              <w14:srgbClr w14:val="202122"/>
            </w14:solidFill>
          </w14:textFill>
        </w:rPr>
        <w:t>Ethics and governance of artificial intelligence for health.</w:t>
      </w:r>
      <w:r>
        <w:rPr>
          <w:rFonts w:ascii="Times New Roman" w:cs="Times New Roman" w:hAnsi="Times New Roman" w:eastAsia="Times New Roman"/>
          <w:outline w:val="0"/>
          <w:color w:val="202122"/>
          <w:shd w:val="clear" w:color="auto" w:fill="ffffff"/>
          <w:rtl w:val="0"/>
          <w14:textFill>
            <w14:solidFill>
              <w14:srgbClr w14:val="202122"/>
            </w14:solidFill>
          </w14:textFill>
        </w:rPr>
        <w:br w:type="textWrapping"/>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begin" w:fldLock="0"/>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instrText xml:space="preserve"> HYPERLINK "https://www.who.int/publications/i/item/9789240029200"</w:instrText>
      </w:r>
      <w:r>
        <w:rPr>
          <w:rStyle w:val="Hyperlink.1"/>
          <w:rFonts w:ascii="Times New Roman" w:cs="Times New Roman" w:hAnsi="Times New Roman" w:eastAsia="Times New Roman"/>
          <w:outline w:val="0"/>
          <w:color w:val="006fbf"/>
          <w:shd w:val="clear" w:color="auto" w:fill="ffffff"/>
          <w:rtl w:val="0"/>
          <w14:textFill>
            <w14:solidFill>
              <w14:srgbClr w14:val="006FBF"/>
            </w14:solidFill>
          </w14:textFill>
        </w:rPr>
        <w:fldChar w:fldCharType="separate" w:fldLock="0"/>
      </w:r>
      <w:r>
        <w:rPr>
          <w:rStyle w:val="Hyperlink.1"/>
          <w:rFonts w:ascii="Times New Roman" w:hAnsi="Times New Roman"/>
          <w:outline w:val="0"/>
          <w:color w:val="006fbf"/>
          <w:shd w:val="clear" w:color="auto" w:fill="ffffff"/>
          <w:rtl w:val="0"/>
          <w:lang w:val="en-US"/>
          <w14:textFill>
            <w14:solidFill>
              <w14:srgbClr w14:val="006FBF"/>
            </w14:solidFill>
          </w14:textFill>
        </w:rPr>
        <w:t>https://www.who.int/publications/i/item/9789240029200</w:t>
      </w:r>
      <w:r>
        <w:rPr>
          <w:rFonts w:ascii="Times New Roman" w:cs="Times New Roman" w:hAnsi="Times New Roman" w:eastAsia="Times New Roman"/>
          <w:outline w:val="0"/>
          <w:color w:val="202122"/>
          <w:shd w:val="clear" w:color="auto" w:fill="ffffff"/>
          <w:rtl w:val="0"/>
          <w14:textFill>
            <w14:solidFill>
              <w14:srgbClr w14:val="202122"/>
            </w14:solidFill>
          </w14:textFill>
        </w:rPr>
        <w:fldChar w:fldCharType="end" w:fldLock="0"/>
      </w:r>
    </w:p>
    <w:p>
      <w:pPr>
        <w:pStyle w:val="デフォルト"/>
        <w:bidi w:val="0"/>
        <w:spacing w:before="0" w:line="480" w:lineRule="auto"/>
        <w:ind w:left="0" w:right="0" w:firstLine="0"/>
        <w:jc w:val="left"/>
        <w:rPr>
          <w:rStyle w:val="なし"/>
          <w:rFonts w:ascii="Times New Roman" w:cs="Times New Roman" w:hAnsi="Times New Roman" w:eastAsia="Times New Roman"/>
          <w:outline w:val="0"/>
          <w:color w:val="202122"/>
          <w:shd w:val="clear" w:color="auto" w:fill="ffffff"/>
          <w:rtl w:val="0"/>
          <w14:textFill>
            <w14:solidFill>
              <w14:srgbClr w14:val="202122"/>
            </w14:solidFill>
          </w14:textFill>
        </w:rPr>
      </w:pPr>
    </w:p>
    <w:p>
      <w:pPr>
        <w:pStyle w:val="デフォルト"/>
        <w:bidi w:val="0"/>
        <w:spacing w:before="0" w:line="480" w:lineRule="auto"/>
        <w:ind w:left="0" w:right="0" w:firstLine="0"/>
        <w:jc w:val="left"/>
        <w:rPr>
          <w:rStyle w:val="なし"/>
          <w:rFonts w:ascii="Times New Roman" w:cs="Times New Roman" w:hAnsi="Times New Roman" w:eastAsia="Times New Roman"/>
          <w:outline w:val="0"/>
          <w:color w:val="202122"/>
          <w:shd w:val="clear" w:color="auto" w:fill="ffffff"/>
          <w:rtl w:val="0"/>
          <w14:textFill>
            <w14:solidFill>
              <w14:srgbClr w14:val="202122"/>
            </w14:solidFill>
          </w14:textFill>
        </w:rPr>
      </w:pPr>
    </w:p>
    <w:p>
      <w:pPr>
        <w:pStyle w:val="デフォルト"/>
        <w:bidi w:val="0"/>
        <w:spacing w:before="0" w:line="480" w:lineRule="auto"/>
        <w:ind w:left="0" w:right="0" w:firstLine="0"/>
        <w:jc w:val="left"/>
        <w:rPr>
          <w:rtl w:val="0"/>
        </w:rPr>
      </w:pPr>
      <w:r>
        <w:rPr>
          <w:rStyle w:val="なし"/>
          <w:rFonts w:ascii="Times New Roman" w:cs="Times New Roman" w:hAnsi="Times New Roman" w:eastAsia="Times New Roman"/>
          <w:outline w:val="0"/>
          <w:color w:val="202122"/>
          <w:shd w:val="clear" w:color="auto" w:fill="ffffff"/>
          <w:rtl w:val="0"/>
          <w14:textFill>
            <w14:solidFill>
              <w14:srgbClr w14:val="202122"/>
            </w14:solidFill>
          </w14:textFill>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Lucida Grand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デフォルト">
    <w:name w:val="デフォルト"/>
    <w:next w:val="デフォルト"/>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ヒラギノ角ゴ ProN W3" w:cs="Arial Unicode MS" w:hAnsi="ヒラギノ角ゴ ProN W3"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 w:type="character" w:styleId="なし">
    <w:name w:val="なし"/>
  </w:style>
  <w:style w:type="character" w:styleId="Hyperlink.1">
    <w:name w:val="Hyperlink.1"/>
    <w:basedOn w:val="なし"/>
    <w:next w:val="Hyperlink.1"/>
    <w:rPr>
      <w:outline w:val="0"/>
      <w:color w:val="006fbf"/>
      <w14:textFill>
        <w14:solidFill>
          <w14:srgbClr w14:val="006FB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