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03366"/>
          <w:sz w:val="44"/>
        </w:rPr>
        <w:t>Conversational Test vs. General Intelligence</w:t>
      </w:r>
    </w:p>
    <w:p>
      <w:pPr>
        <w:spacing w:after="320"/>
      </w:pPr>
      <w:r>
        <w:rPr>
          <w:rFonts w:ascii="Calibri" w:hAnsi="Calibri"/>
          <w:color w:val="4682B4"/>
          <w:sz w:val="26"/>
        </w:rPr>
        <w:t>Task 3 Analysis &amp; Evaluation</w:t>
      </w:r>
    </w:p>
    <w:p>
      <w:pPr>
        <w:spacing w:before="0" w:after="200" w:line="288" w:lineRule="auto"/>
      </w:pPr>
      <w:r>
        <w:rPr>
          <w:rFonts w:ascii="Calibri" w:hAnsi="Calibri"/>
          <w:color w:val="333333"/>
          <w:sz w:val="22"/>
        </w:rPr>
        <w:t>A conversational test observes whether an AI can communicate fluently, respond appropriately, and produce answers that appear human-like. Alan Turing introduced the idea of the “imitation game” in his 1950 paper Computing Machinery and Intelligence, which focused on whether a machine could imitate human conversation. (Turing, 1950, Mind, Oxford Academic: https://academic.oup.com/mind/article/LIX/236/433/986238)</w:t>
      </w:r>
    </w:p>
    <w:p>
      <w:pPr>
        <w:spacing w:before="0" w:after="200" w:line="288" w:lineRule="auto"/>
      </w:pPr>
      <w:r>
        <w:rPr>
          <w:rFonts w:ascii="Calibri" w:hAnsi="Calibri"/>
          <w:color w:val="333333"/>
          <w:sz w:val="22"/>
        </w:rPr>
        <w:t>However, passing a conversational test does not prove general intelligence. In the scholarship case, an AI might say, “The student meets the GPA requirement, so they are eligible,” while ignoring another required condition such as document completeness. The answer is fluent but the reasoning is incorrect because an important condition was missed. A conversational test therefore does not establish reliable reasoning, learning, or correct performance across different tasks.</w:t>
      </w:r>
    </w:p>
    <w:p>
      <w:pPr>
        <w:spacing w:before="320" w:after="160"/>
      </w:pPr>
      <w:r>
        <w:rPr>
          <w:rFonts w:ascii="Calibri" w:hAnsi="Calibri"/>
          <w:b/>
          <w:color w:val="003366"/>
          <w:sz w:val="28"/>
        </w:rPr>
        <w:t>Proposed Alternative Evaluation Method</w:t>
      </w:r>
    </w:p>
    <w:tbl>
      <w:tblPr>
        <w:tblW w:type="auto" w:w="0"/>
        <w:tblLayout w:type="fixed"/>
        <w:tblLook w:firstColumn="1" w:firstRow="1" w:lastColumn="0" w:lastRow="0" w:noHBand="0" w:noVBand="1" w:val="04A0"/>
      </w:tblPr>
      <w:tblGrid>
        <w:gridCol w:w="9360"/>
      </w:tblGrid>
      <w:tr>
        <w:tc>
          <w:tcPr>
            <w:tcW w:type="dxa" w:w="9360"/>
            <w:shd w:val="clear" w:color="auto" w:fill="F4F6F9"/>
            <w:tcBorders>
              <w:left w:val="single" w:sz="24" w:space="0" w:color="003366"/>
              <w:top w:val="none"/>
              <w:right w:val="none"/>
              <w:bottom w:val="none"/>
            </w:tcBorders>
          </w:tcPr>
          <w:p>
            <w:pPr>
              <w:spacing w:before="160" w:after="160" w:line="300" w:lineRule="auto"/>
              <w:ind w:left="216" w:right="216"/>
            </w:pPr>
            <w:r>
              <w:rPr>
                <w:rFonts w:ascii="Calibri" w:hAnsi="Calibri"/>
                <w:color w:val="333333"/>
                <w:sz w:val="22"/>
              </w:rPr>
              <w:t>One additional test would be a reliable task-performance test. For example, the AI could be given several scholarship applications with different GPA scores, document statuses, and eligibility conditions. Its decisions could then be compared with predefined correct answers. If the AI consistently makes the correct decisions across these cases, this provides stronger evidence of reliable task performance than conversational fluency alone.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