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03366"/>
          <w:sz w:val="36"/>
        </w:rPr>
        <w:t>DLS and IDDFS Implementation Summary</w:t>
      </w:r>
    </w:p>
    <w:p>
      <w:pPr>
        <w:spacing w:after="240" w:line="276" w:lineRule="auto"/>
      </w:pPr>
      <w:r>
        <w:rPr>
          <w:rFonts w:ascii="Calibri" w:hAnsi="Calibri"/>
          <w:color w:val="222222"/>
          <w:sz w:val="22"/>
        </w:rPr>
        <w:t>While implementing DLS and IDDFS, I initially faced difficulty in correctly handling the depth limits and distinguishing between FOUND, CUTOFF, and FAILURE. I solved this by keeping track of the current depth and returning a separate status for each case. I also implemented a path-local cycle check so that the search would not revisit a node already present in the current path. After testing DLS with limits 1, 2, 3, and 4, I found that the goal could only be reached at depth 3. I then implemented IDDFS and tested maximum depths 1, 2, 3, and 4. The main issue I observed was repeated work because IDDFS searches the earlier levels again with each new depth limit. The final implementation successfully produced the required paths and statuses.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