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4" w:after="0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0" w:right="3684" w:firstLine="0"/>
        <w:jc w:val="right"/>
      </w:pPr>
      <w:r>
        <w:rPr>
          <w:spacing w:val="-29"/>
          <w:rFonts w:ascii="Noto Serif" w:hAnsi="Noto Serif" w:eastAsia="Noto Serif"/>
          <w:b/>
          <w:color w:val="0E2841"/>
          <w:sz w:val="40"/>
        </w:rPr>
        <w:t>Explanation Lab task 5</w:t>
      </w:r>
    </w:p>
    <w:p>
      <w:pPr>
        <w:autoSpaceDN w:val="0"/>
        <w:autoSpaceDE w:val="0"/>
        <w:widowControl/>
        <w:spacing w:line="375" w:lineRule="exact" w:before="267" w:after="0"/>
        <w:ind w:left="1200" w:right="1728" w:firstLine="0"/>
        <w:jc w:val="left"/>
      </w:pPr>
      <w:r>
        <w:rPr>
          <w:spacing w:val="-22"/>
          <w:rFonts w:ascii="Noto Serif" w:hAnsi="Noto Serif" w:eastAsia="Noto Serif"/>
          <w:color w:val="000000"/>
          <w:sz w:val="28"/>
        </w:rPr>
        <w:t xml:space="preserve">I did these tasks and learned that if we change the order of scores in both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algorithms, the optimal Minimax value will still remain the same, but pruning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>efficiency can change. This was proved in both codes.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