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A997" w14:textId="25178C82" w:rsidR="003D34DA" w:rsidRDefault="003D34DA" w:rsidP="55E3C58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984E903" wp14:editId="2077C2E3">
            <wp:extent cx="3581400" cy="2844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>khans</w:t>
      </w:r>
    </w:p>
    <w:p w14:paraId="79332735" w14:textId="77777777" w:rsidR="003D34DA" w:rsidRDefault="003D34DA" w:rsidP="55E3C586">
      <w:pPr>
        <w:rPr>
          <w:rFonts w:ascii="Calibri" w:eastAsia="Calibri" w:hAnsi="Calibri" w:cs="Calibri"/>
        </w:rPr>
      </w:pPr>
    </w:p>
    <w:p w14:paraId="151DF31D" w14:textId="77777777" w:rsidR="003D34DA" w:rsidRDefault="003D34DA" w:rsidP="55E3C586">
      <w:pPr>
        <w:rPr>
          <w:rFonts w:ascii="Calibri" w:eastAsia="Calibri" w:hAnsi="Calibri" w:cs="Calibri"/>
        </w:rPr>
      </w:pPr>
    </w:p>
    <w:p w14:paraId="092EF4B1" w14:textId="3A74278C" w:rsidR="003973F7" w:rsidRDefault="6D3C3D86" w:rsidP="55E3C586">
      <w:pPr>
        <w:rPr>
          <w:rFonts w:ascii="Calibri" w:eastAsia="Calibri" w:hAnsi="Calibri" w:cs="Calibri"/>
        </w:rPr>
      </w:pPr>
      <w:r w:rsidRPr="55E3C586">
        <w:rPr>
          <w:rFonts w:ascii="Calibri" w:eastAsia="Calibri" w:hAnsi="Calibri" w:cs="Calibri"/>
        </w:rPr>
        <w:t>Uma forma de caracterizar a distribuição de dose no eixo central do campo é através de uma normalização da dose em profundidade em relação à dose a uma profundidade de referência. Assim, a PDD pode ser definida como o quociente entre a dose absorvida a qualquer profundidade (D</w:t>
      </w:r>
      <w:r w:rsidR="00144507">
        <w:rPr>
          <w:rFonts w:ascii="Calibri" w:eastAsia="Calibri" w:hAnsi="Calibri" w:cs="Calibri"/>
          <w:vertAlign w:val="subscript"/>
        </w:rPr>
        <w:t>z</w:t>
      </w:r>
      <w:r w:rsidRPr="55E3C586">
        <w:rPr>
          <w:rFonts w:ascii="Calibri" w:eastAsia="Calibri" w:hAnsi="Calibri" w:cs="Calibri"/>
        </w:rPr>
        <w:t>) e a dose absorvida a uma profundidade de referência (D</w:t>
      </w:r>
      <w:r w:rsidR="00144507">
        <w:rPr>
          <w:rFonts w:ascii="Calibri" w:eastAsia="Calibri" w:hAnsi="Calibri" w:cs="Calibri"/>
          <w:vertAlign w:val="subscript"/>
        </w:rPr>
        <w:t>z0</w:t>
      </w:r>
      <w:r w:rsidRPr="55E3C586">
        <w:rPr>
          <w:rFonts w:ascii="Calibri" w:eastAsia="Calibri" w:hAnsi="Calibri" w:cs="Calibri"/>
        </w:rPr>
        <w:t>), ao longo do eixo central do feixe.</w:t>
      </w:r>
      <w:r w:rsidR="00D33F06">
        <w:rPr>
          <w:rFonts w:ascii="Calibri" w:eastAsia="Calibri" w:hAnsi="Calibri" w:cs="Calibri"/>
        </w:rPr>
        <w:t xml:space="preserve"> (</w:t>
      </w:r>
      <w:proofErr w:type="gramStart"/>
      <w:r w:rsidR="00D33F06">
        <w:rPr>
          <w:rFonts w:ascii="Calibri" w:eastAsia="Calibri" w:hAnsi="Calibri" w:cs="Calibri"/>
        </w:rPr>
        <w:t>mariana barros</w:t>
      </w:r>
      <w:proofErr w:type="gramEnd"/>
      <w:r w:rsidR="00D33F06">
        <w:rPr>
          <w:rFonts w:ascii="Calibri" w:eastAsia="Calibri" w:hAnsi="Calibri" w:cs="Calibri"/>
        </w:rPr>
        <w:t>, livro handobook)</w:t>
      </w:r>
    </w:p>
    <w:p w14:paraId="01815818" w14:textId="7AEAC386" w:rsidR="55E3C586" w:rsidRDefault="55E3C586" w:rsidP="55E3C586">
      <w:pPr>
        <w:rPr>
          <w:rFonts w:ascii="Calibri" w:eastAsia="Calibri" w:hAnsi="Calibri" w:cs="Calibri"/>
        </w:rPr>
      </w:pPr>
    </w:p>
    <w:p w14:paraId="6816F1F4" w14:textId="77777777" w:rsidR="000C75E6" w:rsidRDefault="7F5D9306" w:rsidP="000C75E6">
      <w:pPr>
        <w:keepNext/>
      </w:pPr>
      <w:r>
        <w:rPr>
          <w:noProof/>
        </w:rPr>
        <w:drawing>
          <wp:inline distT="0" distB="0" distL="0" distR="0" wp14:anchorId="01218F5C" wp14:editId="1F4F4C9B">
            <wp:extent cx="4572000" cy="2644140"/>
            <wp:effectExtent l="0" t="0" r="0" b="3810"/>
            <wp:docPr id="707634614" name="Imagem 707634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8" b="16384"/>
                    <a:stretch/>
                  </pic:blipFill>
                  <pic:spPr bwMode="auto">
                    <a:xfrm>
                      <a:off x="0" y="0"/>
                      <a:ext cx="4572000" cy="264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71DB4" w14:textId="5F59684F" w:rsidR="7F5D9306" w:rsidRDefault="000C75E6" w:rsidP="000C75E6">
      <w:pPr>
        <w:pStyle w:val="Legenda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BF1087">
        <w:rPr>
          <w:noProof/>
        </w:rPr>
        <w:t>1</w:t>
      </w:r>
      <w:r>
        <w:fldChar w:fldCharType="end"/>
      </w:r>
      <w:r>
        <w:t xml:space="preserve"> – Geometria para a </w:t>
      </w:r>
      <w:r w:rsidR="00BC4B8C">
        <w:t>determinação do PDD. O ponto Q é um ponto arbitrário a uma dist</w:t>
      </w:r>
      <w:r w:rsidR="00331E15">
        <w:t>â</w:t>
      </w:r>
      <w:r w:rsidR="00BC4B8C">
        <w:t xml:space="preserve">ncia z e o ponto P é o </w:t>
      </w:r>
      <w:r w:rsidR="00331E15">
        <w:t>ponto para z</w:t>
      </w:r>
      <w:r w:rsidR="00331E15">
        <w:rPr>
          <w:vertAlign w:val="subscript"/>
        </w:rPr>
        <w:t>max</w:t>
      </w:r>
      <w:r w:rsidR="00331E15">
        <w:t>.</w:t>
      </w:r>
      <w:r w:rsidR="00D33F06">
        <w:t xml:space="preserve"> (livro handbook)</w:t>
      </w:r>
    </w:p>
    <w:p w14:paraId="21800B74" w14:textId="21A4C1B2" w:rsidR="00CF2355" w:rsidRPr="0026436B" w:rsidRDefault="00CF2355" w:rsidP="00CF23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PDD=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z0</m:t>
                  </m:r>
                </m:sub>
              </m:sSub>
            </m:den>
          </m:f>
          <m:r>
            <w:rPr>
              <w:rFonts w:ascii="Cambria Math" w:hAnsi="Cambria Math"/>
            </w:rPr>
            <m:t>×100</m:t>
          </m:r>
        </m:oMath>
      </m:oMathPara>
    </w:p>
    <w:p w14:paraId="48A79DCF" w14:textId="615DE75D" w:rsidR="0026436B" w:rsidRDefault="0026436B" w:rsidP="00CF2355">
      <w:pPr>
        <w:rPr>
          <w:rFonts w:eastAsiaTheme="minorEastAsia"/>
        </w:rPr>
      </w:pPr>
    </w:p>
    <w:p w14:paraId="226035FE" w14:textId="200A78AB" w:rsidR="00EF4F03" w:rsidRDefault="0026436B" w:rsidP="00CF2355">
      <w:r>
        <w:lastRenderedPageBreak/>
        <w:t>Para ortovoltagem (at</w:t>
      </w:r>
      <w:r w:rsidR="00EB26FC">
        <w:t>é</w:t>
      </w:r>
      <w:r>
        <w:t xml:space="preserve"> cerca de 400 kVp) e raios X de baixa energia, a profundidade de </w:t>
      </w:r>
      <w:r w:rsidR="00DC4DE6">
        <w:t>referência</w:t>
      </w:r>
      <w:r>
        <w:t xml:space="preserve"> </w:t>
      </w:r>
      <w:r w:rsidR="00DC4DE6">
        <w:t>é</w:t>
      </w:r>
      <w:r>
        <w:t xml:space="preserve"> geralmente a </w:t>
      </w:r>
      <w:r w:rsidR="00DC4DE6">
        <w:t>superfície</w:t>
      </w:r>
      <w:r>
        <w:t xml:space="preserve">, ou seja, </w:t>
      </w:r>
      <w:r w:rsidR="00DC4DE6">
        <w:t>z</w:t>
      </w:r>
      <w:r w:rsidR="00DC4DE6">
        <w:rPr>
          <w:vertAlign w:val="subscript"/>
        </w:rPr>
        <w:t>0</w:t>
      </w:r>
      <w:r>
        <w:t xml:space="preserve"> = 0. Para elevadas energias, a profundidade de </w:t>
      </w:r>
      <w:r w:rsidR="00DC4DE6">
        <w:t>referência</w:t>
      </w:r>
      <w:r>
        <w:t xml:space="preserve"> </w:t>
      </w:r>
      <w:r w:rsidR="00DC4DE6">
        <w:t>é</w:t>
      </w:r>
      <w:r>
        <w:t xml:space="preserve"> a </w:t>
      </w:r>
      <w:r w:rsidR="00D75EC1">
        <w:t>distância</w:t>
      </w:r>
      <w:r>
        <w:t xml:space="preserve"> da </w:t>
      </w:r>
      <w:r w:rsidR="00D75EC1">
        <w:t>superfície</w:t>
      </w:r>
      <w:r>
        <w:t xml:space="preserve"> </w:t>
      </w:r>
      <w:r w:rsidR="00D75EC1">
        <w:t>a</w:t>
      </w:r>
      <w:r>
        <w:t xml:space="preserve"> que ocorre a dose </w:t>
      </w:r>
      <w:r w:rsidR="00D75EC1">
        <w:t>má</w:t>
      </w:r>
      <w:r>
        <w:t xml:space="preserve">xima. </w:t>
      </w:r>
    </w:p>
    <w:p w14:paraId="49A5DCF5" w14:textId="77777777" w:rsidR="00EF4F03" w:rsidRDefault="00EF4F03" w:rsidP="00EF4F03">
      <w:pPr>
        <w:keepNext/>
      </w:pPr>
      <w:r>
        <w:rPr>
          <w:noProof/>
        </w:rPr>
        <w:drawing>
          <wp:inline distT="0" distB="0" distL="0" distR="0" wp14:anchorId="0DD6E858" wp14:editId="56D234CD">
            <wp:extent cx="3931920" cy="29413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25" r="4234" b="13598"/>
                    <a:stretch/>
                  </pic:blipFill>
                  <pic:spPr bwMode="auto">
                    <a:xfrm>
                      <a:off x="0" y="0"/>
                      <a:ext cx="3940246" cy="2947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9D497" w14:textId="2375E0AD" w:rsidR="00EF4F03" w:rsidRDefault="00EF4F03" w:rsidP="00EF4F03">
      <w:pPr>
        <w:pStyle w:val="Legenda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BF1087">
        <w:rPr>
          <w:noProof/>
        </w:rPr>
        <w:t>2</w:t>
      </w:r>
      <w:r>
        <w:fldChar w:fldCharType="end"/>
      </w:r>
      <w:r>
        <w:t xml:space="preserve"> – Curvas de PDD </w:t>
      </w:r>
      <w:r w:rsidR="0098386E">
        <w:t>para vários feixes de fotões de megavoltagem</w:t>
      </w:r>
      <w:r w:rsidR="0050211F">
        <w:t xml:space="preserve"> (livro handobook)</w:t>
      </w:r>
    </w:p>
    <w:p w14:paraId="44650DB8" w14:textId="405AF0B9" w:rsidR="00E01AA0" w:rsidRDefault="0050211F" w:rsidP="0050211F">
      <w:r>
        <w:t xml:space="preserve">Através da figura 2 percebe-se que a </w:t>
      </w:r>
      <w:r w:rsidR="0073405E">
        <w:t xml:space="preserve">percentagem de </w:t>
      </w:r>
      <w:r>
        <w:t xml:space="preserve">dose em profundidade diminui para </w:t>
      </w:r>
      <w:r w:rsidR="0073405E">
        <w:t>além</w:t>
      </w:r>
      <w:r>
        <w:t xml:space="preserve"> da profundidade da dose </w:t>
      </w:r>
      <w:r w:rsidR="0073405E">
        <w:t>má</w:t>
      </w:r>
      <w:r>
        <w:t xml:space="preserve">xima. No entanto, existe uma </w:t>
      </w:r>
      <w:r w:rsidR="0073405E">
        <w:t>acumulação</w:t>
      </w:r>
      <w:r>
        <w:t xml:space="preserve"> de</w:t>
      </w:r>
      <w:r w:rsidR="000532CB">
        <w:t xml:space="preserve"> </w:t>
      </w:r>
      <w:r w:rsidR="00E01AA0">
        <w:t>dose</w:t>
      </w:r>
      <w:r w:rsidR="00926BA2">
        <w:t xml:space="preserve"> inicial</w:t>
      </w:r>
      <w:r w:rsidR="00E01AA0">
        <w:t xml:space="preserve"> que </w:t>
      </w:r>
      <w:r w:rsidR="00926BA2">
        <w:t>aumenta</w:t>
      </w:r>
      <w:r w:rsidR="00E01AA0">
        <w:t xml:space="preserve"> </w:t>
      </w:r>
      <w:r w:rsidR="000532CB">
        <w:t xml:space="preserve">à </w:t>
      </w:r>
      <w:r w:rsidR="00E01AA0">
        <w:t xml:space="preserve">medida que a energia </w:t>
      </w:r>
      <w:r w:rsidR="00926BA2">
        <w:t xml:space="preserve">do feixe </w:t>
      </w:r>
      <w:r w:rsidR="00E01AA0">
        <w:t xml:space="preserve">aumenta. </w:t>
      </w:r>
    </w:p>
    <w:p w14:paraId="7BD1B601" w14:textId="0728EBFF" w:rsidR="003C28D3" w:rsidRPr="0013122A" w:rsidRDefault="003C28D3" w:rsidP="0050211F">
      <w:r>
        <w:t>A região entre a superfície e o ponto de dose máxima é chamada região de build</w:t>
      </w:r>
      <w:r w:rsidR="00A601B6">
        <w:t>-</w:t>
      </w:r>
      <w:r>
        <w:t xml:space="preserve">up. Em feixes de elevada energia, esta </w:t>
      </w:r>
      <w:r w:rsidR="00A601B6">
        <w:t>região</w:t>
      </w:r>
      <w:r>
        <w:t xml:space="preserve"> </w:t>
      </w:r>
      <w:r w:rsidR="00A601B6">
        <w:t>é</w:t>
      </w:r>
      <w:r>
        <w:t xml:space="preserve"> </w:t>
      </w:r>
      <w:r w:rsidR="00A601B6">
        <w:t>a zona de poupança de tecidos (</w:t>
      </w:r>
      <w:r>
        <w:t xml:space="preserve">skin sparing effect), devido ao facto </w:t>
      </w:r>
      <w:proofErr w:type="gramStart"/>
      <w:r>
        <w:t>da</w:t>
      </w:r>
      <w:proofErr w:type="gramEnd"/>
      <w:r>
        <w:t xml:space="preserve"> dose </w:t>
      </w:r>
      <w:r w:rsidR="00A601B6">
        <w:t>na</w:t>
      </w:r>
      <w:r>
        <w:t xml:space="preserve"> </w:t>
      </w:r>
      <w:r w:rsidR="00A601B6">
        <w:t>superfície</w:t>
      </w:r>
      <w:r>
        <w:t xml:space="preserve"> </w:t>
      </w:r>
      <w:r w:rsidR="00A601B6">
        <w:t xml:space="preserve">da </w:t>
      </w:r>
      <w:r>
        <w:t>pele se</w:t>
      </w:r>
      <w:r w:rsidR="00A601B6">
        <w:t>r</w:t>
      </w:r>
      <w:r>
        <w:t xml:space="preserve"> inferior </w:t>
      </w:r>
      <w:r w:rsidR="00A601B6">
        <w:t>à</w:t>
      </w:r>
      <w:r>
        <w:t xml:space="preserve"> dose </w:t>
      </w:r>
      <w:r w:rsidR="00A601B6">
        <w:t>má</w:t>
      </w:r>
      <w:r>
        <w:t>xima. Este</w:t>
      </w:r>
      <w:r w:rsidR="00A601B6">
        <w:t xml:space="preserve"> efeit</w:t>
      </w:r>
      <w:r w:rsidR="00CA634D">
        <w:t>o permite que em</w:t>
      </w:r>
      <w:r>
        <w:t xml:space="preserve"> feixes de elevadas energias</w:t>
      </w:r>
      <w:r w:rsidR="00CA634D">
        <w:t xml:space="preserve"> seja possível fornecer</w:t>
      </w:r>
      <w:r>
        <w:t xml:space="preserve"> doses mais elevadas a tumores </w:t>
      </w:r>
      <w:r w:rsidR="00CA634D">
        <w:t>em profundidade</w:t>
      </w:r>
      <w:r>
        <w:t>, sem exceder</w:t>
      </w:r>
      <w:r w:rsidR="00CA634D">
        <w:t xml:space="preserve"> dose de</w:t>
      </w:r>
      <w:r>
        <w:t xml:space="preserve"> </w:t>
      </w:r>
      <w:r w:rsidR="00CA634D">
        <w:t>tolerância</w:t>
      </w:r>
      <w:r>
        <w:t xml:space="preserve"> </w:t>
      </w:r>
      <w:r w:rsidR="00CA634D">
        <w:t>na</w:t>
      </w:r>
      <w:r>
        <w:t xml:space="preserve"> pele.</w:t>
      </w:r>
      <w:r w:rsidR="007F67DA">
        <w:t xml:space="preserve">  </w:t>
      </w:r>
      <w:r w:rsidR="007F67DA" w:rsidRPr="0013122A">
        <w:t>(</w:t>
      </w:r>
      <w:proofErr w:type="gramStart"/>
      <w:r w:rsidR="007F67DA" w:rsidRPr="0013122A">
        <w:t>mariana barros</w:t>
      </w:r>
      <w:proofErr w:type="gramEnd"/>
      <w:r w:rsidR="007F67DA" w:rsidRPr="0013122A">
        <w:t>)</w:t>
      </w:r>
    </w:p>
    <w:p w14:paraId="14C7BA64" w14:textId="4D463EBB" w:rsidR="008E3F87" w:rsidRPr="0013122A" w:rsidRDefault="008E3F87" w:rsidP="0050211F"/>
    <w:p w14:paraId="1AE172D0" w14:textId="55FE5819" w:rsidR="008E3F87" w:rsidRPr="0013122A" w:rsidRDefault="008E3F87" w:rsidP="0050211F"/>
    <w:p w14:paraId="19869C50" w14:textId="5C276BBF" w:rsidR="008E3F87" w:rsidRPr="0013122A" w:rsidRDefault="008E3F87" w:rsidP="0050211F"/>
    <w:p w14:paraId="6F5D718D" w14:textId="2264AEBB" w:rsidR="008E3F87" w:rsidRPr="0013122A" w:rsidRDefault="008E3F87" w:rsidP="0050211F"/>
    <w:p w14:paraId="0B901088" w14:textId="30D6E7A8" w:rsidR="00A3784E" w:rsidRPr="0013122A" w:rsidRDefault="00A3784E" w:rsidP="0050211F"/>
    <w:p w14:paraId="3F81DEFD" w14:textId="74546A45" w:rsidR="00A3784E" w:rsidRPr="0013122A" w:rsidRDefault="00A3784E" w:rsidP="0050211F"/>
    <w:p w14:paraId="657DDB84" w14:textId="285B39EF" w:rsidR="00A3784E" w:rsidRPr="0013122A" w:rsidRDefault="00A3784E" w:rsidP="0050211F"/>
    <w:p w14:paraId="4ECA5DA4" w14:textId="447731EC" w:rsidR="00A3784E" w:rsidRPr="0013122A" w:rsidRDefault="00A3784E" w:rsidP="0050211F"/>
    <w:p w14:paraId="2BC3004E" w14:textId="72EF7471" w:rsidR="00A3784E" w:rsidRPr="0013122A" w:rsidRDefault="00A3784E" w:rsidP="0050211F"/>
    <w:p w14:paraId="67531786" w14:textId="79BA4EE9" w:rsidR="00A3784E" w:rsidRPr="0013122A" w:rsidRDefault="00A3784E" w:rsidP="0050211F"/>
    <w:p w14:paraId="7B723BAC" w14:textId="68683F93" w:rsidR="00A3784E" w:rsidRPr="0013122A" w:rsidRDefault="00A3784E" w:rsidP="0050211F"/>
    <w:p w14:paraId="025BE19E" w14:textId="19EB1D81" w:rsidR="00A3784E" w:rsidRPr="0013122A" w:rsidRDefault="00A3784E" w:rsidP="0050211F"/>
    <w:p w14:paraId="6885278C" w14:textId="574B0FBB" w:rsidR="00A3784E" w:rsidRPr="0013122A" w:rsidRDefault="00A3784E" w:rsidP="0050211F"/>
    <w:p w14:paraId="75A76C05" w14:textId="32E7FC05" w:rsidR="00A3784E" w:rsidRPr="0013122A" w:rsidRDefault="00A3784E" w:rsidP="0050211F"/>
    <w:p w14:paraId="3927D7C8" w14:textId="150268FA" w:rsidR="00855251" w:rsidRDefault="00D93D77" w:rsidP="0050211F">
      <w:r>
        <w:t>Este fator</w:t>
      </w:r>
      <w:r w:rsidR="002D5D30">
        <w:t xml:space="preserve"> serve então</w:t>
      </w:r>
      <w:r w:rsidR="00E3342D">
        <w:t xml:space="preserve"> para corrigir a diferença entre a resposta da câmara de ionização na qualidade de feixe de referência </w:t>
      </w:r>
      <w:r w:rsidR="00E3342D">
        <w:rPr>
          <w:rFonts w:ascii="Cambria Math" w:hAnsi="Cambria Math" w:cs="Cambria Math"/>
        </w:rPr>
        <w:t>𝑄</w:t>
      </w:r>
      <w:r w:rsidR="00E81881">
        <w:rPr>
          <w:vertAlign w:val="subscript"/>
        </w:rPr>
        <w:t>0</w:t>
      </w:r>
      <w:r w:rsidR="00985EB4">
        <w:t xml:space="preserve"> </w:t>
      </w:r>
      <w:r w:rsidR="00E3342D">
        <w:t xml:space="preserve">e a câmara com o valor atual de qualidade de feixe. </w:t>
      </w:r>
    </w:p>
    <w:p w14:paraId="045EFB08" w14:textId="28405AA9" w:rsidR="00855251" w:rsidRDefault="003C3D65" w:rsidP="0050211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Q,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D,w,Q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D,w,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den>
          </m:f>
        </m:oMath>
      </m:oMathPara>
    </w:p>
    <w:p w14:paraId="08BC1D91" w14:textId="34E96363" w:rsidR="00A3784E" w:rsidRDefault="00E3342D" w:rsidP="0050211F">
      <w:r>
        <w:t>Tendo em conta o valor atual da qualidade do feixe</w:t>
      </w:r>
      <w:r w:rsidR="00855251">
        <w:t xml:space="preserve"> Q, (ou seja, TPR20,10)</w:t>
      </w:r>
      <w:r>
        <w:t xml:space="preserve">, e recorrendo ao </w:t>
      </w:r>
      <w:r w:rsidR="00985EB4">
        <w:t>protocolo</w:t>
      </w:r>
      <w:r>
        <w:t xml:space="preserve"> TRS398, é possível obter o valor, de </w:t>
      </w:r>
      <w:r>
        <w:rPr>
          <w:rFonts w:ascii="Cambria Math" w:hAnsi="Cambria Math" w:cs="Cambria Math"/>
        </w:rPr>
        <w:t>𝑘</w:t>
      </w:r>
      <w:r w:rsidR="00855251">
        <w:rPr>
          <w:rFonts w:ascii="Cambria Math" w:hAnsi="Cambria Math" w:cs="Cambria Math"/>
          <w:vertAlign w:val="subscript"/>
        </w:rPr>
        <w:t>Q</w:t>
      </w:r>
      <w:r>
        <w:t xml:space="preserve"> para uma determinada c</w:t>
      </w:r>
      <w:r w:rsidR="00985EB4">
        <w:t>â</w:t>
      </w:r>
      <w:r>
        <w:t>mara de ionização.</w:t>
      </w:r>
      <w:r w:rsidR="00310045">
        <w:t xml:space="preserve"> Estes valores podem ser utilizados nas condições de referência apresentadas na tabela anterior.</w:t>
      </w:r>
    </w:p>
    <w:p w14:paraId="73FE7996" w14:textId="048B61FD" w:rsidR="00A3784E" w:rsidRDefault="00A3784E" w:rsidP="0050211F"/>
    <w:p w14:paraId="2297F038" w14:textId="62434D2E" w:rsidR="001D0D96" w:rsidRPr="00E53FD9" w:rsidRDefault="00AD1F4A" w:rsidP="00A3784E">
      <w:r>
        <w:t>A figura</w:t>
      </w:r>
      <w:r w:rsidR="00310045">
        <w:t xml:space="preserve"> x</w:t>
      </w:r>
      <w:r>
        <w:t xml:space="preserve"> ilustra um conjunto de valores d</w:t>
      </w:r>
      <w:r w:rsidR="00B24B20">
        <w:t>e</w:t>
      </w:r>
      <w:r>
        <w:t xml:space="preserve"> k</w:t>
      </w:r>
      <w:r>
        <w:rPr>
          <w:vertAlign w:val="subscript"/>
        </w:rPr>
        <w:t>Q</w:t>
      </w:r>
      <w:r w:rsidR="00B24B20">
        <w:t xml:space="preserve"> calculados para </w:t>
      </w:r>
      <w:r>
        <w:t xml:space="preserve">diferentes </w:t>
      </w:r>
      <w:r w:rsidR="00B24B20">
        <w:t xml:space="preserve">tipos de câmara </w:t>
      </w:r>
      <w:r>
        <w:t xml:space="preserve">de ionização. </w:t>
      </w:r>
    </w:p>
    <w:p w14:paraId="697FB6BE" w14:textId="77777777" w:rsidR="001D0D96" w:rsidRDefault="001D0D96" w:rsidP="001D0D96">
      <w:pPr>
        <w:keepNext/>
      </w:pPr>
      <w:r>
        <w:rPr>
          <w:noProof/>
        </w:rPr>
        <w:drawing>
          <wp:inline distT="0" distB="0" distL="0" distR="0" wp14:anchorId="69274DA0" wp14:editId="3067811C">
            <wp:extent cx="3590946" cy="2735580"/>
            <wp:effectExtent l="0" t="0" r="9525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46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0294" w14:textId="673AB386" w:rsidR="001D0D96" w:rsidRDefault="001D0D96" w:rsidP="001D0D96">
      <w:pPr>
        <w:pStyle w:val="Legenda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BF1087">
        <w:rPr>
          <w:noProof/>
        </w:rPr>
        <w:t>3</w:t>
      </w:r>
      <w:r>
        <w:fldChar w:fldCharType="end"/>
      </w:r>
      <w:r>
        <w:t xml:space="preserve"> – Fator de correção</w:t>
      </w:r>
      <w:r w:rsidR="00D22F67">
        <w:t xml:space="preserve"> </w:t>
      </w:r>
      <m:oMath>
        <m:sSub>
          <m:sSubPr>
            <m:ctrlPr>
              <w:rPr>
                <w:rFonts w:ascii="Cambria Math" w:hAnsi="Cambria Math"/>
                <w:iCs w:val="0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para diferentes câmaras de ionização e </w:t>
      </w:r>
      <w:r w:rsidR="00D22F67">
        <w:t>diferentes valores de qualidade do feixe</w:t>
      </w:r>
      <w:r>
        <w:t xml:space="preserve"> </w:t>
      </w:r>
    </w:p>
    <w:p w14:paraId="723AC900" w14:textId="700F998D" w:rsidR="00A3784E" w:rsidRDefault="00A3784E" w:rsidP="0050211F"/>
    <w:p w14:paraId="21829C47" w14:textId="2AB2128E" w:rsidR="00D318A7" w:rsidRDefault="00D318A7" w:rsidP="0050211F"/>
    <w:p w14:paraId="0C7EA55C" w14:textId="719A70BE" w:rsidR="00D318A7" w:rsidRDefault="00D318A7" w:rsidP="0050211F"/>
    <w:p w14:paraId="4CE41D50" w14:textId="66455C4E" w:rsidR="00D318A7" w:rsidRDefault="00D318A7" w:rsidP="0050211F"/>
    <w:p w14:paraId="0DF2F8CD" w14:textId="3D3F897E" w:rsidR="00D318A7" w:rsidRDefault="00D318A7" w:rsidP="0050211F"/>
    <w:p w14:paraId="498A8961" w14:textId="62C52993" w:rsidR="00D318A7" w:rsidRDefault="00D318A7" w:rsidP="0050211F"/>
    <w:p w14:paraId="40D8D65A" w14:textId="77777777" w:rsidR="00D318A7" w:rsidRPr="0050211F" w:rsidRDefault="00D318A7" w:rsidP="0050211F"/>
    <w:p w14:paraId="1461035B" w14:textId="6DC1B985" w:rsidR="096AC924" w:rsidRDefault="096AC924" w:rsidP="096AC924"/>
    <w:p w14:paraId="6D43F307" w14:textId="2F25B5AA" w:rsidR="7037D0D5" w:rsidRDefault="7037D0D5" w:rsidP="096AC924">
      <w:pPr>
        <w:rPr>
          <w:b/>
          <w:bCs/>
          <w:sz w:val="32"/>
          <w:szCs w:val="32"/>
        </w:rPr>
      </w:pPr>
      <w:r w:rsidRPr="096AC924">
        <w:rPr>
          <w:b/>
          <w:bCs/>
          <w:sz w:val="28"/>
          <w:szCs w:val="28"/>
        </w:rPr>
        <w:lastRenderedPageBreak/>
        <w:t>Métodos de Monte Carlo</w:t>
      </w:r>
    </w:p>
    <w:p w14:paraId="753C4A30" w14:textId="0F310001" w:rsidR="27B0EA71" w:rsidRDefault="27B0EA71" w:rsidP="00D318A7">
      <w:pPr>
        <w:ind w:firstLine="708"/>
        <w:jc w:val="both"/>
        <w:rPr>
          <w:rFonts w:ascii="Calibri" w:eastAsia="Calibri" w:hAnsi="Calibri" w:cs="Calibri"/>
        </w:rPr>
      </w:pPr>
      <w:r w:rsidRPr="096AC924">
        <w:t xml:space="preserve">As técnicas de “Monte Carlo” foram implementadas pela </w:t>
      </w:r>
      <w:r w:rsidR="3DFB72CA" w:rsidRPr="096AC924">
        <w:t>primeira</w:t>
      </w:r>
      <w:r w:rsidRPr="096AC924">
        <w:t xml:space="preserve"> vez em 1940 no </w:t>
      </w:r>
      <w:r w:rsidR="475286E8" w:rsidRPr="096AC924">
        <w:t>projeto</w:t>
      </w:r>
      <w:r w:rsidRPr="096AC924">
        <w:t xml:space="preserve"> </w:t>
      </w:r>
      <w:r w:rsidR="45A8423B" w:rsidRPr="096AC924">
        <w:t xml:space="preserve">de armas nucleares em Los Alamos e designam </w:t>
      </w:r>
      <w:r w:rsidR="4C0ED89F" w:rsidRPr="096AC924">
        <w:t>uma classe de métodos numéricos baseados no uso de números aleatórios</w:t>
      </w:r>
      <w:r w:rsidR="674FFACC" w:rsidRPr="096AC924">
        <w:t xml:space="preserve">. </w:t>
      </w:r>
      <w:r w:rsidR="674FFACC" w:rsidRPr="096AC924">
        <w:rPr>
          <w:rFonts w:ascii="Calibri" w:eastAsia="Calibri" w:hAnsi="Calibri" w:cs="Calibri"/>
        </w:rPr>
        <w:t>(Penelope-2018)</w:t>
      </w:r>
    </w:p>
    <w:p w14:paraId="27B956A1" w14:textId="5FBD2AF6" w:rsidR="6FE894AB" w:rsidRDefault="6FE894AB" w:rsidP="00D318A7">
      <w:pPr>
        <w:ind w:firstLine="708"/>
        <w:jc w:val="both"/>
        <w:rPr>
          <w:rFonts w:ascii="Calibri" w:eastAsia="Calibri" w:hAnsi="Calibri" w:cs="Calibri"/>
          <w:sz w:val="20"/>
          <w:szCs w:val="20"/>
        </w:rPr>
      </w:pPr>
      <w:r w:rsidRPr="096AC924">
        <w:rPr>
          <w:rFonts w:ascii="Calibri" w:eastAsia="Calibri" w:hAnsi="Calibri" w:cs="Calibri"/>
        </w:rPr>
        <w:t xml:space="preserve">Atualmente, o método de Monte Carlo é muito usado em diferentes áreas </w:t>
      </w:r>
      <w:r w:rsidR="4958A302" w:rsidRPr="096AC924">
        <w:rPr>
          <w:rFonts w:ascii="Calibri" w:eastAsia="Calibri" w:hAnsi="Calibri" w:cs="Calibri"/>
        </w:rPr>
        <w:t>científicas</w:t>
      </w:r>
      <w:r w:rsidR="4220EFE8" w:rsidRPr="096AC924">
        <w:rPr>
          <w:rFonts w:ascii="Calibri" w:eastAsia="Calibri" w:hAnsi="Calibri" w:cs="Calibri"/>
        </w:rPr>
        <w:t>.</w:t>
      </w:r>
      <w:r w:rsidRPr="096AC924">
        <w:rPr>
          <w:rFonts w:ascii="Calibri" w:eastAsia="Calibri" w:hAnsi="Calibri" w:cs="Calibri"/>
        </w:rPr>
        <w:t xml:space="preserve"> </w:t>
      </w:r>
      <w:r w:rsidR="2F6A0FFC" w:rsidRPr="096AC924">
        <w:rPr>
          <w:rFonts w:ascii="Calibri" w:eastAsia="Calibri" w:hAnsi="Calibri" w:cs="Calibri"/>
        </w:rPr>
        <w:t>(Penelope-2018)</w:t>
      </w:r>
      <w:r w:rsidR="450B1618" w:rsidRPr="096AC924">
        <w:rPr>
          <w:rFonts w:ascii="Calibri" w:eastAsia="Calibri" w:hAnsi="Calibri" w:cs="Calibri"/>
        </w:rPr>
        <w:t>.</w:t>
      </w:r>
      <w:r w:rsidRPr="096AC924">
        <w:rPr>
          <w:rFonts w:ascii="Calibri" w:eastAsia="Calibri" w:hAnsi="Calibri" w:cs="Calibri"/>
        </w:rPr>
        <w:t xml:space="preserve"> Neste trabalho, os métodos de Monte Carlo são aplicados à simulação do transporte de partículas em</w:t>
      </w:r>
      <w:r w:rsidR="372D441A" w:rsidRPr="096AC924">
        <w:rPr>
          <w:rFonts w:ascii="Calibri" w:eastAsia="Calibri" w:hAnsi="Calibri" w:cs="Calibri"/>
        </w:rPr>
        <w:t xml:space="preserve"> diferentes</w:t>
      </w:r>
      <w:r w:rsidRPr="096AC924">
        <w:rPr>
          <w:rFonts w:ascii="Calibri" w:eastAsia="Calibri" w:hAnsi="Calibri" w:cs="Calibri"/>
        </w:rPr>
        <w:t xml:space="preserve"> materiais</w:t>
      </w:r>
      <w:r w:rsidR="41F19D77" w:rsidRPr="096AC924">
        <w:rPr>
          <w:rFonts w:ascii="Calibri" w:eastAsia="Calibri" w:hAnsi="Calibri" w:cs="Calibri"/>
        </w:rPr>
        <w:t>.</w:t>
      </w:r>
    </w:p>
    <w:p w14:paraId="6E035A24" w14:textId="23B02FE9" w:rsidR="49BE7FB3" w:rsidRPr="00E9400B" w:rsidRDefault="49BE7FB3" w:rsidP="00D318A7">
      <w:pPr>
        <w:jc w:val="both"/>
        <w:rPr>
          <w:rFonts w:ascii="Calibri" w:eastAsia="Calibri" w:hAnsi="Calibri" w:cs="Calibri"/>
        </w:rPr>
      </w:pPr>
      <w:r w:rsidRPr="00E9400B">
        <w:rPr>
          <w:rFonts w:ascii="Calibri" w:eastAsia="Calibri" w:hAnsi="Calibri" w:cs="Calibri"/>
        </w:rPr>
        <w:t xml:space="preserve">Na simulação de Monte Carlo de transporte de radiação, uma história de uma partícula é uma sequência aleatória de </w:t>
      </w:r>
      <w:r w:rsidR="20DD7BC8" w:rsidRPr="00E9400B">
        <w:rPr>
          <w:rFonts w:ascii="Calibri" w:eastAsia="Calibri" w:hAnsi="Calibri" w:cs="Calibri"/>
        </w:rPr>
        <w:t>interaçõ</w:t>
      </w:r>
      <w:r w:rsidRPr="00E9400B">
        <w:rPr>
          <w:rFonts w:ascii="Calibri" w:eastAsia="Calibri" w:hAnsi="Calibri" w:cs="Calibri"/>
        </w:rPr>
        <w:t xml:space="preserve">es que terminam </w:t>
      </w:r>
      <w:r w:rsidR="0D704A75" w:rsidRPr="00E9400B">
        <w:rPr>
          <w:rFonts w:ascii="Calibri" w:eastAsia="Calibri" w:hAnsi="Calibri" w:cs="Calibri"/>
        </w:rPr>
        <w:t xml:space="preserve">com uma </w:t>
      </w:r>
      <w:r w:rsidR="7E5ACE75" w:rsidRPr="00E9400B">
        <w:rPr>
          <w:rFonts w:ascii="Calibri" w:eastAsia="Calibri" w:hAnsi="Calibri" w:cs="Calibri"/>
        </w:rPr>
        <w:t>partícula</w:t>
      </w:r>
      <w:r w:rsidR="0D704A75" w:rsidRPr="00E9400B">
        <w:rPr>
          <w:rFonts w:ascii="Calibri" w:eastAsia="Calibri" w:hAnsi="Calibri" w:cs="Calibri"/>
        </w:rPr>
        <w:t xml:space="preserve"> com menor energia, com a direção de movimento diferente e com possível formação de</w:t>
      </w:r>
      <w:r w:rsidRPr="00E9400B">
        <w:rPr>
          <w:rFonts w:ascii="Calibri" w:eastAsia="Calibri" w:hAnsi="Calibri" w:cs="Calibri"/>
        </w:rPr>
        <w:t xml:space="preserve"> partículas secundárias.</w:t>
      </w:r>
      <w:r w:rsidR="41F19D77" w:rsidRPr="00E9400B">
        <w:rPr>
          <w:rFonts w:ascii="Calibri" w:eastAsia="Calibri" w:hAnsi="Calibri" w:cs="Calibri"/>
        </w:rPr>
        <w:t xml:space="preserve"> </w:t>
      </w:r>
    </w:p>
    <w:p w14:paraId="7E9F0E4B" w14:textId="77777777" w:rsidR="00BF1087" w:rsidRDefault="1ADA40A1" w:rsidP="00BF1087">
      <w:pPr>
        <w:keepNext/>
      </w:pPr>
      <w:r>
        <w:rPr>
          <w:noProof/>
        </w:rPr>
        <w:drawing>
          <wp:inline distT="0" distB="0" distL="0" distR="0" wp14:anchorId="43F53823" wp14:editId="7747F581">
            <wp:extent cx="1820333" cy="2745796"/>
            <wp:effectExtent l="0" t="0" r="8890" b="0"/>
            <wp:docPr id="1378157308" name="Imagem 1378157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673" cy="275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E5DA" w14:textId="077AE669" w:rsidR="00061382" w:rsidRPr="00D318A7" w:rsidRDefault="00BF1087" w:rsidP="00D318A7">
      <w:pPr>
        <w:pStyle w:val="Legenda"/>
      </w:pPr>
      <w:r w:rsidRPr="0010369C">
        <w:t xml:space="preserve">Figura </w:t>
      </w:r>
      <w:r>
        <w:fldChar w:fldCharType="begin"/>
      </w:r>
      <w:r w:rsidRPr="0010369C">
        <w:instrText xml:space="preserve"> SEQ Figura \* ARABIC </w:instrText>
      </w:r>
      <w:r>
        <w:fldChar w:fldCharType="separate"/>
      </w:r>
      <w:r w:rsidRPr="0010369C">
        <w:rPr>
          <w:noProof/>
        </w:rPr>
        <w:t>4</w:t>
      </w:r>
      <w:r>
        <w:fldChar w:fldCharType="end"/>
      </w:r>
      <w:r w:rsidR="0010369C">
        <w:t xml:space="preserve">  -Exemplo de uma história de uma partícula, começando com um fotão primário que sofre </w:t>
      </w:r>
      <w:r w:rsidR="0019305C">
        <w:t xml:space="preserve">interações de Compton e produção de pares, levando à formação de </w:t>
      </w:r>
      <w:r w:rsidR="00672FCC">
        <w:t>eletrões</w:t>
      </w:r>
      <w:r w:rsidR="0019305C">
        <w:t xml:space="preserve"> secundários </w:t>
      </w:r>
      <w:r w:rsidR="00672FCC">
        <w:t>e positrões. (Monte Carlo Techniques in Radiation therapy)</w:t>
      </w:r>
    </w:p>
    <w:p w14:paraId="56C1F6FB" w14:textId="4AD22274" w:rsidR="00061382" w:rsidRPr="00D318A7" w:rsidRDefault="00D318A7" w:rsidP="096AC924">
      <w:pPr>
        <w:rPr>
          <w:rFonts w:eastAsia="Calibri" w:cstheme="minorHAnsi"/>
        </w:rPr>
      </w:pPr>
      <w:r>
        <w:rPr>
          <w:rFonts w:eastAsia="Calibri" w:cstheme="minorHAnsi"/>
        </w:rPr>
        <w:tab/>
      </w:r>
      <w:r w:rsidR="00061382" w:rsidRPr="00D318A7">
        <w:rPr>
          <w:rFonts w:eastAsia="Calibri" w:cstheme="minorHAnsi"/>
        </w:rPr>
        <w:t>Uma dada simulação de Monte Carlo</w:t>
      </w:r>
      <w:r w:rsidR="00BF0B9F" w:rsidRPr="00D318A7">
        <w:rPr>
          <w:rFonts w:eastAsia="Calibri" w:cstheme="minorHAnsi"/>
        </w:rPr>
        <w:t xml:space="preserve"> consiste na geração numérica de histórias aleatórias</w:t>
      </w:r>
      <w:r w:rsidR="00704C50" w:rsidRPr="00D318A7">
        <w:rPr>
          <w:rFonts w:eastAsia="Calibri" w:cstheme="minorHAnsi"/>
        </w:rPr>
        <w:t xml:space="preserve">. Para se gerarem </w:t>
      </w:r>
      <w:r w:rsidRPr="00D318A7">
        <w:rPr>
          <w:rFonts w:eastAsia="Calibri" w:cstheme="minorHAnsi"/>
        </w:rPr>
        <w:t>essas</w:t>
      </w:r>
      <w:r w:rsidR="00704C50" w:rsidRPr="00D318A7">
        <w:rPr>
          <w:rFonts w:eastAsia="Calibri" w:cstheme="minorHAnsi"/>
        </w:rPr>
        <w:t xml:space="preserve"> histórias </w:t>
      </w:r>
      <w:r w:rsidR="002A4D31" w:rsidRPr="00D318A7">
        <w:rPr>
          <w:rFonts w:eastAsia="Calibri" w:cstheme="minorHAnsi"/>
        </w:rPr>
        <w:t>é usado um “modelo de interações”, ou seja</w:t>
      </w:r>
      <w:r>
        <w:rPr>
          <w:rFonts w:eastAsia="Calibri" w:cstheme="minorHAnsi"/>
        </w:rPr>
        <w:t>, um modelo que tem</w:t>
      </w:r>
      <w:r w:rsidR="002A4D31" w:rsidRPr="00D318A7">
        <w:rPr>
          <w:rFonts w:eastAsia="Calibri" w:cstheme="minorHAnsi"/>
        </w:rPr>
        <w:t xml:space="preserve"> em conta as secções </w:t>
      </w:r>
      <w:r w:rsidR="00C12CA6" w:rsidRPr="00D318A7">
        <w:rPr>
          <w:rFonts w:eastAsia="Calibri" w:cstheme="minorHAnsi"/>
        </w:rPr>
        <w:t>transversais</w:t>
      </w:r>
      <w:r w:rsidR="004F690F" w:rsidRPr="00D318A7">
        <w:rPr>
          <w:rFonts w:eastAsia="Calibri" w:cstheme="minorHAnsi"/>
        </w:rPr>
        <w:t xml:space="preserve"> diferenciais </w:t>
      </w:r>
      <w:r w:rsidR="00C12CA6" w:rsidRPr="00D318A7">
        <w:rPr>
          <w:rFonts w:eastAsia="Calibri" w:cstheme="minorHAnsi"/>
        </w:rPr>
        <w:t xml:space="preserve">para as interações mais relevantes. Essas secções </w:t>
      </w:r>
      <w:r w:rsidRPr="00D318A7">
        <w:rPr>
          <w:rFonts w:eastAsia="Calibri" w:cstheme="minorHAnsi"/>
        </w:rPr>
        <w:t>transversais</w:t>
      </w:r>
      <w:r w:rsidR="00C12CA6" w:rsidRPr="00D318A7">
        <w:rPr>
          <w:rFonts w:eastAsia="Calibri" w:cstheme="minorHAnsi"/>
        </w:rPr>
        <w:t xml:space="preserve"> vão determinar a probabilidade da interação</w:t>
      </w:r>
      <w:r w:rsidR="00872CB3" w:rsidRPr="00D318A7">
        <w:rPr>
          <w:rFonts w:eastAsia="Calibri" w:cstheme="minorHAnsi"/>
        </w:rPr>
        <w:t>. Depois de conhecidas essas probabilidades</w:t>
      </w:r>
      <w:r w:rsidR="00E07D63" w:rsidRPr="00D318A7">
        <w:rPr>
          <w:rFonts w:eastAsia="Calibri" w:cstheme="minorHAnsi"/>
        </w:rPr>
        <w:t>, as histórias aleatórias são geradas usando métodos de amostragem</w:t>
      </w:r>
      <w:r w:rsidR="00D21F4E" w:rsidRPr="00D318A7">
        <w:rPr>
          <w:rFonts w:eastAsia="Calibri" w:cstheme="minorHAnsi"/>
        </w:rPr>
        <w:t xml:space="preserve">. </w:t>
      </w:r>
      <w:r w:rsidR="00D21F4E" w:rsidRPr="00D318A7">
        <w:rPr>
          <w:rFonts w:cstheme="minorHAnsi"/>
        </w:rPr>
        <w:t>Se o número de histórias geradas for suficientemente grande, a informação quantitativa sobre o processo de transporte pode ser obtida simplesmente através da média das histórias simuladas.</w:t>
      </w:r>
    </w:p>
    <w:p w14:paraId="0A3E75AE" w14:textId="618100D5" w:rsidR="007F186F" w:rsidRPr="00D318A7" w:rsidRDefault="00D318A7" w:rsidP="00DD6341">
      <w:pPr>
        <w:rPr>
          <w:rFonts w:eastAsia="Calibri" w:cstheme="minorHAnsi"/>
        </w:rPr>
      </w:pPr>
      <w:r>
        <w:rPr>
          <w:rFonts w:cstheme="minorHAnsi"/>
        </w:rPr>
        <w:tab/>
      </w:r>
      <w:r w:rsidR="007F186F" w:rsidRPr="00D318A7">
        <w:rPr>
          <w:rFonts w:cstheme="minorHAnsi"/>
        </w:rPr>
        <w:t xml:space="preserve">O principal </w:t>
      </w:r>
      <w:r w:rsidR="00E64A48" w:rsidRPr="00D318A7">
        <w:rPr>
          <w:rFonts w:cstheme="minorHAnsi"/>
        </w:rPr>
        <w:t>problema das técnicas</w:t>
      </w:r>
      <w:r w:rsidR="007F186F" w:rsidRPr="00D318A7">
        <w:rPr>
          <w:rFonts w:cstheme="minorHAnsi"/>
        </w:rPr>
        <w:t xml:space="preserve"> de Monte Carlo </w:t>
      </w:r>
      <w:r>
        <w:rPr>
          <w:rFonts w:cstheme="minorHAnsi"/>
        </w:rPr>
        <w:t>consiste</w:t>
      </w:r>
      <w:r w:rsidR="007F186F" w:rsidRPr="00D318A7">
        <w:rPr>
          <w:rFonts w:cstheme="minorHAnsi"/>
        </w:rPr>
        <w:t xml:space="preserve"> na sua natureza aleatória</w:t>
      </w:r>
      <w:r w:rsidR="00825F5F" w:rsidRPr="00D318A7">
        <w:rPr>
          <w:rFonts w:cstheme="minorHAnsi"/>
        </w:rPr>
        <w:t xml:space="preserve">, ou seja, </w:t>
      </w:r>
      <w:r w:rsidR="007F186F" w:rsidRPr="00D318A7">
        <w:rPr>
          <w:rFonts w:cstheme="minorHAnsi"/>
        </w:rPr>
        <w:t>todos os resultados são afetados por incertezas estatísticas</w:t>
      </w:r>
      <w:r w:rsidR="00825F5F" w:rsidRPr="00D318A7">
        <w:rPr>
          <w:rFonts w:cstheme="minorHAnsi"/>
        </w:rPr>
        <w:t>. Estas incertezas</w:t>
      </w:r>
      <w:r w:rsidR="007F186F" w:rsidRPr="00D318A7">
        <w:rPr>
          <w:rFonts w:cstheme="minorHAnsi"/>
        </w:rPr>
        <w:t xml:space="preserve"> podem ser reduzidas aumen</w:t>
      </w:r>
      <w:r w:rsidR="00FE0EB7" w:rsidRPr="00D318A7">
        <w:rPr>
          <w:rFonts w:cstheme="minorHAnsi"/>
        </w:rPr>
        <w:t xml:space="preserve">tando </w:t>
      </w:r>
      <w:r w:rsidR="007F186F" w:rsidRPr="00D318A7">
        <w:rPr>
          <w:rFonts w:cstheme="minorHAnsi"/>
        </w:rPr>
        <w:t>a população amostrada</w:t>
      </w:r>
      <w:r w:rsidR="00FE0EB7" w:rsidRPr="00D318A7">
        <w:rPr>
          <w:rFonts w:cstheme="minorHAnsi"/>
        </w:rPr>
        <w:t>, o que i</w:t>
      </w:r>
      <w:r w:rsidR="000A1248">
        <w:rPr>
          <w:rFonts w:cstheme="minorHAnsi"/>
        </w:rPr>
        <w:t>rá</w:t>
      </w:r>
      <w:r w:rsidR="00FE0EB7" w:rsidRPr="00D318A7">
        <w:rPr>
          <w:rFonts w:cstheme="minorHAnsi"/>
        </w:rPr>
        <w:t xml:space="preserve"> aumenta</w:t>
      </w:r>
      <w:r w:rsidR="000A1248">
        <w:rPr>
          <w:rFonts w:cstheme="minorHAnsi"/>
        </w:rPr>
        <w:t>r</w:t>
      </w:r>
      <w:r w:rsidR="00FE0EB7" w:rsidRPr="00D318A7">
        <w:rPr>
          <w:rFonts w:cstheme="minorHAnsi"/>
        </w:rPr>
        <w:t xml:space="preserve"> muito o</w:t>
      </w:r>
      <w:r w:rsidR="007F186F" w:rsidRPr="00D318A7">
        <w:rPr>
          <w:rFonts w:cstheme="minorHAnsi"/>
        </w:rPr>
        <w:t xml:space="preserve"> tempo de cálculo.</w:t>
      </w:r>
      <w:r>
        <w:rPr>
          <w:rFonts w:cstheme="minorHAnsi"/>
        </w:rPr>
        <w:t xml:space="preserve"> </w:t>
      </w:r>
      <w:r w:rsidRPr="096AC924">
        <w:rPr>
          <w:rFonts w:ascii="Calibri" w:eastAsia="Calibri" w:hAnsi="Calibri" w:cs="Calibri"/>
        </w:rPr>
        <w:t>(Penelope-2018)</w:t>
      </w:r>
    </w:p>
    <w:p w14:paraId="3AFC4845" w14:textId="685509D1" w:rsidR="00A3784E" w:rsidRPr="00D318A7" w:rsidRDefault="00D318A7" w:rsidP="121F0BA4">
      <w:pPr>
        <w:rPr>
          <w:rFonts w:eastAsia="Calibri"/>
        </w:rPr>
      </w:pPr>
      <w:r>
        <w:rPr>
          <w:rFonts w:eastAsia="Calibri" w:cstheme="minorHAnsi"/>
        </w:rPr>
        <w:tab/>
      </w:r>
      <w:r w:rsidR="41F19D77" w:rsidRPr="121F0BA4">
        <w:rPr>
          <w:rFonts w:eastAsia="Calibri"/>
        </w:rPr>
        <w:t>Existem várias técnicas de Monte Carlo disponíveis, entre elas o MCNP.</w:t>
      </w:r>
    </w:p>
    <w:p w14:paraId="47D816B7" w14:textId="5A123E84" w:rsidR="121F0BA4" w:rsidRDefault="121F0BA4" w:rsidP="121F0BA4">
      <w:pPr>
        <w:rPr>
          <w:rFonts w:eastAsia="Calibri"/>
        </w:rPr>
      </w:pPr>
    </w:p>
    <w:p w14:paraId="52D411AA" w14:textId="6B65219E" w:rsidR="121F0BA4" w:rsidRDefault="121F0BA4" w:rsidP="121F0BA4">
      <w:pPr>
        <w:rPr>
          <w:rFonts w:eastAsia="Calibri"/>
        </w:rPr>
      </w:pPr>
    </w:p>
    <w:p w14:paraId="02741E2E" w14:textId="5B9A4EC9" w:rsidR="121F0BA4" w:rsidRDefault="00984A13" w:rsidP="121F0BA4">
      <w:pPr>
        <w:rPr>
          <w:rFonts w:eastAsia="Calibri"/>
        </w:rPr>
      </w:pPr>
      <w:r>
        <w:rPr>
          <w:rFonts w:eastAsia="Calibri"/>
        </w:rPr>
        <w:lastRenderedPageBreak/>
        <w:t>Fonte</w:t>
      </w:r>
    </w:p>
    <w:p w14:paraId="75B5394E" w14:textId="77777777" w:rsidR="00784F98" w:rsidRDefault="00A56EC2" w:rsidP="121F0BA4">
      <w:pPr>
        <w:rPr>
          <w:rFonts w:eastAsia="Calibri"/>
        </w:rPr>
      </w:pPr>
      <w:r>
        <w:rPr>
          <w:rFonts w:eastAsia="Calibri"/>
        </w:rPr>
        <w:t>Foi simulada uma fonte</w:t>
      </w:r>
      <w:r w:rsidR="007D48B3">
        <w:rPr>
          <w:rFonts w:eastAsia="Calibri"/>
        </w:rPr>
        <w:t xml:space="preserve"> cónica</w:t>
      </w:r>
      <w:r w:rsidR="00116409">
        <w:rPr>
          <w:rFonts w:eastAsia="Calibri"/>
        </w:rPr>
        <w:t xml:space="preserve"> na direção z, a emitir de cima para baixo de forma a atingir a superfície do tanque de água, localizado a SSD=100</w:t>
      </w:r>
      <w:r w:rsidR="007D48B3">
        <w:rPr>
          <w:rFonts w:eastAsia="Calibri"/>
        </w:rPr>
        <w:t xml:space="preserve">. </w:t>
      </w:r>
      <w:r w:rsidR="00BA1A99">
        <w:rPr>
          <w:rFonts w:eastAsia="Calibri"/>
        </w:rPr>
        <w:t xml:space="preserve">Como </w:t>
      </w:r>
      <w:r w:rsidR="00867616">
        <w:rPr>
          <w:rFonts w:eastAsia="Calibri"/>
        </w:rPr>
        <w:t xml:space="preserve">mencionado, todas as especificações da fonte são definidas na </w:t>
      </w:r>
      <w:r w:rsidR="00867616" w:rsidRPr="00867616">
        <w:rPr>
          <w:rFonts w:eastAsia="Calibri"/>
          <w:i/>
          <w:iCs/>
        </w:rPr>
        <w:t>data card</w:t>
      </w:r>
      <w:r w:rsidR="00867616">
        <w:rPr>
          <w:rFonts w:eastAsia="Calibri"/>
        </w:rPr>
        <w:t>, através do comando SDEF.</w:t>
      </w:r>
      <w:r w:rsidR="00873A5A">
        <w:rPr>
          <w:rFonts w:eastAsia="Calibri"/>
        </w:rPr>
        <w:t xml:space="preserve"> Desta forma, o código </w:t>
      </w:r>
      <w:r w:rsidR="00784F98">
        <w:rPr>
          <w:rFonts w:eastAsia="Calibri"/>
        </w:rPr>
        <w:t>usado para definir a fonte é o seguinte:</w:t>
      </w:r>
    </w:p>
    <w:p w14:paraId="57BDC57C" w14:textId="16E1F65E" w:rsidR="121F0BA4" w:rsidRDefault="00784F98" w:rsidP="121F0BA4">
      <w:pPr>
        <w:rPr>
          <w:rFonts w:eastAsia="Calibri"/>
        </w:rPr>
      </w:pPr>
      <w:r>
        <w:rPr>
          <w:rFonts w:eastAsia="Calibri"/>
        </w:rPr>
        <w:t xml:space="preserve"> </w:t>
      </w:r>
      <w:r>
        <w:rPr>
          <w:rFonts w:eastAsia="Calibri"/>
          <w:noProof/>
        </w:rPr>
        <w:drawing>
          <wp:inline distT="0" distB="0" distL="0" distR="0" wp14:anchorId="5923A62B" wp14:editId="6EBAE8AD">
            <wp:extent cx="4749800" cy="762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B9CDC" w14:textId="19724697" w:rsidR="121F0BA4" w:rsidRDefault="00EA58FD" w:rsidP="121F0BA4">
      <w:pPr>
        <w:rPr>
          <w:rFonts w:eastAsia="Calibri"/>
        </w:rPr>
      </w:pPr>
      <w:r>
        <w:rPr>
          <w:rFonts w:eastAsia="Calibri"/>
        </w:rPr>
        <w:t xml:space="preserve">Percebe-se assim que, </w:t>
      </w:r>
      <w:r w:rsidR="00D20ACE">
        <w:rPr>
          <w:rFonts w:eastAsia="Calibri"/>
        </w:rPr>
        <w:t xml:space="preserve">as partículas emitidas pela fonte são fotões, a uma </w:t>
      </w:r>
      <w:r w:rsidR="003747C9">
        <w:rPr>
          <w:rFonts w:eastAsia="Calibri"/>
        </w:rPr>
        <w:t>distância</w:t>
      </w:r>
      <w:r w:rsidR="00D20ACE">
        <w:rPr>
          <w:rFonts w:eastAsia="Calibri"/>
        </w:rPr>
        <w:t xml:space="preserve"> </w:t>
      </w:r>
      <w:r w:rsidR="0089741C">
        <w:rPr>
          <w:rFonts w:eastAsia="Calibri"/>
        </w:rPr>
        <w:t>de 115 cm do centro de referencial</w:t>
      </w:r>
      <w:r w:rsidR="004D6A1A">
        <w:rPr>
          <w:rFonts w:eastAsia="Calibri"/>
        </w:rPr>
        <w:t xml:space="preserve">, de forma a atingir a superfície do tanque com </w:t>
      </w:r>
      <w:r w:rsidR="00F72BD4">
        <w:rPr>
          <w:rFonts w:eastAsia="Calibri"/>
        </w:rPr>
        <w:t>SSD=100 cm</w:t>
      </w:r>
      <w:r w:rsidR="006E08A6">
        <w:rPr>
          <w:rFonts w:eastAsia="Calibri"/>
        </w:rPr>
        <w:t xml:space="preserve">. A fonte emite segundo o vetor VEC= 0 0 -1, </w:t>
      </w:r>
      <w:r w:rsidR="003747C9">
        <w:rPr>
          <w:rFonts w:eastAsia="Calibri"/>
        </w:rPr>
        <w:t>ou seja,</w:t>
      </w:r>
      <w:r w:rsidR="006E08A6">
        <w:rPr>
          <w:rFonts w:eastAsia="Calibri"/>
        </w:rPr>
        <w:t xml:space="preserve"> emite </w:t>
      </w:r>
      <w:r w:rsidR="003747C9">
        <w:rPr>
          <w:rFonts w:eastAsia="Calibri"/>
        </w:rPr>
        <w:t>no sentido negativo do eixo z.</w:t>
      </w:r>
    </w:p>
    <w:p w14:paraId="335C278C" w14:textId="10E3B0D5" w:rsidR="00973641" w:rsidRDefault="002C255D" w:rsidP="121F0BA4">
      <w:pPr>
        <w:rPr>
          <w:rFonts w:eastAsia="Calibri"/>
        </w:rPr>
      </w:pPr>
      <w:r>
        <w:rPr>
          <w:rFonts w:eastAsia="Calibri"/>
        </w:rPr>
        <w:t xml:space="preserve">O parâmetro DIR permite definir a direção das partículas, que neste caso </w:t>
      </w:r>
      <w:r w:rsidR="003D1E0B">
        <w:rPr>
          <w:rFonts w:eastAsia="Calibri"/>
        </w:rPr>
        <w:t>emitem de acordo com uma distribuição</w:t>
      </w:r>
      <w:r w:rsidR="00A4385D">
        <w:rPr>
          <w:rFonts w:eastAsia="Calibri"/>
        </w:rPr>
        <w:t xml:space="preserve"> cónica.</w:t>
      </w:r>
      <w:r w:rsidR="0090174F">
        <w:rPr>
          <w:rFonts w:eastAsia="Calibri"/>
        </w:rPr>
        <w:t xml:space="preserve"> O angulo mínimo segundo o qual a fonte irá emitir foi calculado </w:t>
      </w:r>
      <w:r w:rsidR="00C1479E">
        <w:rPr>
          <w:rFonts w:eastAsia="Calibri"/>
        </w:rPr>
        <w:t xml:space="preserve">conhecendo o tamanho do lado do </w:t>
      </w:r>
      <w:r w:rsidR="00973641">
        <w:rPr>
          <w:rFonts w:eastAsia="Calibri"/>
        </w:rPr>
        <w:t>quadrado</w:t>
      </w:r>
      <w:r w:rsidR="00C1479E">
        <w:rPr>
          <w:rFonts w:eastAsia="Calibri"/>
        </w:rPr>
        <w:t xml:space="preserve"> a 35.7 cm da fonte</w:t>
      </w:r>
      <w:r w:rsidR="001D2595">
        <w:rPr>
          <w:rFonts w:eastAsia="Calibri"/>
        </w:rPr>
        <w:t xml:space="preserve"> (ano passado)</w:t>
      </w:r>
      <w:r w:rsidR="00C1479E">
        <w:rPr>
          <w:rFonts w:eastAsia="Calibri"/>
        </w:rPr>
        <w:t xml:space="preserve">, </w:t>
      </w:r>
      <w:r w:rsidR="00973641">
        <w:rPr>
          <w:rFonts w:eastAsia="Calibri"/>
        </w:rPr>
        <w:t xml:space="preserve">calculado </w:t>
      </w:r>
      <w:r w:rsidR="008A7BAE">
        <w:rPr>
          <w:rFonts w:eastAsia="Calibri"/>
        </w:rPr>
        <w:t>anteriormente</w:t>
      </w:r>
      <w:r w:rsidR="00973641">
        <w:rPr>
          <w:rFonts w:eastAsia="Calibri"/>
        </w:rPr>
        <w:t>.</w:t>
      </w:r>
      <w:r w:rsidR="003C3D65">
        <w:rPr>
          <w:rFonts w:eastAsia="Calibri"/>
        </w:rPr>
        <w:t xml:space="preserve"> </w:t>
      </w:r>
      <w:r w:rsidR="00973641">
        <w:rPr>
          <w:rFonts w:eastAsia="Calibri"/>
        </w:rPr>
        <w:t xml:space="preserve">Desta forma foi possível determinar </w:t>
      </w:r>
      <w:r w:rsidR="00D061B8">
        <w:rPr>
          <w:rFonts w:eastAsia="Calibri"/>
        </w:rPr>
        <w:t>o raio mínimo que o fei</w:t>
      </w:r>
      <w:r w:rsidR="008A7BAE">
        <w:rPr>
          <w:rFonts w:eastAsia="Calibri"/>
        </w:rPr>
        <w:t>x</w:t>
      </w:r>
      <w:r w:rsidR="00D061B8">
        <w:rPr>
          <w:rFonts w:eastAsia="Calibri"/>
        </w:rPr>
        <w:t>e tem de ter</w:t>
      </w:r>
      <w:r w:rsidR="008A7BAE">
        <w:rPr>
          <w:rFonts w:eastAsia="Calibri"/>
        </w:rPr>
        <w:t xml:space="preserve">, de forma a gerar um campo </w:t>
      </w:r>
      <m:oMath>
        <m:r>
          <w:rPr>
            <w:rFonts w:ascii="Cambria Math" w:eastAsia="Calibri" w:hAnsi="Cambria Math"/>
          </w:rPr>
          <m:t xml:space="preserve">5 ×5 </m:t>
        </m:r>
        <m:sSup>
          <m:sSupPr>
            <m:ctrlPr>
              <w:rPr>
                <w:rFonts w:ascii="Cambria Math" w:eastAsia="Calibri" w:hAnsi="Cambria Math"/>
                <w:i/>
              </w:rPr>
            </m:ctrlPr>
          </m:sSupPr>
          <m:e>
            <m:r>
              <w:rPr>
                <w:rFonts w:ascii="Cambria Math" w:eastAsia="Calibri" w:hAnsi="Cambria Math"/>
              </w:rPr>
              <m:t>cm</m:t>
            </m:r>
          </m:e>
          <m:sup>
            <m:r>
              <w:rPr>
                <w:rFonts w:ascii="Cambria Math" w:eastAsia="Calibri" w:hAnsi="Cambria Math"/>
              </w:rPr>
              <m:t>2</m:t>
            </m:r>
          </m:sup>
        </m:sSup>
      </m:oMath>
      <w:r w:rsidR="00CB28B5">
        <w:rPr>
          <w:rFonts w:eastAsia="Calibri"/>
        </w:rPr>
        <w:t xml:space="preserve"> a 35.7 cm da fonte</w:t>
      </w:r>
      <w:r w:rsidR="000F682D">
        <w:rPr>
          <w:rFonts w:eastAsia="Calibri"/>
        </w:rPr>
        <w:t>.</w:t>
      </w:r>
    </w:p>
    <w:p w14:paraId="3D09B039" w14:textId="77777777" w:rsidR="000F682D" w:rsidRPr="00987423" w:rsidRDefault="003C3D65" w:rsidP="000F682D">
      <w:pPr>
        <w:rPr>
          <w:rFonts w:eastAsia="Calibri"/>
        </w:rPr>
      </w:pPr>
      <m:oMathPara>
        <m:oMath>
          <m:sSubSup>
            <m:sSubSupPr>
              <m:ctrlPr>
                <w:rPr>
                  <w:rFonts w:ascii="Cambria Math" w:eastAsia="Calibri" w:hAnsi="Cambria Math"/>
                  <w:i/>
                </w:rPr>
              </m:ctrlPr>
            </m:sSubSup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min</m:t>
              </m:r>
            </m:sub>
            <m:sup>
              <m:r>
                <w:rPr>
                  <w:rFonts w:ascii="Cambria Math" w:eastAsia="Calibri" w:hAnsi="Cambria Math"/>
                </w:rPr>
                <m:t>2</m:t>
              </m:r>
            </m:sup>
          </m:sSubSup>
          <m:r>
            <w:rPr>
              <w:rFonts w:ascii="Cambria Math" w:eastAsia="Calibri" w:hAnsi="Cambria Math"/>
            </w:rPr>
            <m:t>=</m:t>
          </m:r>
          <m:sSup>
            <m:sSupPr>
              <m:ctrlPr>
                <w:rPr>
                  <w:rFonts w:ascii="Cambria Math" w:eastAsia="Calibri" w:hAnsi="Cambria Math"/>
                  <w:i/>
                </w:rPr>
              </m:ctrlPr>
            </m:sSupPr>
            <m:e>
              <m:r>
                <w:rPr>
                  <w:rFonts w:ascii="Cambria Math" w:eastAsia="Calibri" w:hAnsi="Cambria Math"/>
                </w:rPr>
                <m:t>1.785</m:t>
              </m:r>
            </m:e>
            <m:sup>
              <m:r>
                <w:rPr>
                  <w:rFonts w:ascii="Cambria Math" w:eastAsia="Calibri" w:hAnsi="Cambria Math"/>
                </w:rPr>
                <m:t>2</m:t>
              </m:r>
            </m:sup>
          </m:sSup>
          <m:r>
            <w:rPr>
              <w:rFonts w:ascii="Cambria Math" w:eastAsia="Calibri" w:hAnsi="Cambria Math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</w:rPr>
              </m:ctrlPr>
            </m:sSupPr>
            <m:e>
              <m:r>
                <w:rPr>
                  <w:rFonts w:ascii="Cambria Math" w:eastAsia="Calibri" w:hAnsi="Cambria Math"/>
                </w:rPr>
                <m:t>1.785</m:t>
              </m:r>
            </m:e>
            <m:sup>
              <m:r>
                <w:rPr>
                  <w:rFonts w:ascii="Cambria Math" w:eastAsia="Calibri" w:hAnsi="Cambria Math"/>
                </w:rPr>
                <m:t>2</m:t>
              </m:r>
            </m:sup>
          </m:sSup>
        </m:oMath>
      </m:oMathPara>
    </w:p>
    <w:p w14:paraId="2E3DB816" w14:textId="27E43D50" w:rsidR="000F682D" w:rsidRDefault="003C3D65" w:rsidP="121F0BA4">
      <w:pPr>
        <w:rPr>
          <w:rFonts w:eastAsia="Calibri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min</m:t>
              </m:r>
            </m:sub>
          </m:sSub>
          <m:r>
            <w:rPr>
              <w:rFonts w:ascii="Cambria Math" w:eastAsia="Calibri" w:hAnsi="Cambria Math"/>
            </w:rPr>
            <m:t>=2.524</m:t>
          </m:r>
        </m:oMath>
      </m:oMathPara>
    </w:p>
    <w:p w14:paraId="310B125D" w14:textId="3D7221D7" w:rsidR="121F0BA4" w:rsidRDefault="000F682D" w:rsidP="121F0BA4">
      <w:pPr>
        <w:rPr>
          <w:rFonts w:eastAsia="Calibri"/>
        </w:rPr>
      </w:pPr>
      <w:r>
        <w:rPr>
          <w:rFonts w:eastAsia="Calibri"/>
        </w:rPr>
        <w:t>Recorrendo à figura x é p</w:t>
      </w:r>
      <w:r w:rsidR="00B23036">
        <w:rPr>
          <w:rFonts w:eastAsia="Calibri"/>
        </w:rPr>
        <w:t>ossível determinar o angulo mínimo de emissão:</w:t>
      </w:r>
    </w:p>
    <w:p w14:paraId="4C5F7C74" w14:textId="77777777" w:rsidR="00B23036" w:rsidRPr="00EA0CEE" w:rsidRDefault="003C3D65" w:rsidP="00B23036">
      <w:pPr>
        <w:rPr>
          <w:rFonts w:eastAsia="Calibri"/>
        </w:rPr>
      </w:pPr>
      <m:oMathPara>
        <m:oMath>
          <m:func>
            <m:funcPr>
              <m:ctrlPr>
                <w:rPr>
                  <w:rFonts w:ascii="Cambria Math" w:eastAsia="Calibri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min</m:t>
                  </m:r>
                </m:sub>
              </m:sSub>
              <m:r>
                <w:rPr>
                  <w:rFonts w:ascii="Cambria Math" w:eastAsia="Calibri" w:hAnsi="Cambria Math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</w:rPr>
                    <m:t>2.524</m:t>
                  </m:r>
                </m:num>
                <m:den>
                  <m:r>
                    <w:rPr>
                      <w:rFonts w:ascii="Cambria Math" w:eastAsia="Calibri" w:hAnsi="Cambria Math"/>
                    </w:rPr>
                    <m:t>35.7</m:t>
                  </m:r>
                </m:den>
              </m:f>
            </m:e>
          </m:func>
        </m:oMath>
      </m:oMathPara>
    </w:p>
    <w:p w14:paraId="06365818" w14:textId="77777777" w:rsidR="00B23036" w:rsidRPr="00EA0CEE" w:rsidRDefault="003C3D65" w:rsidP="00B23036">
      <w:pPr>
        <w:rPr>
          <w:rFonts w:eastAsia="Calibri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θ</m:t>
              </m:r>
            </m:e>
            <m:sub>
              <m:r>
                <w:rPr>
                  <w:rFonts w:ascii="Cambria Math" w:eastAsia="Calibri" w:hAnsi="Cambria Math"/>
                </w:rPr>
                <m:t>min</m:t>
              </m:r>
            </m:sub>
          </m:sSub>
          <m:r>
            <w:rPr>
              <w:rFonts w:ascii="Cambria Math" w:eastAsia="Calibri" w:hAnsi="Cambria Math"/>
            </w:rPr>
            <m:t>=4.04°</m:t>
          </m:r>
        </m:oMath>
      </m:oMathPara>
    </w:p>
    <w:p w14:paraId="4BAD263F" w14:textId="67A0DB1A" w:rsidR="002B53F7" w:rsidRDefault="002B53F7" w:rsidP="002B53F7">
      <w:pPr>
        <w:rPr>
          <w:rFonts w:eastAsia="Calibri"/>
        </w:rPr>
      </w:pPr>
      <w:r>
        <w:rPr>
          <w:rFonts w:eastAsia="Calibri"/>
        </w:rPr>
        <w:t xml:space="preserve">Este valor foi arredondado para </w:t>
      </w:r>
      <m:oMath>
        <m:r>
          <w:rPr>
            <w:rFonts w:ascii="Cambria Math" w:eastAsia="Calibri" w:hAnsi="Cambria Math"/>
          </w:rPr>
          <m:t>θ=5°</m:t>
        </m:r>
      </m:oMath>
      <w:r w:rsidR="00BC13BA">
        <w:rPr>
          <w:rFonts w:eastAsia="Calibri"/>
        </w:rPr>
        <w:t>.</w:t>
      </w:r>
    </w:p>
    <w:p w14:paraId="5E8917B6" w14:textId="1CBC5A73" w:rsidR="00B23036" w:rsidRDefault="00B23036" w:rsidP="121F0BA4">
      <w:pPr>
        <w:rPr>
          <w:rFonts w:eastAsia="Calibri"/>
        </w:rPr>
      </w:pPr>
    </w:p>
    <w:p w14:paraId="12C7537E" w14:textId="186C68DC" w:rsidR="00B23036" w:rsidRDefault="00E62CBE" w:rsidP="121F0BA4">
      <w:pPr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11FF77F9" wp14:editId="30811400">
            <wp:extent cx="1972733" cy="2386965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28" r="31753"/>
                    <a:stretch/>
                  </pic:blipFill>
                  <pic:spPr bwMode="auto">
                    <a:xfrm>
                      <a:off x="0" y="0"/>
                      <a:ext cx="1972733" cy="238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1782A" w14:textId="609FBC62" w:rsidR="004E5520" w:rsidRDefault="00455A4F" w:rsidP="121F0BA4">
      <w:pPr>
        <w:rPr>
          <w:rFonts w:eastAsia="Calibri"/>
        </w:rPr>
      </w:pPr>
      <w:r>
        <w:rPr>
          <w:rFonts w:eastAsia="Calibri"/>
        </w:rPr>
        <w:t>O parâmetro DIR define o cosseno do angulo relativamente à direção espe</w:t>
      </w:r>
      <w:r w:rsidR="00C05A7D">
        <w:rPr>
          <w:rFonts w:eastAsia="Calibri"/>
        </w:rPr>
        <w:t xml:space="preserve">cificada </w:t>
      </w:r>
      <w:r>
        <w:rPr>
          <w:rFonts w:eastAsia="Calibri"/>
        </w:rPr>
        <w:t>em VEC</w:t>
      </w:r>
      <w:r w:rsidR="00C05A7D">
        <w:rPr>
          <w:rFonts w:eastAsia="Calibri"/>
        </w:rPr>
        <w:t xml:space="preserve">. </w:t>
      </w:r>
      <w:r w:rsidR="00D97328">
        <w:rPr>
          <w:rFonts w:eastAsia="Calibri"/>
        </w:rPr>
        <w:t xml:space="preserve">Como queremos que emita em algumas direções é necessário definir uma distribuição de forma a criar um </w:t>
      </w:r>
      <w:r w:rsidR="00D97328">
        <w:rPr>
          <w:rFonts w:eastAsia="Calibri"/>
        </w:rPr>
        <w:lastRenderedPageBreak/>
        <w:t>viés numa determinada direção</w:t>
      </w:r>
      <w:r w:rsidR="004E5520">
        <w:rPr>
          <w:rFonts w:eastAsia="Calibri"/>
        </w:rPr>
        <w:t xml:space="preserve">. </w:t>
      </w:r>
      <w:proofErr w:type="gramStart"/>
      <w:r w:rsidR="004E5520">
        <w:rPr>
          <w:rFonts w:eastAsia="Calibri"/>
        </w:rPr>
        <w:t xml:space="preserve">( </w:t>
      </w:r>
      <w:r w:rsidR="001D2595">
        <w:rPr>
          <w:rFonts w:eastAsia="Calibri"/>
        </w:rPr>
        <w:t>primer</w:t>
      </w:r>
      <w:proofErr w:type="gramEnd"/>
      <w:r w:rsidR="004E5520">
        <w:rPr>
          <w:rFonts w:eastAsia="Calibri"/>
        </w:rPr>
        <w:t>)</w:t>
      </w:r>
      <w:r w:rsidR="008D3C5E">
        <w:rPr>
          <w:rFonts w:eastAsia="Calibri"/>
        </w:rPr>
        <w:t xml:space="preserve">. </w:t>
      </w:r>
      <w:r w:rsidR="004E5520">
        <w:rPr>
          <w:rFonts w:eastAsia="Calibri"/>
        </w:rPr>
        <w:t xml:space="preserve">Assim, é necessário usar as </w:t>
      </w:r>
      <w:r w:rsidR="004E5520" w:rsidRPr="008D3C5E">
        <w:rPr>
          <w:rFonts w:eastAsia="Calibri"/>
          <w:i/>
          <w:iCs/>
        </w:rPr>
        <w:t xml:space="preserve">cards </w:t>
      </w:r>
      <w:r w:rsidR="004E5520">
        <w:rPr>
          <w:rFonts w:eastAsia="Calibri"/>
        </w:rPr>
        <w:t>SI, SP e SB já explicadas em cima.</w:t>
      </w:r>
    </w:p>
    <w:p w14:paraId="05A01B29" w14:textId="09278114" w:rsidR="00BA67E8" w:rsidRDefault="00BA67E8" w:rsidP="121F0BA4">
      <w:pPr>
        <w:rPr>
          <w:rFonts w:eastAsia="Calibri"/>
        </w:rPr>
      </w:pPr>
      <w:r>
        <w:rPr>
          <w:rFonts w:eastAsia="Calibri"/>
        </w:rPr>
        <w:t xml:space="preserve">Os valores de SI correspondem aos </w:t>
      </w:r>
      <w:r w:rsidR="00385110">
        <w:rPr>
          <w:rFonts w:eastAsia="Calibri"/>
        </w:rPr>
        <w:t>limites superiores dos bins que especificam o cosseno do angulo</w:t>
      </w:r>
      <w:r w:rsidR="002A6202">
        <w:rPr>
          <w:rFonts w:eastAsia="Calibri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μ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</m:sSub>
        <m:r>
          <w:rPr>
            <w:rFonts w:ascii="Cambria Math" w:eastAsia="Calibri" w:hAnsi="Cambria Math"/>
          </w:rPr>
          <m:t>=</m:t>
        </m:r>
        <m:func>
          <m:funcPr>
            <m:ctrlPr>
              <w:rPr>
                <w:rFonts w:ascii="Cambria Math" w:eastAsia="Calibri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="Calibri" w:hAnsi="Cambria Math"/>
                    <w:i/>
                  </w:rPr>
                </m:ctrlPr>
              </m:sSubPr>
              <m:e>
                <m:r>
                  <w:rPr>
                    <w:rFonts w:ascii="Cambria Math" w:eastAsia="Calibri" w:hAnsi="Cambria Math"/>
                  </w:rPr>
                  <m:t>θ</m:t>
                </m:r>
              </m:e>
              <m:sub>
                <m:r>
                  <w:rPr>
                    <w:rFonts w:ascii="Cambria Math" w:eastAsia="Calibri" w:hAnsi="Cambria Math"/>
                  </w:rPr>
                  <m:t>i</m:t>
                </m:r>
              </m:sub>
            </m:sSub>
          </m:e>
        </m:func>
      </m:oMath>
      <w:r w:rsidR="002A6202">
        <w:rPr>
          <w:rFonts w:eastAsia="Calibri"/>
        </w:rPr>
        <w:t>em ordem ascendente (primer)</w:t>
      </w:r>
      <w:r w:rsidR="0056322F">
        <w:rPr>
          <w:rFonts w:eastAsia="Calibri"/>
        </w:rPr>
        <w:t xml:space="preserve">. Pela figura </w:t>
      </w:r>
      <w:proofErr w:type="gramStart"/>
      <w:r w:rsidR="0056322F">
        <w:rPr>
          <w:rFonts w:eastAsia="Calibri"/>
        </w:rPr>
        <w:t>x ,</w:t>
      </w:r>
      <w:proofErr w:type="gramEnd"/>
      <w:r w:rsidR="0056322F">
        <w:rPr>
          <w:rFonts w:eastAsia="Calibri"/>
        </w:rPr>
        <w:t xml:space="preserve"> vemos que os valores colocados em SI correspondem a </w:t>
      </w:r>
      <m:oMath>
        <m:func>
          <m:funcPr>
            <m:ctrlPr>
              <w:rPr>
                <w:rFonts w:ascii="Cambria Math" w:eastAsia="Calibri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="Calibri" w:hAnsi="Cambria Math"/>
                    <w:i/>
                  </w:rPr>
                </m:ctrlPr>
              </m:dPr>
              <m:e>
                <m:r>
                  <w:rPr>
                    <w:rFonts w:ascii="Cambria Math" w:eastAsia="Calibri" w:hAnsi="Cambria Math"/>
                  </w:rPr>
                  <m:t>180°</m:t>
                </m:r>
              </m:e>
            </m:d>
            <m:r>
              <w:rPr>
                <w:rFonts w:ascii="Cambria Math" w:eastAsia="Calibri" w:hAnsi="Cambria Math"/>
              </w:rPr>
              <m:t>=-1</m:t>
            </m:r>
          </m:e>
        </m:func>
      </m:oMath>
      <w:r w:rsidR="00003929">
        <w:rPr>
          <w:rFonts w:eastAsia="Calibri"/>
        </w:rPr>
        <w:t xml:space="preserve">, </w:t>
      </w:r>
      <m:oMath>
        <m:func>
          <m:funcPr>
            <m:ctrlPr>
              <w:rPr>
                <w:rFonts w:ascii="Cambria Math" w:eastAsia="Calibri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="Calibri" w:hAnsi="Cambria Math"/>
                    <w:i/>
                  </w:rPr>
                </m:ctrlPr>
              </m:dPr>
              <m:e>
                <m:r>
                  <w:rPr>
                    <w:rFonts w:ascii="Cambria Math" w:eastAsia="Calibri" w:hAnsi="Cambria Math"/>
                  </w:rPr>
                  <m:t>5°</m:t>
                </m:r>
              </m:e>
            </m:d>
            <m:r>
              <w:rPr>
                <w:rFonts w:ascii="Cambria Math" w:eastAsia="Calibri" w:hAnsi="Cambria Math"/>
              </w:rPr>
              <m:t>=-0.996</m:t>
            </m:r>
          </m:e>
        </m:func>
      </m:oMath>
      <w:r w:rsidR="008D3C5E">
        <w:rPr>
          <w:rFonts w:eastAsia="Calibri"/>
        </w:rPr>
        <w:t xml:space="preserve"> e </w:t>
      </w:r>
      <m:oMath>
        <m:func>
          <m:funcPr>
            <m:ctrlPr>
              <w:rPr>
                <w:rFonts w:ascii="Cambria Math" w:eastAsia="Calibri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="Calibri" w:hAnsi="Cambria Math"/>
                    <w:i/>
                  </w:rPr>
                </m:ctrlPr>
              </m:dPr>
              <m:e>
                <m:r>
                  <w:rPr>
                    <w:rFonts w:ascii="Cambria Math" w:eastAsia="Calibri" w:hAnsi="Cambria Math"/>
                  </w:rPr>
                  <m:t>0°</m:t>
                </m:r>
              </m:e>
            </m:d>
            <m:r>
              <w:rPr>
                <w:rFonts w:ascii="Cambria Math" w:eastAsia="Calibri" w:hAnsi="Cambria Math"/>
              </w:rPr>
              <m:t>=1</m:t>
            </m:r>
          </m:e>
        </m:func>
      </m:oMath>
      <w:r w:rsidR="008D3C5E">
        <w:rPr>
          <w:rFonts w:eastAsia="Calibri"/>
        </w:rPr>
        <w:t>.</w:t>
      </w:r>
      <w:r w:rsidR="00043190">
        <w:rPr>
          <w:rFonts w:eastAsia="Calibri"/>
        </w:rPr>
        <w:t xml:space="preserve"> </w:t>
      </w:r>
    </w:p>
    <w:p w14:paraId="4F97C661" w14:textId="5DC1E957" w:rsidR="00634A77" w:rsidRPr="00634A77" w:rsidRDefault="00DF4364" w:rsidP="121F0BA4">
      <w:pPr>
        <w:rPr>
          <w:rFonts w:eastAsia="Calibri"/>
        </w:rPr>
      </w:pPr>
      <w:r>
        <w:rPr>
          <w:rFonts w:eastAsia="Calibri"/>
        </w:rPr>
        <w:t>A</w:t>
      </w:r>
      <w:r w:rsidR="005B3668">
        <w:rPr>
          <w:rFonts w:eastAsia="Calibri"/>
        </w:rPr>
        <w:t xml:space="preserve"> </w:t>
      </w:r>
      <w:r w:rsidR="005B3668" w:rsidRPr="002D382A">
        <w:rPr>
          <w:rFonts w:eastAsia="Calibri"/>
          <w:i/>
          <w:iCs/>
        </w:rPr>
        <w:t>card</w:t>
      </w:r>
      <w:r w:rsidR="005B3668">
        <w:rPr>
          <w:rFonts w:eastAsia="Calibri"/>
        </w:rPr>
        <w:t xml:space="preserve"> SP </w:t>
      </w:r>
      <w:r>
        <w:rPr>
          <w:rFonts w:eastAsia="Calibri"/>
        </w:rPr>
        <w:t>dá a fração do angulo sólido relativa a cada bin</w:t>
      </w:r>
      <w:r w:rsidR="00F36BB3">
        <w:rPr>
          <w:rFonts w:eastAsia="Calibri"/>
        </w:rPr>
        <w:t xml:space="preserve">, e calcula-se recorrendo à </w:t>
      </w:r>
      <w:r w:rsidR="002D382A">
        <w:rPr>
          <w:rFonts w:eastAsia="Calibri"/>
        </w:rPr>
        <w:t>fórmula</w:t>
      </w:r>
      <w:r w:rsidR="00F36BB3">
        <w:rPr>
          <w:rFonts w:eastAsia="Calibri"/>
        </w:rPr>
        <w:t>: (primer)</w:t>
      </w:r>
    </w:p>
    <w:p w14:paraId="151D7155" w14:textId="22F649F4" w:rsidR="00011905" w:rsidRPr="004713E3" w:rsidRDefault="003C3D65" w:rsidP="121F0BA4">
      <w:pPr>
        <w:rPr>
          <w:rFonts w:eastAsia="Calibri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fsa</m:t>
              </m:r>
            </m:e>
            <m:sub>
              <m:r>
                <w:rPr>
                  <w:rFonts w:ascii="Cambria Math" w:eastAsia="Calibri" w:hAnsi="Cambria Math"/>
                </w:rPr>
                <m:t>i</m:t>
              </m:r>
            </m:sub>
          </m:sSub>
          <m: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eastAsia="Calibri" w:hAnsi="Cambria Math"/>
                </w:rPr>
                <m:t>-(1-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μ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i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num>
            <m:den>
              <m:r>
                <w:rPr>
                  <w:rFonts w:ascii="Cambria Math" w:eastAsia="Calibri" w:hAnsi="Cambria Math"/>
                </w:rPr>
                <m:t>2</m:t>
              </m:r>
            </m:den>
          </m:f>
        </m:oMath>
      </m:oMathPara>
    </w:p>
    <w:p w14:paraId="5D7FEA9C" w14:textId="6697A9D4" w:rsidR="004713E3" w:rsidRDefault="001C4D68" w:rsidP="121F0BA4">
      <w:pPr>
        <w:rPr>
          <w:rFonts w:eastAsia="Calibri"/>
        </w:rPr>
      </w:pPr>
      <w:r>
        <w:rPr>
          <w:rFonts w:eastAsia="Calibri"/>
        </w:rPr>
        <w:t>A</w:t>
      </w:r>
      <w:r w:rsidR="004D6E8C">
        <w:rPr>
          <w:rFonts w:eastAsia="Calibri"/>
        </w:rPr>
        <w:t xml:space="preserve"> </w:t>
      </w:r>
      <w:r w:rsidR="004D6E8C" w:rsidRPr="0087051F">
        <w:rPr>
          <w:rFonts w:eastAsia="Calibri"/>
          <w:i/>
          <w:iCs/>
        </w:rPr>
        <w:t>card</w:t>
      </w:r>
      <w:r w:rsidR="004D6E8C">
        <w:rPr>
          <w:rFonts w:eastAsia="Calibri"/>
        </w:rPr>
        <w:t xml:space="preserve"> SB </w:t>
      </w:r>
      <w:r w:rsidR="00711E38">
        <w:rPr>
          <w:rFonts w:eastAsia="Calibri"/>
        </w:rPr>
        <w:t>especifica</w:t>
      </w:r>
      <w:r w:rsidR="004D6E8C">
        <w:rPr>
          <w:rFonts w:eastAsia="Calibri"/>
        </w:rPr>
        <w:t xml:space="preserve"> a </w:t>
      </w:r>
      <w:r w:rsidR="00711E38">
        <w:rPr>
          <w:rFonts w:eastAsia="Calibri"/>
        </w:rPr>
        <w:t xml:space="preserve">probabilidade desejada de emissão de cada bin. Como só </w:t>
      </w:r>
      <w:r w:rsidR="0087051F">
        <w:rPr>
          <w:rFonts w:eastAsia="Calibri"/>
        </w:rPr>
        <w:t>queremos que emita na fração de angulo sólido definido o último valor</w:t>
      </w:r>
      <w:r w:rsidR="00F1526E">
        <w:rPr>
          <w:rFonts w:eastAsia="Calibri"/>
        </w:rPr>
        <w:t xml:space="preserve"> irá</w:t>
      </w:r>
      <w:r w:rsidR="0087051F">
        <w:rPr>
          <w:rFonts w:eastAsia="Calibri"/>
        </w:rPr>
        <w:t xml:space="preserve"> corresponde</w:t>
      </w:r>
      <w:r w:rsidR="00F1526E">
        <w:rPr>
          <w:rFonts w:eastAsia="Calibri"/>
        </w:rPr>
        <w:t>r</w:t>
      </w:r>
      <w:r w:rsidR="0087051F">
        <w:rPr>
          <w:rFonts w:eastAsia="Calibri"/>
        </w:rPr>
        <w:t xml:space="preserve"> a 1.</w:t>
      </w:r>
      <w:r w:rsidR="00F1526E">
        <w:rPr>
          <w:rFonts w:eastAsia="Calibri"/>
        </w:rPr>
        <w:t xml:space="preserve"> (primer)</w:t>
      </w:r>
    </w:p>
    <w:p w14:paraId="0AE0CA33" w14:textId="0AD8CD99" w:rsidR="3FC2FC79" w:rsidRDefault="001C4D68" w:rsidP="121F0BA4">
      <w:pPr>
        <w:rPr>
          <w:rFonts w:eastAsia="Calibri"/>
        </w:rPr>
      </w:pPr>
      <w:r>
        <w:rPr>
          <w:rFonts w:eastAsia="Calibri"/>
        </w:rPr>
        <w:t xml:space="preserve">Por </w:t>
      </w:r>
      <w:r w:rsidR="00894942">
        <w:rPr>
          <w:rFonts w:eastAsia="Calibri"/>
        </w:rPr>
        <w:t>último</w:t>
      </w:r>
      <w:r>
        <w:rPr>
          <w:rFonts w:eastAsia="Calibri"/>
        </w:rPr>
        <w:t xml:space="preserve">, </w:t>
      </w:r>
      <w:r w:rsidR="005F136B">
        <w:rPr>
          <w:rFonts w:eastAsia="Calibri"/>
        </w:rPr>
        <w:t xml:space="preserve">no parâmetro ERG </w:t>
      </w:r>
      <w:r>
        <w:rPr>
          <w:rFonts w:eastAsia="Calibri"/>
        </w:rPr>
        <w:t>f</w:t>
      </w:r>
      <w:r w:rsidR="3FC2FC79" w:rsidRPr="121F0BA4">
        <w:rPr>
          <w:rFonts w:eastAsia="Calibri"/>
        </w:rPr>
        <w:t>oi usado um histograma de energias correspondente a</w:t>
      </w:r>
      <w:r w:rsidR="00427B43">
        <w:rPr>
          <w:rFonts w:eastAsia="Calibri"/>
        </w:rPr>
        <w:t xml:space="preserve"> um</w:t>
      </w:r>
      <w:r w:rsidR="3FC2FC79" w:rsidRPr="121F0BA4">
        <w:rPr>
          <w:rFonts w:eastAsia="Calibri"/>
        </w:rPr>
        <w:t xml:space="preserve"> LINAC da Varian com 6 MV</w:t>
      </w:r>
      <w:r w:rsidR="005F136B">
        <w:rPr>
          <w:rFonts w:eastAsia="Calibri"/>
        </w:rPr>
        <w:t xml:space="preserve"> (</w:t>
      </w:r>
      <w:r w:rsidR="003C2FCF">
        <w:rPr>
          <w:rFonts w:eastAsia="Calibri"/>
        </w:rPr>
        <w:t>referencia fonte)</w:t>
      </w:r>
      <w:r w:rsidR="007D18A9">
        <w:rPr>
          <w:rFonts w:eastAsia="Calibri"/>
        </w:rPr>
        <w:t xml:space="preserve">. Para tal, foram definidas mais duas </w:t>
      </w:r>
      <w:r w:rsidR="007D18A9" w:rsidRPr="005A5E3D">
        <w:rPr>
          <w:rFonts w:eastAsia="Calibri"/>
          <w:i/>
          <w:iCs/>
        </w:rPr>
        <w:t>cards</w:t>
      </w:r>
      <w:r w:rsidR="007D18A9">
        <w:rPr>
          <w:rFonts w:eastAsia="Calibri"/>
        </w:rPr>
        <w:t>, SI e SP</w:t>
      </w:r>
      <w:r w:rsidR="005B6AA1">
        <w:rPr>
          <w:rFonts w:eastAsia="Calibri"/>
        </w:rPr>
        <w:t>, onde SI corresponde aos limites d</w:t>
      </w:r>
      <w:r w:rsidR="00F225D1">
        <w:rPr>
          <w:rFonts w:eastAsia="Calibri"/>
        </w:rPr>
        <w:t>o</w:t>
      </w:r>
      <w:r w:rsidR="005B6AA1">
        <w:rPr>
          <w:rFonts w:eastAsia="Calibri"/>
        </w:rPr>
        <w:t xml:space="preserve"> histograma </w:t>
      </w:r>
      <w:r w:rsidR="00F225D1">
        <w:rPr>
          <w:rFonts w:eastAsia="Calibri"/>
        </w:rPr>
        <w:t xml:space="preserve">(em MeV) </w:t>
      </w:r>
      <w:r w:rsidR="005B6AA1">
        <w:rPr>
          <w:rFonts w:eastAsia="Calibri"/>
        </w:rPr>
        <w:t xml:space="preserve">e </w:t>
      </w:r>
      <w:r w:rsidR="005A5E3D">
        <w:rPr>
          <w:rFonts w:eastAsia="Calibri"/>
        </w:rPr>
        <w:t>SP corresponde à probabilidade de cada bin. (primer)</w:t>
      </w:r>
    </w:p>
    <w:p w14:paraId="1AE1E541" w14:textId="6724BCB0" w:rsidR="0013122A" w:rsidRDefault="0013122A" w:rsidP="121F0BA4">
      <w:pPr>
        <w:rPr>
          <w:rFonts w:eastAsia="Calibri"/>
        </w:rPr>
      </w:pPr>
    </w:p>
    <w:p w14:paraId="0767901F" w14:textId="2B10A31F" w:rsidR="0013122A" w:rsidRDefault="0013122A" w:rsidP="121F0BA4">
      <w:pPr>
        <w:rPr>
          <w:rFonts w:eastAsia="Calibri"/>
        </w:rPr>
      </w:pPr>
    </w:p>
    <w:sectPr w:rsidR="001312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72CFF1"/>
    <w:rsid w:val="00003929"/>
    <w:rsid w:val="00011905"/>
    <w:rsid w:val="00043190"/>
    <w:rsid w:val="00046084"/>
    <w:rsid w:val="000532CB"/>
    <w:rsid w:val="00061382"/>
    <w:rsid w:val="000A1248"/>
    <w:rsid w:val="000C75E6"/>
    <w:rsid w:val="000F682D"/>
    <w:rsid w:val="0010369C"/>
    <w:rsid w:val="00112EEF"/>
    <w:rsid w:val="00113281"/>
    <w:rsid w:val="00116409"/>
    <w:rsid w:val="00130250"/>
    <w:rsid w:val="0013122A"/>
    <w:rsid w:val="00144507"/>
    <w:rsid w:val="0019305C"/>
    <w:rsid w:val="001C4D68"/>
    <w:rsid w:val="001D0D96"/>
    <w:rsid w:val="001D2595"/>
    <w:rsid w:val="0026436B"/>
    <w:rsid w:val="00286F1C"/>
    <w:rsid w:val="002A4D31"/>
    <w:rsid w:val="002A6202"/>
    <w:rsid w:val="002B53F7"/>
    <w:rsid w:val="002C255D"/>
    <w:rsid w:val="002D035D"/>
    <w:rsid w:val="002D382A"/>
    <w:rsid w:val="002D5D30"/>
    <w:rsid w:val="00310045"/>
    <w:rsid w:val="0031528C"/>
    <w:rsid w:val="00315DAF"/>
    <w:rsid w:val="00331E15"/>
    <w:rsid w:val="003747C9"/>
    <w:rsid w:val="00385110"/>
    <w:rsid w:val="003973F7"/>
    <w:rsid w:val="003C28D3"/>
    <w:rsid w:val="003C2FCF"/>
    <w:rsid w:val="003C3D65"/>
    <w:rsid w:val="003D1E0B"/>
    <w:rsid w:val="003D34DA"/>
    <w:rsid w:val="00427B43"/>
    <w:rsid w:val="00455A4F"/>
    <w:rsid w:val="004713E3"/>
    <w:rsid w:val="00473BE4"/>
    <w:rsid w:val="00476F7F"/>
    <w:rsid w:val="004D6A1A"/>
    <w:rsid w:val="004D6E8C"/>
    <w:rsid w:val="004E5520"/>
    <w:rsid w:val="004F690F"/>
    <w:rsid w:val="00500863"/>
    <w:rsid w:val="0050211F"/>
    <w:rsid w:val="0052115C"/>
    <w:rsid w:val="0056322F"/>
    <w:rsid w:val="005A5E3D"/>
    <w:rsid w:val="005B3668"/>
    <w:rsid w:val="005B6AA1"/>
    <w:rsid w:val="005F136B"/>
    <w:rsid w:val="00617C32"/>
    <w:rsid w:val="00634A77"/>
    <w:rsid w:val="00672FCC"/>
    <w:rsid w:val="00682E0C"/>
    <w:rsid w:val="006E08A6"/>
    <w:rsid w:val="00704C50"/>
    <w:rsid w:val="00711E38"/>
    <w:rsid w:val="0073405E"/>
    <w:rsid w:val="007506F3"/>
    <w:rsid w:val="00784F98"/>
    <w:rsid w:val="007D18A9"/>
    <w:rsid w:val="007D48B3"/>
    <w:rsid w:val="007F186F"/>
    <w:rsid w:val="007F67DA"/>
    <w:rsid w:val="00825F5F"/>
    <w:rsid w:val="00835B75"/>
    <w:rsid w:val="0083728C"/>
    <w:rsid w:val="00844BF8"/>
    <w:rsid w:val="00855251"/>
    <w:rsid w:val="00867616"/>
    <w:rsid w:val="0087051F"/>
    <w:rsid w:val="00872CB3"/>
    <w:rsid w:val="00873A5A"/>
    <w:rsid w:val="00894942"/>
    <w:rsid w:val="0089741C"/>
    <w:rsid w:val="008A75CB"/>
    <w:rsid w:val="008A7BAE"/>
    <w:rsid w:val="008D3C5E"/>
    <w:rsid w:val="008E3F87"/>
    <w:rsid w:val="0090174F"/>
    <w:rsid w:val="00926BA2"/>
    <w:rsid w:val="00973641"/>
    <w:rsid w:val="0098386E"/>
    <w:rsid w:val="00984A13"/>
    <w:rsid w:val="00985EB4"/>
    <w:rsid w:val="00987423"/>
    <w:rsid w:val="009A07D5"/>
    <w:rsid w:val="009A14FF"/>
    <w:rsid w:val="00A3784E"/>
    <w:rsid w:val="00A4385D"/>
    <w:rsid w:val="00A56EC2"/>
    <w:rsid w:val="00A601B6"/>
    <w:rsid w:val="00A75501"/>
    <w:rsid w:val="00AC1B53"/>
    <w:rsid w:val="00AD1F4A"/>
    <w:rsid w:val="00B23036"/>
    <w:rsid w:val="00B24B20"/>
    <w:rsid w:val="00B6596B"/>
    <w:rsid w:val="00B9FAF3"/>
    <w:rsid w:val="00BA1A99"/>
    <w:rsid w:val="00BA67E8"/>
    <w:rsid w:val="00BC13BA"/>
    <w:rsid w:val="00BC4B8C"/>
    <w:rsid w:val="00BF0B9F"/>
    <w:rsid w:val="00BF1087"/>
    <w:rsid w:val="00C05A7D"/>
    <w:rsid w:val="00C12CA6"/>
    <w:rsid w:val="00C1479E"/>
    <w:rsid w:val="00C3457A"/>
    <w:rsid w:val="00CA634D"/>
    <w:rsid w:val="00CB28B5"/>
    <w:rsid w:val="00CF2355"/>
    <w:rsid w:val="00D061B8"/>
    <w:rsid w:val="00D174A9"/>
    <w:rsid w:val="00D20ACE"/>
    <w:rsid w:val="00D21F4E"/>
    <w:rsid w:val="00D22F67"/>
    <w:rsid w:val="00D318A7"/>
    <w:rsid w:val="00D33F06"/>
    <w:rsid w:val="00D40C89"/>
    <w:rsid w:val="00D52D8C"/>
    <w:rsid w:val="00D75EC1"/>
    <w:rsid w:val="00D93D77"/>
    <w:rsid w:val="00D97328"/>
    <w:rsid w:val="00DC4DE6"/>
    <w:rsid w:val="00DF4364"/>
    <w:rsid w:val="00E01AA0"/>
    <w:rsid w:val="00E07D63"/>
    <w:rsid w:val="00E3342D"/>
    <w:rsid w:val="00E53FD9"/>
    <w:rsid w:val="00E62CBE"/>
    <w:rsid w:val="00E64A48"/>
    <w:rsid w:val="00E75E92"/>
    <w:rsid w:val="00E81881"/>
    <w:rsid w:val="00E9400B"/>
    <w:rsid w:val="00EA0CEE"/>
    <w:rsid w:val="00EA58FD"/>
    <w:rsid w:val="00EB26FC"/>
    <w:rsid w:val="00EC67D0"/>
    <w:rsid w:val="00EF4F03"/>
    <w:rsid w:val="00F1526E"/>
    <w:rsid w:val="00F225D1"/>
    <w:rsid w:val="00F36BB3"/>
    <w:rsid w:val="00F72BD4"/>
    <w:rsid w:val="00FA37DC"/>
    <w:rsid w:val="00FB3880"/>
    <w:rsid w:val="00FE0EB7"/>
    <w:rsid w:val="096AC924"/>
    <w:rsid w:val="0D704A75"/>
    <w:rsid w:val="121F0BA4"/>
    <w:rsid w:val="1468B7AD"/>
    <w:rsid w:val="1A4FA77F"/>
    <w:rsid w:val="1ADA40A1"/>
    <w:rsid w:val="1B199621"/>
    <w:rsid w:val="1FD3DEE7"/>
    <w:rsid w:val="20DD7BC8"/>
    <w:rsid w:val="27B0EA71"/>
    <w:rsid w:val="2F6A0FFC"/>
    <w:rsid w:val="2FA5E400"/>
    <w:rsid w:val="30431E0C"/>
    <w:rsid w:val="30459247"/>
    <w:rsid w:val="372D441A"/>
    <w:rsid w:val="3DFB72CA"/>
    <w:rsid w:val="3FC2FC79"/>
    <w:rsid w:val="40EABB2F"/>
    <w:rsid w:val="41F19D77"/>
    <w:rsid w:val="4220EFE8"/>
    <w:rsid w:val="44C487D6"/>
    <w:rsid w:val="450B1618"/>
    <w:rsid w:val="45A8423B"/>
    <w:rsid w:val="475286E8"/>
    <w:rsid w:val="4958A302"/>
    <w:rsid w:val="49BE7FB3"/>
    <w:rsid w:val="4C0ED89F"/>
    <w:rsid w:val="50F8D261"/>
    <w:rsid w:val="55E3C586"/>
    <w:rsid w:val="576813E5"/>
    <w:rsid w:val="5C3B8508"/>
    <w:rsid w:val="60F5CDCE"/>
    <w:rsid w:val="6719F240"/>
    <w:rsid w:val="674FFACC"/>
    <w:rsid w:val="6C406DFB"/>
    <w:rsid w:val="6D3C3D86"/>
    <w:rsid w:val="6FE894AB"/>
    <w:rsid w:val="7037D0D5"/>
    <w:rsid w:val="739B84EC"/>
    <w:rsid w:val="7876E395"/>
    <w:rsid w:val="791EF103"/>
    <w:rsid w:val="7B72CFF1"/>
    <w:rsid w:val="7C201326"/>
    <w:rsid w:val="7D4A54B8"/>
    <w:rsid w:val="7E5ACE75"/>
    <w:rsid w:val="7F5D9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2CFF1"/>
  <w15:chartTrackingRefBased/>
  <w15:docId w15:val="{D92A9996-1F7B-42AA-A722-2D55E940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0C75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CF23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7BFD9-31BF-447A-B1CB-C7753B6EF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1067</Words>
  <Characters>5767</Characters>
  <Application>Microsoft Office Word</Application>
  <DocSecurity>0</DocSecurity>
  <Lines>48</Lines>
  <Paragraphs>13</Paragraphs>
  <ScaleCrop>false</ScaleCrop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Inês Teixeira Gama</dc:creator>
  <cp:keywords/>
  <dc:description/>
  <cp:lastModifiedBy>Maria Gama</cp:lastModifiedBy>
  <cp:revision>154</cp:revision>
  <dcterms:created xsi:type="dcterms:W3CDTF">2021-06-10T08:10:00Z</dcterms:created>
  <dcterms:modified xsi:type="dcterms:W3CDTF">2021-07-22T17:57:00Z</dcterms:modified>
</cp:coreProperties>
</file>