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7B625" w14:textId="77777777"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507E5CCB" wp14:editId="1ABAB196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3A659" w14:textId="77777777"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18D1764E" w14:textId="77777777" w:rsidR="00FD0FA0" w:rsidRPr="002A7040" w:rsidRDefault="00000000" w:rsidP="0057219D">
      <w:pPr>
        <w:spacing w:after="24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  <w:r w:rsidR="00986937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="00670498"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14:paraId="36B45D3C" w14:textId="5815FEB9" w:rsidR="00FD0FA0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KEPUTUSAN </w:t>
      </w:r>
      <w:r w:rsid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KEPALA</w:t>
      </w:r>
    </w:p>
    <w:p w14:paraId="4069AAE7" w14:textId="77777777"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14:paraId="30CE2D2C" w14:textId="77777777" w:rsidR="00986937" w:rsidRPr="002A7040" w:rsidRDefault="00986937" w:rsidP="00986937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</w:t>
      </w: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70A7AEDF" w14:textId="77777777"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14:paraId="6BECA28F" w14:textId="4A897A2D" w:rsidR="00986937" w:rsidRPr="00986937" w:rsidRDefault="00CE617B" w:rsidP="00CE617B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PENETAPAN </w:t>
      </w:r>
      <w:r w:rsidRPr="00CE617B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CE617B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>MONTH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BULAN</w:t>
      </w:r>
      <w:proofErr w:type="gramEnd"/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ubulan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TAHUN 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} 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14:paraId="03A97FA8" w14:textId="77777777" w:rsidR="00CE617B" w:rsidRDefault="00CE617B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KEPALA</w:t>
      </w:r>
    </w:p>
    <w:p w14:paraId="61A40E09" w14:textId="2AEDE651" w:rsid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14:paraId="58DDFC36" w14:textId="77777777" w:rsidR="00CE617B" w:rsidRDefault="00CE617B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10207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7991"/>
      </w:tblGrid>
      <w:tr w:rsidR="002A7040" w:rsidRPr="002A7040" w14:paraId="35CF62F7" w14:textId="77777777" w:rsidTr="000E27CD">
        <w:tc>
          <w:tcPr>
            <w:tcW w:w="1980" w:type="dxa"/>
          </w:tcPr>
          <w:p w14:paraId="6DBB4728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44A5CC35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084763E1" w14:textId="7518507D" w:rsidR="00FD0FA0" w:rsidRPr="002A7040" w:rsidRDefault="00CE617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proofErr w:type="gram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meningkatkan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motivasi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dan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kedisiplinan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 stimulus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bagi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meningkatkan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dan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penghargaan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bagi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yang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bekerja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baik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maka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dilakukan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penghargaan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pegawai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gelar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CE617B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Employee  of  the  Month</w:t>
            </w:r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di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lingkungan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Badan  Pusat 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Hulu  Sungai  Tengah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2A7040" w:rsidRPr="002A7040" w14:paraId="54C47C14" w14:textId="77777777" w:rsidTr="000E27CD">
        <w:tc>
          <w:tcPr>
            <w:tcW w:w="1980" w:type="dxa"/>
          </w:tcPr>
          <w:p w14:paraId="7014685B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59F467F6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6FFE59A7" w14:textId="77777777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Undang-</w:t>
            </w:r>
            <w:proofErr w:type="gramStart"/>
            <w:r w:rsidRPr="004B4345">
              <w:rPr>
                <w:rFonts w:ascii="Bookman Old Style" w:hAnsi="Bookman Old Style"/>
                <w:sz w:val="24"/>
                <w:szCs w:val="24"/>
              </w:rPr>
              <w:t>Undang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proofErr w:type="gram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28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1999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Negara yang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Bersih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dan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Bebas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Dari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Kolusi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,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Korupsi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,  dan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Nepotisme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3582);</w:t>
            </w:r>
          </w:p>
          <w:p w14:paraId="0BC24B9D" w14:textId="77777777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Undang-</w:t>
            </w:r>
            <w:proofErr w:type="gramStart"/>
            <w:r w:rsidRPr="004B4345">
              <w:rPr>
                <w:rFonts w:ascii="Bookman Old Style" w:hAnsi="Bookman Old Style"/>
                <w:sz w:val="24"/>
                <w:szCs w:val="24"/>
              </w:rPr>
              <w:t>Undang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proofErr w:type="gram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5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2015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Sipil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Negara  (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2014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6,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Repub!ik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5494);</w:t>
            </w:r>
          </w:p>
          <w:p w14:paraId="37DB87E6" w14:textId="77777777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proofErr w:type="gram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proofErr w:type="gram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11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2017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Manajemen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Pegawai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Negeri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Sipil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(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2017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63,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Tambahan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Republik  Indonesia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6037); </w:t>
            </w:r>
          </w:p>
          <w:p w14:paraId="7BF94F6E" w14:textId="77777777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proofErr w:type="gram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Presiden</w:t>
            </w:r>
            <w:proofErr w:type="spellEnd"/>
            <w:proofErr w:type="gram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86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2007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Badan  Pusat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Statistik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; </w:t>
            </w:r>
          </w:p>
          <w:p w14:paraId="266916BD" w14:textId="77777777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proofErr w:type="gram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Menteri</w:t>
            </w:r>
            <w:proofErr w:type="gram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Pendayagunaan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:  PER/15/M.PAN/7/2008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Umum Reformasi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Birokrasi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289A1A2B" w14:textId="7C5BCE4B" w:rsidR="004B4345" w:rsidRPr="004B4345" w:rsidRDefault="004B4345" w:rsidP="004B4345">
            <w:pPr>
              <w:numPr>
                <w:ilvl w:val="0"/>
                <w:numId w:val="1"/>
              </w:numPr>
              <w:tabs>
                <w:tab w:val="left" w:pos="720"/>
              </w:tabs>
              <w:spacing w:after="120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Menteri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pendayagunaan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Negara  dan  Reformasi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Birokrasi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52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2014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Pembangunan  Zona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Integritas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Menuju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Wilayah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Bebas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Dari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Korupsi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dan  Wilayah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Birokrasi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Bersih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dan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Melayani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di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Lingkungan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Instansi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(Berita  Negara  Republik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2014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1813),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terlah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diubah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terakhir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r w:rsidRPr="004B4345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Menteri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pendayagunaan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Aparatur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Negara  dan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Refonnasi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Birokrasi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Republik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10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2019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Pedoman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Pembangunan  Zona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Intergritas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Menuju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Wilayah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Bebas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Dari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Korupsi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dan  Wilayah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Birokrasi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Bersih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dan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Melayani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di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Lingkungan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Instansi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Pemerintah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(Berita  Negara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Reublik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Indonesia 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2019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 671)</w:t>
            </w:r>
            <w:r>
              <w:rPr>
                <w:rFonts w:ascii="Bookman Old Style" w:hAnsi="Bookman Old Style"/>
                <w:sz w:val="24"/>
                <w:szCs w:val="24"/>
              </w:rPr>
              <w:t>;</w:t>
            </w:r>
          </w:p>
          <w:p w14:paraId="3F846286" w14:textId="69061ACB" w:rsidR="0057219D" w:rsidRPr="004B4345" w:rsidRDefault="004B4345" w:rsidP="004B43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Badan Pusat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Statistik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5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2023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Organisasi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dan Tata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Badan Pusat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Statistik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Provinsi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dan Badan Pusat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Statistik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4B4345">
              <w:rPr>
                <w:rFonts w:ascii="Bookman Old Style" w:hAnsi="Bookman Old Style"/>
                <w:sz w:val="24"/>
                <w:szCs w:val="24"/>
              </w:rPr>
              <w:t>Kabupaten</w:t>
            </w:r>
            <w:proofErr w:type="spellEnd"/>
            <w:r w:rsidRPr="004B4345">
              <w:rPr>
                <w:rFonts w:ascii="Bookman Old Style" w:hAnsi="Bookman Old Style"/>
                <w:sz w:val="24"/>
                <w:szCs w:val="24"/>
              </w:rPr>
              <w:t>/Kota</w:t>
            </w:r>
            <w:r>
              <w:rPr>
                <w:rFonts w:ascii="Bookman Old Style" w:hAnsi="Bookman Old Style"/>
                <w:sz w:val="24"/>
                <w:szCs w:val="24"/>
              </w:rPr>
              <w:t>;</w:t>
            </w:r>
          </w:p>
        </w:tc>
      </w:tr>
      <w:tr w:rsidR="0057219D" w:rsidRPr="002A7040" w14:paraId="6F804472" w14:textId="77777777" w:rsidTr="000E27CD">
        <w:tc>
          <w:tcPr>
            <w:tcW w:w="10207" w:type="dxa"/>
            <w:gridSpan w:val="3"/>
          </w:tcPr>
          <w:p w14:paraId="10D8FD76" w14:textId="77777777" w:rsidR="000E27CD" w:rsidRPr="00986937" w:rsidRDefault="0057219D" w:rsidP="000E2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-100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MEMUTUSKAN</w:t>
            </w:r>
          </w:p>
        </w:tc>
      </w:tr>
      <w:tr w:rsidR="0057219D" w:rsidRPr="002A7040" w14:paraId="1821A761" w14:textId="77777777" w:rsidTr="000E27CD">
        <w:tc>
          <w:tcPr>
            <w:tcW w:w="1980" w:type="dxa"/>
          </w:tcPr>
          <w:p w14:paraId="26CECC8A" w14:textId="77777777"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236" w:type="dxa"/>
          </w:tcPr>
          <w:p w14:paraId="66899F2D" w14:textId="77777777"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48AC6168" w14:textId="44740508" w:rsidR="0057219D" w:rsidRPr="00986937" w:rsidRDefault="00707ADF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gram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  KEPALA</w:t>
            </w:r>
            <w:proofErr w:type="gram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BADAN  PUSAT  STATISTIK  KABUPATEN  HULU SUNGAI  TENGAH  TENTANG  PENETAPAN  EMPLOYEE  OF  THE  MONTH BULAN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ubulan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CE617B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TAHUN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BADAN  PUSAT  STATISTIK  KABUPATEN HULU  SUNGAI  TENGAH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  <w:tr w:rsidR="0057219D" w:rsidRPr="002A7040" w14:paraId="5BAB51AD" w14:textId="77777777" w:rsidTr="000E27CD">
        <w:tc>
          <w:tcPr>
            <w:tcW w:w="1980" w:type="dxa"/>
          </w:tcPr>
          <w:p w14:paraId="5E1EEA7C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KESATU</w:t>
            </w:r>
          </w:p>
        </w:tc>
        <w:tc>
          <w:tcPr>
            <w:tcW w:w="236" w:type="dxa"/>
          </w:tcPr>
          <w:p w14:paraId="6316845E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71E0E482" w14:textId="7C2311B6" w:rsidR="0057219D" w:rsidRDefault="00707ADF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pegawai</w:t>
            </w:r>
            <w:proofErr w:type="spellEnd"/>
            <w:proofErr w:type="gram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yang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namanya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kolom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2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lampiran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r w:rsidRPr="00707ADF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Employee  Of  The  Month</w:t>
            </w: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Bulan 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bulan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Badan  Pusat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Hulu  Sungai  Tengah.</w:t>
            </w:r>
          </w:p>
        </w:tc>
      </w:tr>
      <w:tr w:rsidR="0057219D" w:rsidRPr="002A7040" w14:paraId="230AF6C7" w14:textId="77777777" w:rsidTr="000E27CD">
        <w:tc>
          <w:tcPr>
            <w:tcW w:w="1980" w:type="dxa"/>
          </w:tcPr>
          <w:p w14:paraId="56693CD4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KEDUA</w:t>
            </w:r>
          </w:p>
        </w:tc>
        <w:tc>
          <w:tcPr>
            <w:tcW w:w="236" w:type="dxa"/>
          </w:tcPr>
          <w:p w14:paraId="1E4F68D5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677588B8" w14:textId="3C815DD6" w:rsidR="0057219D" w:rsidRPr="0057219D" w:rsidRDefault="00707ADF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Keputusan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berlaku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mulai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ditetapkan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ketentuan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apabila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dikemudian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ternyata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terdapat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kekeliruan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diadakan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mestinya</w:t>
            </w:r>
            <w:proofErr w:type="spellEnd"/>
            <w:r w:rsidRPr="00707ADF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8CA2F3C" w14:textId="77777777"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0E27CD" w:rsidRPr="00580679" w14:paraId="3BCDC35D" w14:textId="77777777" w:rsidTr="000E27CD">
        <w:trPr>
          <w:jc w:val="right"/>
        </w:trPr>
        <w:tc>
          <w:tcPr>
            <w:tcW w:w="4820" w:type="dxa"/>
          </w:tcPr>
          <w:p w14:paraId="0D6EB456" w14:textId="77777777" w:rsidR="00707ADF" w:rsidRDefault="00707ADF" w:rsidP="000E27CD">
            <w:pPr>
              <w:tabs>
                <w:tab w:val="left" w:pos="1743"/>
              </w:tabs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14:paraId="0F82E5C5" w14:textId="49F9C105" w:rsidR="000E27CD" w:rsidRPr="00580679" w:rsidRDefault="000E27CD" w:rsidP="000E27CD">
            <w:pPr>
              <w:tabs>
                <w:tab w:val="left" w:pos="1743"/>
              </w:tabs>
              <w:rPr>
                <w:rFonts w:ascii="Bookman Old Style" w:hAnsi="Bookman Old Style" w:cstheme="minorHAnsi"/>
                <w:sz w:val="24"/>
                <w:szCs w:val="24"/>
              </w:rPr>
            </w:pP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Ditetapkan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 :</w:t>
            </w:r>
            <w:proofErr w:type="gramEnd"/>
            <w:r w:rsidR="00580679"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proofErr w:type="spellStart"/>
            <w:r w:rsidR="00580679" w:rsidRPr="00580679">
              <w:rPr>
                <w:rFonts w:ascii="Bookman Old Style" w:hAnsi="Bookman Old Style" w:cstheme="minorHAnsi"/>
                <w:sz w:val="24"/>
                <w:szCs w:val="24"/>
              </w:rPr>
              <w:t>Barabai</w:t>
            </w:r>
            <w:proofErr w:type="spellEnd"/>
          </w:p>
          <w:p w14:paraId="2BB5694B" w14:textId="77777777" w:rsidR="000E27CD" w:rsidRPr="00580679" w:rsidRDefault="000E27CD" w:rsidP="000E27CD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Pada </w:t>
            </w:r>
            <w:proofErr w:type="spellStart"/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Tanggal</w:t>
            </w:r>
            <w:proofErr w:type="spell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:</w:t>
            </w:r>
            <w:proofErr w:type="gram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${</w:t>
            </w:r>
            <w:proofErr w:type="spellStart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>tanggal</w:t>
            </w:r>
            <w:proofErr w:type="spell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14:paraId="69953AF5" w14:textId="50BEBF4F" w:rsidR="000E27CD" w:rsidRPr="00580679" w:rsidRDefault="00707ADF" w:rsidP="00561B70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r w:rsidR="000E27CD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STATISTIK </w:t>
            </w:r>
          </w:p>
          <w:p w14:paraId="1D03CB9B" w14:textId="77777777"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14:paraId="35A6C3CA" w14:textId="77777777"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59B1E4FD" w14:textId="77777777" w:rsidR="002A7040" w:rsidRPr="00580679" w:rsidRDefault="002A7040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18AA9820" w14:textId="77777777" w:rsidR="00561B70" w:rsidRDefault="00561B70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497464CC" w14:textId="77777777" w:rsidR="00844B59" w:rsidRPr="00580679" w:rsidRDefault="00844B59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39AD1C6" w14:textId="77777777" w:rsidR="000E27CD" w:rsidRPr="00580679" w:rsidRDefault="000E27CD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456E8414" w14:textId="70322DE8" w:rsidR="002A7040" w:rsidRPr="00580679" w:rsidRDefault="002A7040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="000E27CD"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k</w:t>
            </w:r>
            <w:r w:rsidR="00707ADF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epala</w:t>
            </w:r>
            <w:proofErr w:type="spellEnd"/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0E27CD" w:rsidRPr="00580679" w14:paraId="493AC049" w14:textId="77777777" w:rsidTr="000E27CD">
        <w:trPr>
          <w:jc w:val="right"/>
        </w:trPr>
        <w:tc>
          <w:tcPr>
            <w:tcW w:w="4820" w:type="dxa"/>
          </w:tcPr>
          <w:p w14:paraId="5FCCA74B" w14:textId="3AFE5895"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NIP. ${</w:t>
            </w: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nipk</w:t>
            </w:r>
            <w:r w:rsidR="00707ADF">
              <w:rPr>
                <w:rFonts w:ascii="Bookman Old Style" w:hAnsi="Bookman Old Style" w:cstheme="minorHAnsi"/>
                <w:sz w:val="24"/>
                <w:szCs w:val="24"/>
              </w:rPr>
              <w:t>e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pa</w:t>
            </w:r>
            <w:r w:rsidR="00707ADF">
              <w:rPr>
                <w:rFonts w:ascii="Bookman Old Style" w:hAnsi="Bookman Old Style" w:cstheme="minorHAnsi"/>
                <w:sz w:val="24"/>
                <w:szCs w:val="24"/>
              </w:rPr>
              <w:t>la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</w:tbl>
    <w:p w14:paraId="5CEEB13D" w14:textId="4A992C1D" w:rsidR="00561B70" w:rsidRPr="00580679" w:rsidRDefault="00561B70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br w:type="page"/>
      </w:r>
    </w:p>
    <w:p w14:paraId="74EDEF81" w14:textId="15419D8E"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LAMPIRAN </w:t>
      </w: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KEPUTUSAN </w:t>
      </w:r>
      <w:r w:rsid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KEPALA </w:t>
      </w: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14:paraId="670A28E3" w14:textId="77777777"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</w:t>
      </w:r>
      <w:proofErr w:type="spellStart"/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0BCF8494" w14:textId="77777777"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14:paraId="1B8491F2" w14:textId="7DD1A3E4" w:rsidR="00561B70" w:rsidRDefault="003D73D7" w:rsidP="003D73D7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PENETAPAN </w:t>
      </w:r>
      <w:r w:rsidRPr="00844B59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844B59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>MONTH</w:t>
      </w:r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BULAN</w:t>
      </w:r>
      <w:proofErr w:type="gramEnd"/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${</w:t>
      </w:r>
      <w:proofErr w:type="spellStart"/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ubulan</w:t>
      </w:r>
      <w:proofErr w:type="spellEnd"/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 TAHUN ${</w:t>
      </w:r>
      <w:proofErr w:type="spellStart"/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tahun</w:t>
      </w:r>
      <w:proofErr w:type="spellEnd"/>
      <w:r w:rsidRPr="003D73D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 BADAN PUSAT STATISTIK KABUPATEN HULU SUNGAI TENGAH</w:t>
      </w:r>
    </w:p>
    <w:p w14:paraId="68F8DF38" w14:textId="77777777" w:rsidR="003D73D7" w:rsidRDefault="003D73D7" w:rsidP="003D73D7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79B399A" w14:textId="77777777" w:rsidR="003D73D7" w:rsidRPr="004030E9" w:rsidRDefault="003D73D7" w:rsidP="003D73D7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3E4896B" w14:textId="160BB7C9" w:rsidR="00561B70" w:rsidRDefault="00314DCC" w:rsidP="00561B70">
      <w:pPr>
        <w:tabs>
          <w:tab w:val="left" w:pos="4536"/>
        </w:tabs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314DCC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314DCC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>MONTH</w:t>
      </w:r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BULAN</w:t>
      </w:r>
      <w:proofErr w:type="gramEnd"/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${</w:t>
      </w:r>
      <w:proofErr w:type="spellStart"/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ubulan</w:t>
      </w:r>
      <w:proofErr w:type="spellEnd"/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 TAHUN ${</w:t>
      </w:r>
      <w:proofErr w:type="spellStart"/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tahun</w:t>
      </w:r>
      <w:proofErr w:type="spellEnd"/>
      <w:r w:rsidRPr="00314DC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 BADAN PUSAT STATISTIK KABUPATEN HULU SUNGAI TENGAH</w:t>
      </w:r>
    </w:p>
    <w:tbl>
      <w:tblPr>
        <w:tblpPr w:leftFromText="180" w:rightFromText="180" w:vertAnchor="page" w:horzAnchor="margin" w:tblpXSpec="center" w:tblpY="5716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722"/>
        <w:gridCol w:w="1701"/>
        <w:gridCol w:w="2381"/>
      </w:tblGrid>
      <w:tr w:rsidR="00314DCC" w14:paraId="6CC22733" w14:textId="77777777" w:rsidTr="00844B59">
        <w:trPr>
          <w:trHeight w:val="613"/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2FC6E13F" w14:textId="77777777" w:rsidR="00314DCC" w:rsidRPr="00844B59" w:rsidRDefault="00314DCC" w:rsidP="00844B59">
            <w:pPr>
              <w:pStyle w:val="Heading5"/>
              <w:spacing w:before="0"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No</w:t>
            </w:r>
          </w:p>
        </w:tc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7BBC07B9" w14:textId="77777777" w:rsidR="00314DCC" w:rsidRPr="00844B59" w:rsidRDefault="00314DCC" w:rsidP="00844B59">
            <w:pPr>
              <w:pStyle w:val="Heading5"/>
              <w:spacing w:before="0" w:after="0"/>
              <w:jc w:val="center"/>
              <w:rPr>
                <w:rFonts w:ascii="Bookman Old Style" w:hAnsi="Bookman Old Style"/>
              </w:rPr>
            </w:pPr>
            <w:r w:rsidRPr="00844B59">
              <w:rPr>
                <w:rFonts w:ascii="Bookman Old Style" w:hAnsi="Bookman Old Style"/>
                <w:lang w:val="id-ID"/>
              </w:rPr>
              <w:t>Nama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77813C3D" w14:textId="0D6E785D" w:rsidR="00314DCC" w:rsidRPr="00844B59" w:rsidRDefault="00314DCC" w:rsidP="00844B59">
            <w:pPr>
              <w:pStyle w:val="Heading5"/>
              <w:spacing w:before="0" w:after="0"/>
              <w:jc w:val="center"/>
              <w:rPr>
                <w:rFonts w:ascii="Bookman Old Style" w:hAnsi="Bookman Old Style"/>
              </w:rPr>
            </w:pPr>
            <w:r w:rsidRPr="00844B59">
              <w:rPr>
                <w:rFonts w:ascii="Bookman Old Style" w:hAnsi="Bookman Old Style"/>
                <w:lang w:val="id-ID"/>
              </w:rPr>
              <w:t>N</w:t>
            </w:r>
            <w:r w:rsidR="00844B59">
              <w:rPr>
                <w:rFonts w:ascii="Bookman Old Style" w:hAnsi="Bookman Old Style"/>
                <w:lang w:val="id-ID"/>
              </w:rPr>
              <w:t>IP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3F0F010" w14:textId="77777777" w:rsidR="00314DCC" w:rsidRPr="00844B59" w:rsidRDefault="00314DCC" w:rsidP="00844B59">
            <w:pPr>
              <w:pStyle w:val="Heading5"/>
              <w:spacing w:before="0"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Golongan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3D36720D" w14:textId="77777777" w:rsidR="00314DCC" w:rsidRPr="00844B59" w:rsidRDefault="00314DCC" w:rsidP="00844B59">
            <w:pPr>
              <w:pStyle w:val="Heading5"/>
              <w:spacing w:before="0"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Predikat</w:t>
            </w:r>
          </w:p>
        </w:tc>
      </w:tr>
      <w:tr w:rsidR="00314DCC" w14:paraId="2A3EA438" w14:textId="77777777" w:rsidTr="00844B59">
        <w:trPr>
          <w:trHeight w:val="214"/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6F66BE7E" w14:textId="77777777" w:rsidR="00314DCC" w:rsidRPr="00844B59" w:rsidRDefault="00314DCC" w:rsidP="00844B59">
            <w:pPr>
              <w:spacing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(1)</w:t>
            </w:r>
          </w:p>
        </w:tc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53A6E86D" w14:textId="77777777" w:rsidR="00314DCC" w:rsidRPr="00844B59" w:rsidRDefault="00314DCC" w:rsidP="00844B59">
            <w:pPr>
              <w:spacing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(2)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452F72CB" w14:textId="77777777" w:rsidR="00314DCC" w:rsidRPr="00844B59" w:rsidRDefault="00314DCC" w:rsidP="00844B59">
            <w:pPr>
              <w:spacing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(3)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8539D61" w14:textId="77777777" w:rsidR="00314DCC" w:rsidRPr="00844B59" w:rsidRDefault="00314DCC" w:rsidP="00844B59">
            <w:pPr>
              <w:spacing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(4)</w:t>
            </w:r>
          </w:p>
        </w:tc>
        <w:tc>
          <w:tcPr>
            <w:tcW w:w="2381" w:type="dxa"/>
            <w:shd w:val="clear" w:color="auto" w:fill="D9D9D9" w:themeFill="background1" w:themeFillShade="D9"/>
            <w:vAlign w:val="center"/>
          </w:tcPr>
          <w:p w14:paraId="4AC95E97" w14:textId="77777777" w:rsidR="00314DCC" w:rsidRPr="00844B59" w:rsidRDefault="00314DCC" w:rsidP="00844B59">
            <w:pPr>
              <w:spacing w:after="0"/>
              <w:jc w:val="center"/>
              <w:rPr>
                <w:rFonts w:ascii="Bookman Old Style" w:hAnsi="Bookman Old Style"/>
                <w:lang w:val="id-ID"/>
              </w:rPr>
            </w:pPr>
            <w:r w:rsidRPr="00844B59">
              <w:rPr>
                <w:rFonts w:ascii="Bookman Old Style" w:hAnsi="Bookman Old Style"/>
                <w:lang w:val="id-ID"/>
              </w:rPr>
              <w:t>(5)</w:t>
            </w:r>
          </w:p>
        </w:tc>
      </w:tr>
      <w:tr w:rsidR="00314DCC" w14:paraId="1BD060A2" w14:textId="77777777" w:rsidTr="00844B59">
        <w:trPr>
          <w:trHeight w:val="382"/>
        </w:trPr>
        <w:tc>
          <w:tcPr>
            <w:tcW w:w="558" w:type="dxa"/>
            <w:vAlign w:val="center"/>
          </w:tcPr>
          <w:p w14:paraId="402EB842" w14:textId="77777777" w:rsidR="00314DCC" w:rsidRPr="00844B59" w:rsidRDefault="00314DCC" w:rsidP="00844B59">
            <w:pPr>
              <w:rPr>
                <w:rFonts w:ascii="Bookman Old Style" w:hAnsi="Bookman Old Style"/>
              </w:rPr>
            </w:pPr>
            <w:r w:rsidRPr="00844B59">
              <w:rPr>
                <w:rFonts w:ascii="Bookman Old Style" w:hAnsi="Bookman Old Style"/>
              </w:rPr>
              <w:t>1</w:t>
            </w:r>
          </w:p>
        </w:tc>
        <w:tc>
          <w:tcPr>
            <w:tcW w:w="2952" w:type="dxa"/>
            <w:vAlign w:val="center"/>
          </w:tcPr>
          <w:p w14:paraId="5B5F937E" w14:textId="73593934" w:rsidR="00314DCC" w:rsidRPr="00844B59" w:rsidRDefault="00844B59" w:rsidP="00844B59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${nama}</w:t>
            </w:r>
          </w:p>
        </w:tc>
        <w:tc>
          <w:tcPr>
            <w:tcW w:w="2722" w:type="dxa"/>
            <w:vAlign w:val="center"/>
          </w:tcPr>
          <w:p w14:paraId="7CAA289A" w14:textId="64AC9D53" w:rsidR="00314DCC" w:rsidRPr="00844B59" w:rsidRDefault="00844B59" w:rsidP="00844B5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${nip}</w:t>
            </w:r>
          </w:p>
        </w:tc>
        <w:tc>
          <w:tcPr>
            <w:tcW w:w="1701" w:type="dxa"/>
            <w:vAlign w:val="center"/>
          </w:tcPr>
          <w:p w14:paraId="26E4A85D" w14:textId="522E77CC" w:rsidR="00314DCC" w:rsidRPr="00844B59" w:rsidRDefault="00844B59" w:rsidP="00844B5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golongan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2381" w:type="dxa"/>
            <w:vAlign w:val="center"/>
          </w:tcPr>
          <w:p w14:paraId="2D1BBA8C" w14:textId="5B8E389C" w:rsidR="00314DCC" w:rsidRPr="00844B59" w:rsidRDefault="00844B59" w:rsidP="00844B59">
            <w:pPr>
              <w:rPr>
                <w:rFonts w:ascii="Bookman Old Style" w:hAnsi="Bookman Old Style"/>
              </w:rPr>
            </w:pPr>
            <w:r w:rsidRPr="00844B59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</w:rPr>
              <w:t xml:space="preserve">Employee Of The </w:t>
            </w:r>
            <w:proofErr w:type="gramStart"/>
            <w:r w:rsidRPr="00844B59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</w:rPr>
              <w:t>Month</w:t>
            </w:r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 xml:space="preserve">  Bulan</w:t>
            </w:r>
            <w:proofErr w:type="gramEnd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 xml:space="preserve"> ${</w:t>
            </w:r>
            <w:proofErr w:type="spellStart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>bulan</w:t>
            </w:r>
            <w:proofErr w:type="spellEnd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 xml:space="preserve">} </w:t>
            </w:r>
            <w:proofErr w:type="spellStart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>Tahun</w:t>
            </w:r>
            <w:proofErr w:type="spellEnd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 xml:space="preserve"> ${</w:t>
            </w:r>
            <w:proofErr w:type="spellStart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>tahun</w:t>
            </w:r>
            <w:proofErr w:type="spellEnd"/>
            <w:r w:rsidRPr="00844B59">
              <w:rPr>
                <w:rFonts w:ascii="Bookman Old Style" w:eastAsia="Bookman Old Style" w:hAnsi="Bookman Old Style" w:cs="Bookman Old Style"/>
                <w:color w:val="000000" w:themeColor="text1"/>
              </w:rPr>
              <w:t>}</w:t>
            </w:r>
          </w:p>
        </w:tc>
      </w:tr>
    </w:tbl>
    <w:p w14:paraId="06FD1597" w14:textId="77777777" w:rsidR="00314DCC" w:rsidRPr="004030E9" w:rsidRDefault="00314DCC" w:rsidP="00561B70">
      <w:pPr>
        <w:tabs>
          <w:tab w:val="left" w:pos="4536"/>
        </w:tabs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314DCC" w:rsidRPr="004030E9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40639" w14:textId="77777777" w:rsidR="003D4FF7" w:rsidRDefault="003D4FF7">
      <w:pPr>
        <w:spacing w:after="0" w:line="240" w:lineRule="auto"/>
      </w:pPr>
      <w:r>
        <w:separator/>
      </w:r>
    </w:p>
  </w:endnote>
  <w:endnote w:type="continuationSeparator" w:id="0">
    <w:p w14:paraId="49B3E0C4" w14:textId="77777777" w:rsidR="003D4FF7" w:rsidRDefault="003D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08177" w14:textId="77777777" w:rsidR="003D4FF7" w:rsidRDefault="003D4FF7">
      <w:pPr>
        <w:spacing w:after="0" w:line="240" w:lineRule="auto"/>
      </w:pPr>
      <w:r>
        <w:separator/>
      </w:r>
    </w:p>
  </w:footnote>
  <w:footnote w:type="continuationSeparator" w:id="0">
    <w:p w14:paraId="0E37DE8D" w14:textId="77777777" w:rsidR="003D4FF7" w:rsidRDefault="003D4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CCCA2" w14:textId="77777777"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14:paraId="43732F0E" w14:textId="77777777"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005A94"/>
    <w:multiLevelType w:val="multilevel"/>
    <w:tmpl w:val="FF00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950E3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3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3"/>
  </w:num>
  <w:num w:numId="2" w16cid:durableId="1109737263">
    <w:abstractNumId w:val="1"/>
  </w:num>
  <w:num w:numId="3" w16cid:durableId="1402019611">
    <w:abstractNumId w:val="2"/>
  </w:num>
  <w:num w:numId="4" w16cid:durableId="128260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E27CD"/>
    <w:rsid w:val="000F1C24"/>
    <w:rsid w:val="00102C13"/>
    <w:rsid w:val="00124C62"/>
    <w:rsid w:val="001C6B08"/>
    <w:rsid w:val="001E2AF9"/>
    <w:rsid w:val="00257877"/>
    <w:rsid w:val="002A7040"/>
    <w:rsid w:val="002C4D31"/>
    <w:rsid w:val="00314DCC"/>
    <w:rsid w:val="00341233"/>
    <w:rsid w:val="00372D7F"/>
    <w:rsid w:val="003B1F6E"/>
    <w:rsid w:val="003D4FF7"/>
    <w:rsid w:val="003D73D7"/>
    <w:rsid w:val="004030E9"/>
    <w:rsid w:val="0045569A"/>
    <w:rsid w:val="004B4345"/>
    <w:rsid w:val="00561B70"/>
    <w:rsid w:val="0057219D"/>
    <w:rsid w:val="00580679"/>
    <w:rsid w:val="00670498"/>
    <w:rsid w:val="007057B0"/>
    <w:rsid w:val="00707ADF"/>
    <w:rsid w:val="007460F3"/>
    <w:rsid w:val="00793669"/>
    <w:rsid w:val="00844B59"/>
    <w:rsid w:val="008F7732"/>
    <w:rsid w:val="009509B9"/>
    <w:rsid w:val="00976952"/>
    <w:rsid w:val="00986937"/>
    <w:rsid w:val="009A4C0D"/>
    <w:rsid w:val="009B30E1"/>
    <w:rsid w:val="00A716CF"/>
    <w:rsid w:val="00A806C0"/>
    <w:rsid w:val="00AE0970"/>
    <w:rsid w:val="00B13028"/>
    <w:rsid w:val="00CC3F6E"/>
    <w:rsid w:val="00CE299D"/>
    <w:rsid w:val="00CE617B"/>
    <w:rsid w:val="00DE0D33"/>
    <w:rsid w:val="00DE4AA1"/>
    <w:rsid w:val="00E01918"/>
    <w:rsid w:val="00E54D12"/>
    <w:rsid w:val="00F17D92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F50B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46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ACER</cp:lastModifiedBy>
  <cp:revision>2</cp:revision>
  <cp:lastPrinted>2024-10-01T22:05:00Z</cp:lastPrinted>
  <dcterms:created xsi:type="dcterms:W3CDTF">2024-11-25T06:44:00Z</dcterms:created>
  <dcterms:modified xsi:type="dcterms:W3CDTF">2024-11-25T06:44:00Z</dcterms:modified>
</cp:coreProperties>
</file>