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8F93" w14:textId="4E580EE0" w:rsidR="00005772" w:rsidRPr="00E270F2" w:rsidRDefault="006D194A">
      <w:r w:rsidRPr="00E270F2">
        <w:t xml:space="preserve">Lareisha Lewis </w:t>
      </w:r>
    </w:p>
    <w:p w14:paraId="51A0FE70" w14:textId="0A28AA0F" w:rsidR="006D194A" w:rsidRPr="00E270F2" w:rsidRDefault="006D194A">
      <w:r w:rsidRPr="00E270F2">
        <w:t xml:space="preserve">Intro to Data Analytics- Final Project </w:t>
      </w:r>
    </w:p>
    <w:p w14:paraId="7ED28332" w14:textId="706094AB" w:rsidR="006D194A" w:rsidRPr="00E270F2" w:rsidRDefault="006D194A">
      <w:r w:rsidRPr="00E270F2">
        <w:t>December 6, 202</w:t>
      </w:r>
      <w:r w:rsidR="00F54B28" w:rsidRPr="00E270F2">
        <w:t>1</w:t>
      </w:r>
    </w:p>
    <w:p w14:paraId="035E966A" w14:textId="5EBD0333" w:rsidR="006D194A" w:rsidRPr="00E270F2" w:rsidRDefault="006D194A"/>
    <w:p w14:paraId="14309931" w14:textId="2771A23A" w:rsidR="006D194A" w:rsidRPr="00E270F2" w:rsidRDefault="006D194A"/>
    <w:p w14:paraId="4D69521A" w14:textId="5C7F90C7" w:rsidR="006D194A" w:rsidRPr="00E270F2" w:rsidRDefault="006D194A"/>
    <w:p w14:paraId="24E1FA43" w14:textId="6BAF5807" w:rsidR="006D194A" w:rsidRPr="00E270F2" w:rsidRDefault="006D194A">
      <w:r w:rsidRPr="00E270F2">
        <w:t xml:space="preserve">Topic: Top 5 best countries to live in based on happiness of citizens, cost of living, and average income of individuals. </w:t>
      </w:r>
    </w:p>
    <w:p w14:paraId="40D0F0D4" w14:textId="2AB3D18E" w:rsidR="006D194A" w:rsidRPr="00E270F2" w:rsidRDefault="006D194A"/>
    <w:p w14:paraId="4F7AF493" w14:textId="3B0589E3" w:rsidR="006D194A" w:rsidRPr="00E270F2" w:rsidRDefault="006D194A"/>
    <w:p w14:paraId="5E87A52D" w14:textId="6BEB1C89" w:rsidR="006D194A" w:rsidRPr="00E270F2" w:rsidRDefault="006D194A">
      <w:r w:rsidRPr="00E270F2">
        <w:t xml:space="preserve">Data: Cost of </w:t>
      </w:r>
      <w:r w:rsidR="00444A21" w:rsidRPr="00E270F2">
        <w:t>living dataset</w:t>
      </w:r>
      <w:r w:rsidRPr="00E270F2">
        <w:t xml:space="preserve"> includes information about rent, cost of living, restaurant prices, etc. The World Happiness Report will assign a happiness rating to different countries based on variables such as trust in the government, health, family, and freedom. The Income by Country</w:t>
      </w:r>
    </w:p>
    <w:p w14:paraId="73CEF357" w14:textId="5ED0665C" w:rsidR="006D194A" w:rsidRPr="00E270F2" w:rsidRDefault="006D194A">
      <w:r w:rsidRPr="00E270F2">
        <w:t xml:space="preserve">Dataset will provide information about the average income for individuals in each country. </w:t>
      </w:r>
      <w:r w:rsidR="00E270F2">
        <w:t xml:space="preserve">Education dataset will provide information about each country’s investment in education. </w:t>
      </w:r>
    </w:p>
    <w:p w14:paraId="48030A24" w14:textId="37A8DC6C" w:rsidR="006D194A" w:rsidRPr="00E270F2" w:rsidRDefault="006D194A"/>
    <w:p w14:paraId="1823F9AD" w14:textId="27392A13" w:rsidR="00444A21" w:rsidRPr="00E270F2" w:rsidRDefault="00444A21" w:rsidP="00444A21">
      <w:pPr>
        <w:rPr>
          <w:b/>
          <w:bCs/>
          <w:sz w:val="28"/>
          <w:szCs w:val="28"/>
        </w:rPr>
      </w:pPr>
      <w:r w:rsidRPr="00E270F2">
        <w:rPr>
          <w:b/>
          <w:bCs/>
          <w:sz w:val="28"/>
          <w:szCs w:val="28"/>
        </w:rPr>
        <w:t xml:space="preserve">Cost of living – updated </w:t>
      </w:r>
      <w:r w:rsidR="00F54B28" w:rsidRPr="00E270F2">
        <w:rPr>
          <w:b/>
          <w:bCs/>
          <w:sz w:val="28"/>
          <w:szCs w:val="28"/>
        </w:rPr>
        <w:t>1</w:t>
      </w:r>
      <w:r w:rsidRPr="00E270F2">
        <w:rPr>
          <w:b/>
          <w:bCs/>
          <w:sz w:val="28"/>
          <w:szCs w:val="28"/>
        </w:rPr>
        <w:t xml:space="preserve"> years ago</w:t>
      </w:r>
    </w:p>
    <w:p w14:paraId="2EE4E475" w14:textId="2804B90D" w:rsidR="00444A21" w:rsidRPr="00E270F2" w:rsidRDefault="00444A21" w:rsidP="00444A21"/>
    <w:p w14:paraId="49169EB1" w14:textId="7E3A282B" w:rsidR="00444A21" w:rsidRPr="00E270F2" w:rsidRDefault="00444A21" w:rsidP="00444A21">
      <w:pPr>
        <w:pStyle w:val="ListParagraph"/>
        <w:numPr>
          <w:ilvl w:val="0"/>
          <w:numId w:val="3"/>
        </w:numPr>
      </w:pPr>
      <w:r w:rsidRPr="00E270F2">
        <w:t xml:space="preserve">Relative to New York City where the index is set at 100. A city with a value of 150 in the rent variable has an average rent 50% higher than in New York City. </w:t>
      </w:r>
    </w:p>
    <w:p w14:paraId="641CF0CD" w14:textId="38E759C0" w:rsidR="006D194A" w:rsidRPr="00E270F2" w:rsidRDefault="00444A21" w:rsidP="00444A21">
      <w:pPr>
        <w:pStyle w:val="ListParagraph"/>
        <w:numPr>
          <w:ilvl w:val="0"/>
          <w:numId w:val="3"/>
        </w:numPr>
      </w:pPr>
      <w:r w:rsidRPr="00E270F2">
        <w:t xml:space="preserve">According to bestplaces.net New York City has an overall average of 187.2. That is about 87% higher than the average cost of living for the United States. The average rent in New York City ranges from about 3,000 to 6,500 (Lower end for 1 bedroom and higher end for 3+ bedrooms). </w:t>
      </w:r>
    </w:p>
    <w:p w14:paraId="1E6AFEB5" w14:textId="558CD27C" w:rsidR="00444A21" w:rsidRPr="00E270F2" w:rsidRDefault="00444A21" w:rsidP="00444A21">
      <w:pPr>
        <w:pStyle w:val="ListParagraph"/>
        <w:numPr>
          <w:ilvl w:val="0"/>
          <w:numId w:val="3"/>
        </w:numPr>
      </w:pPr>
      <w:r w:rsidRPr="00E270F2">
        <w:t xml:space="preserve">Cost of living considers groceries, restaurants, transportation, and utilities. </w:t>
      </w:r>
    </w:p>
    <w:p w14:paraId="26808823" w14:textId="696CF829" w:rsidR="00444A21" w:rsidRPr="00E270F2" w:rsidRDefault="00444A21" w:rsidP="00444A21">
      <w:pPr>
        <w:pStyle w:val="ListParagraph"/>
        <w:numPr>
          <w:ilvl w:val="0"/>
          <w:numId w:val="3"/>
        </w:numPr>
      </w:pPr>
      <w:r w:rsidRPr="00E270F2">
        <w:t xml:space="preserve">Rent values are based on price estimations to rent an apartment in the city. </w:t>
      </w:r>
    </w:p>
    <w:p w14:paraId="485FA7CA" w14:textId="77777777" w:rsidR="00444A21" w:rsidRPr="00E270F2" w:rsidRDefault="00444A21" w:rsidP="00444A21">
      <w:pPr>
        <w:pStyle w:val="ListParagraph"/>
        <w:numPr>
          <w:ilvl w:val="0"/>
          <w:numId w:val="3"/>
        </w:numPr>
      </w:pPr>
      <w:r w:rsidRPr="00E270F2">
        <w:t>Grocery values are calculated by price estimations for items based on weight.</w:t>
      </w:r>
    </w:p>
    <w:p w14:paraId="73299E1C" w14:textId="3F970613" w:rsidR="00444A21" w:rsidRPr="00E270F2" w:rsidRDefault="00444A21" w:rsidP="00444A21">
      <w:pPr>
        <w:pStyle w:val="ListParagraph"/>
        <w:numPr>
          <w:ilvl w:val="0"/>
          <w:numId w:val="3"/>
        </w:numPr>
      </w:pPr>
      <w:r w:rsidRPr="00E270F2">
        <w:t xml:space="preserve">Restaurant values are based on price estimations for items served at restaurants and bars.  </w:t>
      </w:r>
    </w:p>
    <w:p w14:paraId="1FD0CACA" w14:textId="5050934F" w:rsidR="00444A21" w:rsidRPr="00E270F2" w:rsidRDefault="00444A21" w:rsidP="00444A21">
      <w:pPr>
        <w:pStyle w:val="ListParagraph"/>
        <w:numPr>
          <w:ilvl w:val="0"/>
          <w:numId w:val="3"/>
        </w:numPr>
      </w:pPr>
      <w:r w:rsidRPr="00E270F2">
        <w:t xml:space="preserve">Purchasing Power values are based on the ability to purchase goods and services in the city for the average annual income for that city. </w:t>
      </w:r>
    </w:p>
    <w:p w14:paraId="3E300DF3" w14:textId="77777777" w:rsidR="00444A21" w:rsidRPr="00E270F2" w:rsidRDefault="00444A21" w:rsidP="00444A21">
      <w:pPr>
        <w:pStyle w:val="ListParagraph"/>
      </w:pPr>
    </w:p>
    <w:p w14:paraId="7BFF6C05" w14:textId="05E0F236" w:rsidR="006D194A" w:rsidRPr="00E270F2" w:rsidRDefault="00444A21">
      <w:pPr>
        <w:rPr>
          <w:b/>
          <w:bCs/>
          <w:sz w:val="28"/>
          <w:szCs w:val="28"/>
        </w:rPr>
      </w:pPr>
      <w:r w:rsidRPr="00E270F2">
        <w:rPr>
          <w:b/>
          <w:bCs/>
          <w:sz w:val="28"/>
          <w:szCs w:val="28"/>
        </w:rPr>
        <w:t>World Happiness Report- updated 2 years ago</w:t>
      </w:r>
    </w:p>
    <w:p w14:paraId="21B8C86D" w14:textId="77777777" w:rsidR="00444A21" w:rsidRPr="00E270F2" w:rsidRDefault="00444A21"/>
    <w:p w14:paraId="1CBAE3C1" w14:textId="5493EB5C" w:rsidR="00444A21" w:rsidRPr="00E270F2" w:rsidRDefault="00444A21" w:rsidP="00444A21">
      <w:pPr>
        <w:pStyle w:val="ListParagraph"/>
        <w:numPr>
          <w:ilvl w:val="0"/>
          <w:numId w:val="4"/>
        </w:numPr>
      </w:pPr>
      <w:r w:rsidRPr="00E270F2">
        <w:t xml:space="preserve">The score variable is the overall score of a particular country or region on a 0 to 10 scale.  All the variables following the score variable plus the residual and Dystopia are combined to calculate the score. The country with the lowest overall score, indicating the country with the least happy people, is considered Dystopia. </w:t>
      </w:r>
    </w:p>
    <w:p w14:paraId="49B8F838" w14:textId="77777777" w:rsidR="00444A21" w:rsidRPr="00E270F2" w:rsidRDefault="00444A21" w:rsidP="00444A21">
      <w:pPr>
        <w:pStyle w:val="ListParagraph"/>
      </w:pPr>
    </w:p>
    <w:p w14:paraId="1100B5B1" w14:textId="77777777" w:rsidR="00E270F2" w:rsidRDefault="00E270F2">
      <w:pPr>
        <w:rPr>
          <w:b/>
          <w:bCs/>
          <w:sz w:val="28"/>
          <w:szCs w:val="28"/>
        </w:rPr>
      </w:pPr>
    </w:p>
    <w:p w14:paraId="355472DD" w14:textId="77777777" w:rsidR="00E270F2" w:rsidRDefault="00E270F2">
      <w:pPr>
        <w:rPr>
          <w:b/>
          <w:bCs/>
          <w:sz w:val="28"/>
          <w:szCs w:val="28"/>
        </w:rPr>
      </w:pPr>
    </w:p>
    <w:p w14:paraId="0FA81E5B" w14:textId="77777777" w:rsidR="00E270F2" w:rsidRDefault="00E270F2">
      <w:pPr>
        <w:rPr>
          <w:b/>
          <w:bCs/>
          <w:sz w:val="28"/>
          <w:szCs w:val="28"/>
        </w:rPr>
      </w:pPr>
    </w:p>
    <w:p w14:paraId="7BF7963F" w14:textId="03C74B80" w:rsidR="00444A21" w:rsidRPr="00E270F2" w:rsidRDefault="00444A21">
      <w:pPr>
        <w:rPr>
          <w:b/>
          <w:bCs/>
          <w:sz w:val="28"/>
          <w:szCs w:val="28"/>
        </w:rPr>
      </w:pPr>
      <w:r w:rsidRPr="00E270F2">
        <w:rPr>
          <w:b/>
          <w:bCs/>
          <w:sz w:val="28"/>
          <w:szCs w:val="28"/>
        </w:rPr>
        <w:lastRenderedPageBreak/>
        <w:t xml:space="preserve">Income by country- updated 3 years ago </w:t>
      </w:r>
    </w:p>
    <w:p w14:paraId="656C2C82" w14:textId="77777777" w:rsidR="00444A21" w:rsidRPr="00E270F2" w:rsidRDefault="00444A21"/>
    <w:p w14:paraId="57BF57E4" w14:textId="23C2DE90" w:rsidR="00444A21" w:rsidRPr="00E270F2" w:rsidRDefault="00444A21" w:rsidP="00444A21">
      <w:pPr>
        <w:pStyle w:val="ListParagraph"/>
        <w:numPr>
          <w:ilvl w:val="0"/>
          <w:numId w:val="4"/>
        </w:numPr>
      </w:pPr>
      <w:r w:rsidRPr="00E270F2">
        <w:t xml:space="preserve">Gross National Income (GNI) is the total income received from both national and international sells, minus what is paid to other countries for the use of their factories. It is then converted to international dollars using PPP rates, divided by the population. </w:t>
      </w:r>
    </w:p>
    <w:p w14:paraId="096D0C69" w14:textId="7743298A" w:rsidR="00236457" w:rsidRPr="00E270F2" w:rsidRDefault="00444A21" w:rsidP="00236457">
      <w:pPr>
        <w:pStyle w:val="ListParagraph"/>
        <w:numPr>
          <w:ilvl w:val="0"/>
          <w:numId w:val="4"/>
        </w:numPr>
      </w:pPr>
      <w:r w:rsidRPr="00E270F2">
        <w:t xml:space="preserve">Gross Domestic Product (GDP) is the sum of money of all goods and services produced within a particular country. </w:t>
      </w:r>
    </w:p>
    <w:p w14:paraId="669D9BF3" w14:textId="4EFFFFD3" w:rsidR="00236457" w:rsidRPr="00E270F2" w:rsidRDefault="00236457" w:rsidP="00236457">
      <w:pPr>
        <w:rPr>
          <w:b/>
          <w:bCs/>
          <w:sz w:val="28"/>
          <w:szCs w:val="28"/>
        </w:rPr>
      </w:pPr>
      <w:r w:rsidRPr="00E270F2">
        <w:rPr>
          <w:b/>
          <w:bCs/>
          <w:sz w:val="28"/>
          <w:szCs w:val="28"/>
        </w:rPr>
        <w:t>Education- updated 3 years ago</w:t>
      </w:r>
    </w:p>
    <w:p w14:paraId="4E063365" w14:textId="155F966D" w:rsidR="00236457" w:rsidRPr="00E270F2" w:rsidRDefault="00236457" w:rsidP="00236457">
      <w:pPr>
        <w:pStyle w:val="ListParagraph"/>
        <w:numPr>
          <w:ilvl w:val="0"/>
          <w:numId w:val="6"/>
        </w:numPr>
      </w:pPr>
      <w:r w:rsidRPr="00E270F2">
        <w:t xml:space="preserve">The government expenditure variable displays the percentage of GDP that is invested in education for each country. It also includes funds provided by international sources. </w:t>
      </w:r>
    </w:p>
    <w:p w14:paraId="1FA4EE88" w14:textId="604AA605" w:rsidR="00236457" w:rsidRPr="00E270F2" w:rsidRDefault="00B87E36" w:rsidP="00236457">
      <w:pPr>
        <w:pStyle w:val="ListParagraph"/>
        <w:numPr>
          <w:ilvl w:val="0"/>
          <w:numId w:val="6"/>
        </w:numPr>
      </w:pPr>
      <w:r w:rsidRPr="00E270F2">
        <w:t xml:space="preserve">Gross enrollment ratio shows the ratio of male and female primary students. 1 indicates </w:t>
      </w:r>
      <w:r w:rsidR="003C4BBF" w:rsidRPr="00E270F2">
        <w:t xml:space="preserve">an equal number of both male and female students. A value less than 1 indicates more males are enrolled, a value greater than 1 indicates more females are enrolled. </w:t>
      </w:r>
    </w:p>
    <w:p w14:paraId="3A9D1D70" w14:textId="2C3467F4" w:rsidR="00236457" w:rsidRPr="00E270F2" w:rsidRDefault="003C4BBF" w:rsidP="00236457">
      <w:pPr>
        <w:pStyle w:val="ListParagraph"/>
        <w:numPr>
          <w:ilvl w:val="0"/>
          <w:numId w:val="6"/>
        </w:numPr>
      </w:pPr>
      <w:r w:rsidRPr="00E270F2">
        <w:t xml:space="preserve">The out-of-school children variable represents children of primary school age range that are not enrolled in school. </w:t>
      </w:r>
    </w:p>
    <w:p w14:paraId="5E0891DB" w14:textId="77777777" w:rsidR="00E270F2" w:rsidRDefault="00E270F2" w:rsidP="0082133C">
      <w:pPr>
        <w:rPr>
          <w:b/>
          <w:bCs/>
          <w:sz w:val="28"/>
          <w:szCs w:val="28"/>
        </w:rPr>
      </w:pPr>
    </w:p>
    <w:p w14:paraId="1BBED17E" w14:textId="77777777" w:rsidR="00E270F2" w:rsidRDefault="00E270F2" w:rsidP="0082133C">
      <w:pPr>
        <w:rPr>
          <w:b/>
          <w:bCs/>
          <w:sz w:val="28"/>
          <w:szCs w:val="28"/>
        </w:rPr>
      </w:pPr>
    </w:p>
    <w:p w14:paraId="3FFD29B4" w14:textId="77777777" w:rsidR="00E270F2" w:rsidRDefault="00E270F2" w:rsidP="0082133C">
      <w:pPr>
        <w:rPr>
          <w:b/>
          <w:bCs/>
          <w:sz w:val="28"/>
          <w:szCs w:val="28"/>
        </w:rPr>
      </w:pPr>
    </w:p>
    <w:p w14:paraId="1E25F565" w14:textId="77777777" w:rsidR="00E270F2" w:rsidRDefault="00E270F2" w:rsidP="0082133C">
      <w:pPr>
        <w:rPr>
          <w:b/>
          <w:bCs/>
          <w:sz w:val="28"/>
          <w:szCs w:val="28"/>
        </w:rPr>
      </w:pPr>
    </w:p>
    <w:p w14:paraId="15823D30" w14:textId="77777777" w:rsidR="00E270F2" w:rsidRDefault="00E270F2" w:rsidP="0082133C">
      <w:pPr>
        <w:rPr>
          <w:b/>
          <w:bCs/>
          <w:sz w:val="28"/>
          <w:szCs w:val="28"/>
        </w:rPr>
      </w:pPr>
    </w:p>
    <w:p w14:paraId="755B3B58" w14:textId="77777777" w:rsidR="00E270F2" w:rsidRDefault="00E270F2" w:rsidP="0082133C">
      <w:pPr>
        <w:rPr>
          <w:b/>
          <w:bCs/>
          <w:sz w:val="28"/>
          <w:szCs w:val="28"/>
        </w:rPr>
      </w:pPr>
    </w:p>
    <w:p w14:paraId="5BAAA3F0" w14:textId="77777777" w:rsidR="00E270F2" w:rsidRDefault="00E270F2" w:rsidP="0082133C">
      <w:pPr>
        <w:rPr>
          <w:b/>
          <w:bCs/>
          <w:sz w:val="28"/>
          <w:szCs w:val="28"/>
        </w:rPr>
      </w:pPr>
    </w:p>
    <w:p w14:paraId="4A5A6F23" w14:textId="77777777" w:rsidR="00E270F2" w:rsidRDefault="00E270F2" w:rsidP="0082133C">
      <w:pPr>
        <w:rPr>
          <w:b/>
          <w:bCs/>
          <w:sz w:val="28"/>
          <w:szCs w:val="28"/>
        </w:rPr>
      </w:pPr>
    </w:p>
    <w:p w14:paraId="18863DC0" w14:textId="77777777" w:rsidR="00E270F2" w:rsidRDefault="00E270F2" w:rsidP="0082133C">
      <w:pPr>
        <w:rPr>
          <w:b/>
          <w:bCs/>
          <w:sz w:val="28"/>
          <w:szCs w:val="28"/>
        </w:rPr>
      </w:pPr>
    </w:p>
    <w:p w14:paraId="005A7EF2" w14:textId="77777777" w:rsidR="00E270F2" w:rsidRDefault="00E270F2" w:rsidP="0082133C">
      <w:pPr>
        <w:rPr>
          <w:b/>
          <w:bCs/>
          <w:sz w:val="28"/>
          <w:szCs w:val="28"/>
        </w:rPr>
      </w:pPr>
    </w:p>
    <w:p w14:paraId="57944328" w14:textId="77777777" w:rsidR="00E270F2" w:rsidRDefault="00E270F2" w:rsidP="0082133C">
      <w:pPr>
        <w:rPr>
          <w:b/>
          <w:bCs/>
          <w:sz w:val="28"/>
          <w:szCs w:val="28"/>
        </w:rPr>
      </w:pPr>
    </w:p>
    <w:p w14:paraId="758982A9" w14:textId="77777777" w:rsidR="00E270F2" w:rsidRDefault="00E270F2" w:rsidP="0082133C">
      <w:pPr>
        <w:rPr>
          <w:b/>
          <w:bCs/>
          <w:sz w:val="28"/>
          <w:szCs w:val="28"/>
        </w:rPr>
      </w:pPr>
    </w:p>
    <w:p w14:paraId="7242101F" w14:textId="77777777" w:rsidR="00E270F2" w:rsidRDefault="00E270F2" w:rsidP="0082133C">
      <w:pPr>
        <w:rPr>
          <w:b/>
          <w:bCs/>
          <w:sz w:val="28"/>
          <w:szCs w:val="28"/>
        </w:rPr>
      </w:pPr>
    </w:p>
    <w:p w14:paraId="7A554C51" w14:textId="77777777" w:rsidR="00E270F2" w:rsidRDefault="00E270F2" w:rsidP="0082133C">
      <w:pPr>
        <w:rPr>
          <w:b/>
          <w:bCs/>
          <w:sz w:val="28"/>
          <w:szCs w:val="28"/>
        </w:rPr>
      </w:pPr>
    </w:p>
    <w:p w14:paraId="67F7DBF5" w14:textId="77777777" w:rsidR="00E270F2" w:rsidRDefault="00E270F2" w:rsidP="0082133C">
      <w:pPr>
        <w:rPr>
          <w:b/>
          <w:bCs/>
          <w:sz w:val="28"/>
          <w:szCs w:val="28"/>
        </w:rPr>
      </w:pPr>
    </w:p>
    <w:p w14:paraId="5F30E117" w14:textId="77777777" w:rsidR="00E270F2" w:rsidRDefault="00E270F2" w:rsidP="0082133C">
      <w:pPr>
        <w:rPr>
          <w:b/>
          <w:bCs/>
          <w:sz w:val="28"/>
          <w:szCs w:val="28"/>
        </w:rPr>
      </w:pPr>
    </w:p>
    <w:p w14:paraId="1029D94B" w14:textId="77777777" w:rsidR="00E270F2" w:rsidRDefault="00E270F2" w:rsidP="0082133C">
      <w:pPr>
        <w:rPr>
          <w:b/>
          <w:bCs/>
          <w:sz w:val="28"/>
          <w:szCs w:val="28"/>
        </w:rPr>
      </w:pPr>
    </w:p>
    <w:p w14:paraId="7E2C14A2" w14:textId="77777777" w:rsidR="00E270F2" w:rsidRDefault="00E270F2" w:rsidP="0082133C">
      <w:pPr>
        <w:rPr>
          <w:b/>
          <w:bCs/>
          <w:sz w:val="28"/>
          <w:szCs w:val="28"/>
        </w:rPr>
      </w:pPr>
    </w:p>
    <w:p w14:paraId="075B2BA6" w14:textId="77777777" w:rsidR="00E270F2" w:rsidRDefault="00E270F2" w:rsidP="0082133C">
      <w:pPr>
        <w:rPr>
          <w:b/>
          <w:bCs/>
          <w:sz w:val="28"/>
          <w:szCs w:val="28"/>
        </w:rPr>
      </w:pPr>
    </w:p>
    <w:p w14:paraId="3419C9CC" w14:textId="77777777" w:rsidR="00E270F2" w:rsidRDefault="00E270F2" w:rsidP="0082133C">
      <w:pPr>
        <w:rPr>
          <w:b/>
          <w:bCs/>
          <w:sz w:val="28"/>
          <w:szCs w:val="28"/>
        </w:rPr>
      </w:pPr>
    </w:p>
    <w:p w14:paraId="537477D9" w14:textId="77777777" w:rsidR="00E270F2" w:rsidRDefault="00E270F2" w:rsidP="0082133C">
      <w:pPr>
        <w:rPr>
          <w:b/>
          <w:bCs/>
          <w:sz w:val="28"/>
          <w:szCs w:val="28"/>
        </w:rPr>
      </w:pPr>
    </w:p>
    <w:p w14:paraId="012475B2" w14:textId="77777777" w:rsidR="00E270F2" w:rsidRDefault="00E270F2" w:rsidP="0082133C">
      <w:pPr>
        <w:rPr>
          <w:b/>
          <w:bCs/>
          <w:sz w:val="28"/>
          <w:szCs w:val="28"/>
        </w:rPr>
      </w:pPr>
    </w:p>
    <w:p w14:paraId="6C13EE93" w14:textId="77777777" w:rsidR="00E270F2" w:rsidRDefault="00E270F2" w:rsidP="0082133C">
      <w:pPr>
        <w:rPr>
          <w:b/>
          <w:bCs/>
          <w:sz w:val="28"/>
          <w:szCs w:val="28"/>
        </w:rPr>
      </w:pPr>
    </w:p>
    <w:p w14:paraId="4E37F592" w14:textId="77777777" w:rsidR="00E270F2" w:rsidRDefault="00E270F2" w:rsidP="0082133C">
      <w:pPr>
        <w:rPr>
          <w:b/>
          <w:bCs/>
          <w:sz w:val="28"/>
          <w:szCs w:val="28"/>
        </w:rPr>
      </w:pPr>
    </w:p>
    <w:p w14:paraId="33E368EC" w14:textId="53B47D4E" w:rsidR="00E270F2" w:rsidRDefault="00780C9B" w:rsidP="0082133C">
      <w:pPr>
        <w:rPr>
          <w:b/>
          <w:bCs/>
          <w:sz w:val="28"/>
          <w:szCs w:val="28"/>
        </w:rPr>
      </w:pPr>
      <w:r w:rsidRPr="00E270F2">
        <w:rPr>
          <w:b/>
          <w:bCs/>
          <w:sz w:val="28"/>
          <w:szCs w:val="28"/>
        </w:rPr>
        <w:lastRenderedPageBreak/>
        <w:t>Graphs:</w:t>
      </w:r>
    </w:p>
    <w:p w14:paraId="07208255" w14:textId="621DFF99" w:rsidR="0082133C" w:rsidRPr="00E270F2" w:rsidRDefault="0082133C" w:rsidP="0082133C">
      <w:pPr>
        <w:rPr>
          <w:b/>
          <w:bCs/>
          <w:sz w:val="28"/>
          <w:szCs w:val="28"/>
        </w:rPr>
      </w:pPr>
      <w:r w:rsidRPr="00E270F2">
        <w:t xml:space="preserve">1. </w:t>
      </w:r>
      <w:r w:rsidR="00444A21" w:rsidRPr="00E270F2">
        <w:t xml:space="preserve">Compare the happiness ratings for each variable for the top 10 ranking countries. </w:t>
      </w:r>
      <w:r w:rsidR="00991638">
        <w:rPr>
          <w:noProof/>
          <w:sz w:val="36"/>
          <w:szCs w:val="36"/>
        </w:rPr>
        <w:drawing>
          <wp:inline distT="0" distB="0" distL="0" distR="0" wp14:anchorId="1ACEDA14" wp14:editId="412D6C50">
            <wp:extent cx="6588125" cy="5120640"/>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08811" cy="5136718"/>
                    </a:xfrm>
                    <a:prstGeom prst="rect">
                      <a:avLst/>
                    </a:prstGeom>
                  </pic:spPr>
                </pic:pic>
              </a:graphicData>
            </a:graphic>
          </wp:inline>
        </w:drawing>
      </w:r>
    </w:p>
    <w:p w14:paraId="03A5FC3B" w14:textId="3F5603F0" w:rsidR="0082133C" w:rsidRDefault="0082133C" w:rsidP="0082133C">
      <w:pPr>
        <w:rPr>
          <w:sz w:val="36"/>
          <w:szCs w:val="36"/>
        </w:rPr>
      </w:pPr>
    </w:p>
    <w:p w14:paraId="61E1F703" w14:textId="10F9FA9E" w:rsidR="0082133C" w:rsidRPr="00E270F2" w:rsidRDefault="0082133C" w:rsidP="0082133C">
      <w:r w:rsidRPr="00E270F2">
        <w:t xml:space="preserve">The above facet is grouped by the events that contribute to the happiness rank. The data is consistent throughout the countries as far as priorities go. Generally, most people in these top countries care most about social support and GDP.  If one carries these same values with high priority one of these 10 countries may be a good permanent move.  One thing that remains constant for both </w:t>
      </w:r>
      <w:proofErr w:type="gramStart"/>
      <w:r w:rsidRPr="00E270F2">
        <w:t>high and low ranking</w:t>
      </w:r>
      <w:proofErr w:type="gramEnd"/>
      <w:r w:rsidRPr="00E270F2">
        <w:t xml:space="preserve"> countries is the need for social support. </w:t>
      </w:r>
      <w:r w:rsidR="004E51F3" w:rsidRPr="00E270F2">
        <w:t xml:space="preserve">When looking for a place to make your new home, it is always comforting know you are surrounding by loving, and kind individuals. </w:t>
      </w:r>
    </w:p>
    <w:p w14:paraId="4F760A29" w14:textId="288C05E5" w:rsidR="00444A21" w:rsidRPr="00E270F2" w:rsidRDefault="00343B2B" w:rsidP="001538B2">
      <w:r w:rsidRPr="00E270F2">
        <w:t>2</w:t>
      </w:r>
      <w:r w:rsidR="006F7152" w:rsidRPr="00E270F2">
        <w:t xml:space="preserve">. </w:t>
      </w:r>
      <w:r w:rsidR="00444A21" w:rsidRPr="00E270F2">
        <w:t xml:space="preserve">The impact the cost of living has on the happiness rank. </w:t>
      </w:r>
    </w:p>
    <w:p w14:paraId="474EF7D0" w14:textId="2B2CEFA0" w:rsidR="001538B2" w:rsidRDefault="001538B2" w:rsidP="001538B2">
      <w:pPr>
        <w:rPr>
          <w:sz w:val="36"/>
          <w:szCs w:val="36"/>
        </w:rPr>
      </w:pPr>
      <w:r>
        <w:rPr>
          <w:noProof/>
          <w:sz w:val="36"/>
          <w:szCs w:val="36"/>
        </w:rPr>
        <w:lastRenderedPageBreak/>
        <w:drawing>
          <wp:inline distT="0" distB="0" distL="0" distR="0" wp14:anchorId="330B382F" wp14:editId="41894013">
            <wp:extent cx="6686550" cy="4409123"/>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98941" cy="4417294"/>
                    </a:xfrm>
                    <a:prstGeom prst="rect">
                      <a:avLst/>
                    </a:prstGeom>
                  </pic:spPr>
                </pic:pic>
              </a:graphicData>
            </a:graphic>
          </wp:inline>
        </w:drawing>
      </w:r>
    </w:p>
    <w:p w14:paraId="75F19F05" w14:textId="77777777" w:rsidR="005D5BA9" w:rsidRDefault="005D5BA9" w:rsidP="001538B2">
      <w:pPr>
        <w:rPr>
          <w:sz w:val="36"/>
          <w:szCs w:val="36"/>
        </w:rPr>
      </w:pPr>
    </w:p>
    <w:tbl>
      <w:tblPr>
        <w:tblStyle w:val="TableGrid"/>
        <w:tblW w:w="0" w:type="auto"/>
        <w:tblLook w:val="04A0" w:firstRow="1" w:lastRow="0" w:firstColumn="1" w:lastColumn="0" w:noHBand="0" w:noVBand="1"/>
      </w:tblPr>
      <w:tblGrid>
        <w:gridCol w:w="3116"/>
        <w:gridCol w:w="1739"/>
        <w:gridCol w:w="1710"/>
        <w:gridCol w:w="1710"/>
      </w:tblGrid>
      <w:tr w:rsidR="002459CE" w14:paraId="53609BFD" w14:textId="0C0EAD89" w:rsidTr="005B358C">
        <w:tc>
          <w:tcPr>
            <w:tcW w:w="3116" w:type="dxa"/>
          </w:tcPr>
          <w:p w14:paraId="6A227888" w14:textId="454D3EB7" w:rsidR="002459CE" w:rsidRDefault="002459CE" w:rsidP="001538B2">
            <w:pPr>
              <w:rPr>
                <w:sz w:val="36"/>
                <w:szCs w:val="36"/>
              </w:rPr>
            </w:pPr>
            <w:r>
              <w:rPr>
                <w:sz w:val="36"/>
                <w:szCs w:val="36"/>
              </w:rPr>
              <w:t xml:space="preserve">Country </w:t>
            </w:r>
          </w:p>
        </w:tc>
        <w:tc>
          <w:tcPr>
            <w:tcW w:w="1739" w:type="dxa"/>
          </w:tcPr>
          <w:p w14:paraId="4776E54E" w14:textId="27DE4F9E" w:rsidR="002459CE" w:rsidRDefault="002459CE" w:rsidP="00D03BC5">
            <w:pPr>
              <w:jc w:val="center"/>
              <w:rPr>
                <w:sz w:val="36"/>
                <w:szCs w:val="36"/>
              </w:rPr>
            </w:pPr>
            <w:r>
              <w:rPr>
                <w:sz w:val="36"/>
                <w:szCs w:val="36"/>
              </w:rPr>
              <w:t>Happiness Rank</w:t>
            </w:r>
          </w:p>
        </w:tc>
        <w:tc>
          <w:tcPr>
            <w:tcW w:w="1710" w:type="dxa"/>
          </w:tcPr>
          <w:p w14:paraId="3747AA64" w14:textId="7ADA7809" w:rsidR="002459CE" w:rsidRDefault="002459CE" w:rsidP="00D03BC5">
            <w:pPr>
              <w:jc w:val="center"/>
              <w:rPr>
                <w:sz w:val="36"/>
                <w:szCs w:val="36"/>
              </w:rPr>
            </w:pPr>
            <w:r>
              <w:rPr>
                <w:sz w:val="36"/>
                <w:szCs w:val="36"/>
              </w:rPr>
              <w:t>Cost-of-living Rank</w:t>
            </w:r>
          </w:p>
        </w:tc>
        <w:tc>
          <w:tcPr>
            <w:tcW w:w="1710" w:type="dxa"/>
          </w:tcPr>
          <w:p w14:paraId="62F202A3" w14:textId="77777777" w:rsidR="002459CE" w:rsidRDefault="002459CE" w:rsidP="00D03BC5">
            <w:pPr>
              <w:jc w:val="center"/>
              <w:rPr>
                <w:sz w:val="36"/>
                <w:szCs w:val="36"/>
              </w:rPr>
            </w:pPr>
            <w:r>
              <w:rPr>
                <w:sz w:val="36"/>
                <w:szCs w:val="36"/>
              </w:rPr>
              <w:t>GNI</w:t>
            </w:r>
          </w:p>
          <w:p w14:paraId="2A2426D4" w14:textId="166E7DF9" w:rsidR="003C55C9" w:rsidRDefault="003C55C9" w:rsidP="00D03BC5">
            <w:pPr>
              <w:jc w:val="center"/>
              <w:rPr>
                <w:sz w:val="36"/>
                <w:szCs w:val="36"/>
              </w:rPr>
            </w:pPr>
            <w:r>
              <w:rPr>
                <w:sz w:val="36"/>
                <w:szCs w:val="36"/>
              </w:rPr>
              <w:t>per capita</w:t>
            </w:r>
          </w:p>
        </w:tc>
      </w:tr>
      <w:tr w:rsidR="002459CE" w14:paraId="0454BEB3" w14:textId="47F2667C" w:rsidTr="005B358C">
        <w:tc>
          <w:tcPr>
            <w:tcW w:w="3116" w:type="dxa"/>
          </w:tcPr>
          <w:p w14:paraId="3C4D14B3" w14:textId="626CCB6F" w:rsidR="002459CE" w:rsidRDefault="002459CE" w:rsidP="001538B2">
            <w:pPr>
              <w:rPr>
                <w:sz w:val="36"/>
                <w:szCs w:val="36"/>
              </w:rPr>
            </w:pPr>
            <w:r>
              <w:rPr>
                <w:sz w:val="36"/>
                <w:szCs w:val="36"/>
              </w:rPr>
              <w:t>Finland</w:t>
            </w:r>
          </w:p>
        </w:tc>
        <w:tc>
          <w:tcPr>
            <w:tcW w:w="1739" w:type="dxa"/>
          </w:tcPr>
          <w:p w14:paraId="741FDE0E" w14:textId="02C53A6B" w:rsidR="002459CE" w:rsidRDefault="002459CE" w:rsidP="001538B2">
            <w:pPr>
              <w:rPr>
                <w:sz w:val="36"/>
                <w:szCs w:val="36"/>
              </w:rPr>
            </w:pPr>
            <w:r>
              <w:rPr>
                <w:sz w:val="36"/>
                <w:szCs w:val="36"/>
              </w:rPr>
              <w:t>1</w:t>
            </w:r>
          </w:p>
        </w:tc>
        <w:tc>
          <w:tcPr>
            <w:tcW w:w="1710" w:type="dxa"/>
          </w:tcPr>
          <w:p w14:paraId="0596C6C9" w14:textId="15886D2B" w:rsidR="002459CE" w:rsidRDefault="002459CE" w:rsidP="001538B2">
            <w:pPr>
              <w:rPr>
                <w:sz w:val="36"/>
                <w:szCs w:val="36"/>
              </w:rPr>
            </w:pPr>
            <w:r>
              <w:rPr>
                <w:sz w:val="36"/>
                <w:szCs w:val="36"/>
              </w:rPr>
              <w:t>20</w:t>
            </w:r>
          </w:p>
        </w:tc>
        <w:tc>
          <w:tcPr>
            <w:tcW w:w="1710" w:type="dxa"/>
          </w:tcPr>
          <w:p w14:paraId="39528A39" w14:textId="53236FCB" w:rsidR="002459CE" w:rsidRDefault="002459CE" w:rsidP="001538B2">
            <w:pPr>
              <w:rPr>
                <w:sz w:val="36"/>
                <w:szCs w:val="36"/>
              </w:rPr>
            </w:pPr>
            <w:r>
              <w:rPr>
                <w:sz w:val="36"/>
                <w:szCs w:val="36"/>
              </w:rPr>
              <w:t>0.912</w:t>
            </w:r>
          </w:p>
        </w:tc>
      </w:tr>
      <w:tr w:rsidR="002459CE" w14:paraId="5B445E86" w14:textId="2E8D8B1E" w:rsidTr="005B358C">
        <w:tc>
          <w:tcPr>
            <w:tcW w:w="3116" w:type="dxa"/>
          </w:tcPr>
          <w:p w14:paraId="42249CEA" w14:textId="10BECCDB" w:rsidR="002459CE" w:rsidRDefault="002459CE" w:rsidP="001538B2">
            <w:pPr>
              <w:rPr>
                <w:sz w:val="36"/>
                <w:szCs w:val="36"/>
              </w:rPr>
            </w:pPr>
            <w:r>
              <w:rPr>
                <w:sz w:val="36"/>
                <w:szCs w:val="36"/>
              </w:rPr>
              <w:t>Denmark</w:t>
            </w:r>
          </w:p>
        </w:tc>
        <w:tc>
          <w:tcPr>
            <w:tcW w:w="1739" w:type="dxa"/>
          </w:tcPr>
          <w:p w14:paraId="11A48637" w14:textId="635ECD39" w:rsidR="002459CE" w:rsidRDefault="002459CE" w:rsidP="001538B2">
            <w:pPr>
              <w:rPr>
                <w:sz w:val="36"/>
                <w:szCs w:val="36"/>
              </w:rPr>
            </w:pPr>
            <w:r>
              <w:rPr>
                <w:sz w:val="36"/>
                <w:szCs w:val="36"/>
              </w:rPr>
              <w:t>2</w:t>
            </w:r>
          </w:p>
        </w:tc>
        <w:tc>
          <w:tcPr>
            <w:tcW w:w="1710" w:type="dxa"/>
          </w:tcPr>
          <w:p w14:paraId="6FBDB136" w14:textId="2DD0CECF" w:rsidR="002459CE" w:rsidRDefault="002459CE" w:rsidP="001538B2">
            <w:pPr>
              <w:rPr>
                <w:sz w:val="36"/>
                <w:szCs w:val="36"/>
              </w:rPr>
            </w:pPr>
            <w:r>
              <w:rPr>
                <w:sz w:val="36"/>
                <w:szCs w:val="36"/>
              </w:rPr>
              <w:t>6</w:t>
            </w:r>
          </w:p>
        </w:tc>
        <w:tc>
          <w:tcPr>
            <w:tcW w:w="1710" w:type="dxa"/>
          </w:tcPr>
          <w:p w14:paraId="071ED2A5" w14:textId="2205223D" w:rsidR="002459CE" w:rsidRDefault="002459CE" w:rsidP="001538B2">
            <w:pPr>
              <w:rPr>
                <w:sz w:val="36"/>
                <w:szCs w:val="36"/>
              </w:rPr>
            </w:pPr>
            <w:r>
              <w:rPr>
                <w:sz w:val="36"/>
                <w:szCs w:val="36"/>
              </w:rPr>
              <w:t>0.935</w:t>
            </w:r>
          </w:p>
        </w:tc>
      </w:tr>
      <w:tr w:rsidR="002459CE" w14:paraId="3180C15A" w14:textId="4483C820" w:rsidTr="005B358C">
        <w:tc>
          <w:tcPr>
            <w:tcW w:w="3116" w:type="dxa"/>
          </w:tcPr>
          <w:p w14:paraId="68EB28E6" w14:textId="790DABDF" w:rsidR="002459CE" w:rsidRDefault="002459CE" w:rsidP="001538B2">
            <w:pPr>
              <w:rPr>
                <w:sz w:val="36"/>
                <w:szCs w:val="36"/>
              </w:rPr>
            </w:pPr>
            <w:r>
              <w:rPr>
                <w:sz w:val="36"/>
                <w:szCs w:val="36"/>
              </w:rPr>
              <w:t>Norway</w:t>
            </w:r>
          </w:p>
        </w:tc>
        <w:tc>
          <w:tcPr>
            <w:tcW w:w="1739" w:type="dxa"/>
          </w:tcPr>
          <w:p w14:paraId="208CE0D0" w14:textId="46F3DFF2" w:rsidR="002459CE" w:rsidRDefault="002459CE" w:rsidP="001538B2">
            <w:pPr>
              <w:rPr>
                <w:sz w:val="36"/>
                <w:szCs w:val="36"/>
              </w:rPr>
            </w:pPr>
            <w:r>
              <w:rPr>
                <w:sz w:val="36"/>
                <w:szCs w:val="36"/>
              </w:rPr>
              <w:t>3</w:t>
            </w:r>
          </w:p>
        </w:tc>
        <w:tc>
          <w:tcPr>
            <w:tcW w:w="1710" w:type="dxa"/>
          </w:tcPr>
          <w:p w14:paraId="57995C8F" w14:textId="32489649" w:rsidR="002459CE" w:rsidRDefault="002459CE" w:rsidP="001538B2">
            <w:pPr>
              <w:rPr>
                <w:sz w:val="36"/>
                <w:szCs w:val="36"/>
              </w:rPr>
            </w:pPr>
            <w:r>
              <w:rPr>
                <w:sz w:val="36"/>
                <w:szCs w:val="36"/>
              </w:rPr>
              <w:t>3</w:t>
            </w:r>
          </w:p>
        </w:tc>
        <w:tc>
          <w:tcPr>
            <w:tcW w:w="1710" w:type="dxa"/>
          </w:tcPr>
          <w:p w14:paraId="0EA158B5" w14:textId="29710E34" w:rsidR="002459CE" w:rsidRDefault="002459CE" w:rsidP="001538B2">
            <w:pPr>
              <w:rPr>
                <w:sz w:val="36"/>
                <w:szCs w:val="36"/>
              </w:rPr>
            </w:pPr>
            <w:r>
              <w:rPr>
                <w:sz w:val="36"/>
                <w:szCs w:val="36"/>
              </w:rPr>
              <w:t>0.985</w:t>
            </w:r>
          </w:p>
        </w:tc>
      </w:tr>
      <w:tr w:rsidR="002459CE" w14:paraId="50B5A266" w14:textId="5ED4CC80" w:rsidTr="005B358C">
        <w:tc>
          <w:tcPr>
            <w:tcW w:w="3116" w:type="dxa"/>
          </w:tcPr>
          <w:p w14:paraId="338666A6" w14:textId="4D01E541" w:rsidR="002459CE" w:rsidRDefault="002459CE" w:rsidP="001538B2">
            <w:pPr>
              <w:rPr>
                <w:sz w:val="36"/>
                <w:szCs w:val="36"/>
              </w:rPr>
            </w:pPr>
            <w:r>
              <w:rPr>
                <w:sz w:val="36"/>
                <w:szCs w:val="36"/>
              </w:rPr>
              <w:t>Iceland</w:t>
            </w:r>
          </w:p>
        </w:tc>
        <w:tc>
          <w:tcPr>
            <w:tcW w:w="1739" w:type="dxa"/>
          </w:tcPr>
          <w:p w14:paraId="461CB6AF" w14:textId="1064F243" w:rsidR="002459CE" w:rsidRDefault="002459CE" w:rsidP="001538B2">
            <w:pPr>
              <w:rPr>
                <w:sz w:val="36"/>
                <w:szCs w:val="36"/>
              </w:rPr>
            </w:pPr>
            <w:r>
              <w:rPr>
                <w:sz w:val="36"/>
                <w:szCs w:val="36"/>
              </w:rPr>
              <w:t>4</w:t>
            </w:r>
          </w:p>
        </w:tc>
        <w:tc>
          <w:tcPr>
            <w:tcW w:w="1710" w:type="dxa"/>
          </w:tcPr>
          <w:p w14:paraId="5699433F" w14:textId="25BA4B35" w:rsidR="002459CE" w:rsidRDefault="002459CE" w:rsidP="001538B2">
            <w:pPr>
              <w:rPr>
                <w:sz w:val="36"/>
                <w:szCs w:val="36"/>
              </w:rPr>
            </w:pPr>
            <w:r>
              <w:rPr>
                <w:sz w:val="36"/>
                <w:szCs w:val="36"/>
              </w:rPr>
              <w:t>4</w:t>
            </w:r>
          </w:p>
        </w:tc>
        <w:tc>
          <w:tcPr>
            <w:tcW w:w="1710" w:type="dxa"/>
          </w:tcPr>
          <w:p w14:paraId="24B645E9" w14:textId="06EBAC51" w:rsidR="002459CE" w:rsidRDefault="002459CE" w:rsidP="001538B2">
            <w:pPr>
              <w:rPr>
                <w:sz w:val="36"/>
                <w:szCs w:val="36"/>
              </w:rPr>
            </w:pPr>
            <w:r>
              <w:rPr>
                <w:sz w:val="36"/>
                <w:szCs w:val="36"/>
              </w:rPr>
              <w:t>0.931</w:t>
            </w:r>
          </w:p>
        </w:tc>
      </w:tr>
      <w:tr w:rsidR="002459CE" w14:paraId="5896BFF2" w14:textId="7FA4B556" w:rsidTr="005B358C">
        <w:tc>
          <w:tcPr>
            <w:tcW w:w="3116" w:type="dxa"/>
          </w:tcPr>
          <w:p w14:paraId="63240D14" w14:textId="6A286E0C" w:rsidR="002459CE" w:rsidRDefault="002459CE" w:rsidP="001538B2">
            <w:pPr>
              <w:rPr>
                <w:sz w:val="36"/>
                <w:szCs w:val="36"/>
              </w:rPr>
            </w:pPr>
            <w:r>
              <w:rPr>
                <w:sz w:val="36"/>
                <w:szCs w:val="36"/>
              </w:rPr>
              <w:t>Netherlands</w:t>
            </w:r>
          </w:p>
        </w:tc>
        <w:tc>
          <w:tcPr>
            <w:tcW w:w="1739" w:type="dxa"/>
          </w:tcPr>
          <w:p w14:paraId="791692ED" w14:textId="0BAE9C0E" w:rsidR="002459CE" w:rsidRDefault="002459CE" w:rsidP="001538B2">
            <w:pPr>
              <w:rPr>
                <w:sz w:val="36"/>
                <w:szCs w:val="36"/>
              </w:rPr>
            </w:pPr>
            <w:r>
              <w:rPr>
                <w:sz w:val="36"/>
                <w:szCs w:val="36"/>
              </w:rPr>
              <w:t>5</w:t>
            </w:r>
          </w:p>
        </w:tc>
        <w:tc>
          <w:tcPr>
            <w:tcW w:w="1710" w:type="dxa"/>
          </w:tcPr>
          <w:p w14:paraId="720F860E" w14:textId="239B00F5" w:rsidR="002459CE" w:rsidRDefault="002459CE" w:rsidP="001538B2">
            <w:pPr>
              <w:rPr>
                <w:sz w:val="36"/>
                <w:szCs w:val="36"/>
              </w:rPr>
            </w:pPr>
            <w:r>
              <w:rPr>
                <w:sz w:val="36"/>
                <w:szCs w:val="36"/>
              </w:rPr>
              <w:t>17</w:t>
            </w:r>
          </w:p>
        </w:tc>
        <w:tc>
          <w:tcPr>
            <w:tcW w:w="1710" w:type="dxa"/>
          </w:tcPr>
          <w:p w14:paraId="6CCD9F32" w14:textId="4FBAD8F8" w:rsidR="002459CE" w:rsidRDefault="002459CE" w:rsidP="001538B2">
            <w:pPr>
              <w:rPr>
                <w:sz w:val="36"/>
                <w:szCs w:val="36"/>
              </w:rPr>
            </w:pPr>
            <w:r>
              <w:rPr>
                <w:sz w:val="36"/>
                <w:szCs w:val="36"/>
              </w:rPr>
              <w:t>0.939</w:t>
            </w:r>
          </w:p>
        </w:tc>
      </w:tr>
      <w:tr w:rsidR="002459CE" w14:paraId="1595A628" w14:textId="27614437" w:rsidTr="005B358C">
        <w:tc>
          <w:tcPr>
            <w:tcW w:w="3116" w:type="dxa"/>
          </w:tcPr>
          <w:p w14:paraId="2A4E804E" w14:textId="5E2201B7" w:rsidR="002459CE" w:rsidRDefault="002459CE" w:rsidP="001538B2">
            <w:pPr>
              <w:rPr>
                <w:sz w:val="36"/>
                <w:szCs w:val="36"/>
              </w:rPr>
            </w:pPr>
            <w:r>
              <w:rPr>
                <w:sz w:val="36"/>
                <w:szCs w:val="36"/>
              </w:rPr>
              <w:t>Switzerland</w:t>
            </w:r>
          </w:p>
        </w:tc>
        <w:tc>
          <w:tcPr>
            <w:tcW w:w="1739" w:type="dxa"/>
          </w:tcPr>
          <w:p w14:paraId="209CFE90" w14:textId="44A582E7" w:rsidR="002459CE" w:rsidRDefault="002459CE" w:rsidP="001538B2">
            <w:pPr>
              <w:rPr>
                <w:sz w:val="36"/>
                <w:szCs w:val="36"/>
              </w:rPr>
            </w:pPr>
            <w:r>
              <w:rPr>
                <w:sz w:val="36"/>
                <w:szCs w:val="36"/>
              </w:rPr>
              <w:t>6</w:t>
            </w:r>
          </w:p>
        </w:tc>
        <w:tc>
          <w:tcPr>
            <w:tcW w:w="1710" w:type="dxa"/>
          </w:tcPr>
          <w:p w14:paraId="41DEA611" w14:textId="0C806D2E" w:rsidR="002459CE" w:rsidRDefault="002459CE" w:rsidP="001538B2">
            <w:pPr>
              <w:rPr>
                <w:sz w:val="36"/>
                <w:szCs w:val="36"/>
              </w:rPr>
            </w:pPr>
            <w:r>
              <w:rPr>
                <w:sz w:val="36"/>
                <w:szCs w:val="36"/>
              </w:rPr>
              <w:t>2</w:t>
            </w:r>
          </w:p>
        </w:tc>
        <w:tc>
          <w:tcPr>
            <w:tcW w:w="1710" w:type="dxa"/>
          </w:tcPr>
          <w:p w14:paraId="5982BFFB" w14:textId="22463BA3" w:rsidR="002459CE" w:rsidRDefault="002459CE" w:rsidP="001538B2">
            <w:pPr>
              <w:rPr>
                <w:sz w:val="36"/>
                <w:szCs w:val="36"/>
              </w:rPr>
            </w:pPr>
            <w:r>
              <w:rPr>
                <w:sz w:val="36"/>
                <w:szCs w:val="36"/>
              </w:rPr>
              <w:t>0.965</w:t>
            </w:r>
          </w:p>
        </w:tc>
      </w:tr>
      <w:tr w:rsidR="002459CE" w14:paraId="133E3EB4" w14:textId="080BDD66" w:rsidTr="005B358C">
        <w:tc>
          <w:tcPr>
            <w:tcW w:w="3116" w:type="dxa"/>
          </w:tcPr>
          <w:p w14:paraId="2914070D" w14:textId="1ECBB09A" w:rsidR="002459CE" w:rsidRDefault="002459CE" w:rsidP="001538B2">
            <w:pPr>
              <w:rPr>
                <w:sz w:val="36"/>
                <w:szCs w:val="36"/>
              </w:rPr>
            </w:pPr>
            <w:r>
              <w:rPr>
                <w:sz w:val="36"/>
                <w:szCs w:val="36"/>
              </w:rPr>
              <w:t>Sweden</w:t>
            </w:r>
          </w:p>
        </w:tc>
        <w:tc>
          <w:tcPr>
            <w:tcW w:w="1739" w:type="dxa"/>
          </w:tcPr>
          <w:p w14:paraId="005F523F" w14:textId="1C9BAC24" w:rsidR="002459CE" w:rsidRDefault="002459CE" w:rsidP="001538B2">
            <w:pPr>
              <w:rPr>
                <w:sz w:val="36"/>
                <w:szCs w:val="36"/>
              </w:rPr>
            </w:pPr>
            <w:r>
              <w:rPr>
                <w:sz w:val="36"/>
                <w:szCs w:val="36"/>
              </w:rPr>
              <w:t>7</w:t>
            </w:r>
          </w:p>
        </w:tc>
        <w:tc>
          <w:tcPr>
            <w:tcW w:w="1710" w:type="dxa"/>
          </w:tcPr>
          <w:p w14:paraId="63E2EA2A" w14:textId="4FF0DA83" w:rsidR="002459CE" w:rsidRDefault="002459CE" w:rsidP="001538B2">
            <w:pPr>
              <w:rPr>
                <w:sz w:val="36"/>
                <w:szCs w:val="36"/>
              </w:rPr>
            </w:pPr>
            <w:r>
              <w:rPr>
                <w:sz w:val="36"/>
                <w:szCs w:val="36"/>
              </w:rPr>
              <w:t>22</w:t>
            </w:r>
          </w:p>
        </w:tc>
        <w:tc>
          <w:tcPr>
            <w:tcW w:w="1710" w:type="dxa"/>
          </w:tcPr>
          <w:p w14:paraId="4A394408" w14:textId="2D91899C" w:rsidR="002459CE" w:rsidRDefault="002459CE" w:rsidP="001538B2">
            <w:pPr>
              <w:rPr>
                <w:sz w:val="36"/>
                <w:szCs w:val="36"/>
              </w:rPr>
            </w:pPr>
            <w:r>
              <w:rPr>
                <w:sz w:val="36"/>
                <w:szCs w:val="36"/>
              </w:rPr>
              <w:t>0.932</w:t>
            </w:r>
          </w:p>
        </w:tc>
      </w:tr>
      <w:tr w:rsidR="002459CE" w14:paraId="3200D1AC" w14:textId="11F3C6AB" w:rsidTr="005B358C">
        <w:tc>
          <w:tcPr>
            <w:tcW w:w="3116" w:type="dxa"/>
          </w:tcPr>
          <w:p w14:paraId="40927146" w14:textId="30F74F89" w:rsidR="002459CE" w:rsidRDefault="002459CE" w:rsidP="001538B2">
            <w:pPr>
              <w:rPr>
                <w:sz w:val="36"/>
                <w:szCs w:val="36"/>
              </w:rPr>
            </w:pPr>
            <w:r>
              <w:rPr>
                <w:sz w:val="36"/>
                <w:szCs w:val="36"/>
              </w:rPr>
              <w:t>New Zealand</w:t>
            </w:r>
          </w:p>
        </w:tc>
        <w:tc>
          <w:tcPr>
            <w:tcW w:w="1739" w:type="dxa"/>
          </w:tcPr>
          <w:p w14:paraId="4D105DAD" w14:textId="1B279ADA" w:rsidR="002459CE" w:rsidRDefault="002459CE" w:rsidP="001538B2">
            <w:pPr>
              <w:rPr>
                <w:sz w:val="36"/>
                <w:szCs w:val="36"/>
              </w:rPr>
            </w:pPr>
            <w:r>
              <w:rPr>
                <w:sz w:val="36"/>
                <w:szCs w:val="36"/>
              </w:rPr>
              <w:t>8</w:t>
            </w:r>
          </w:p>
        </w:tc>
        <w:tc>
          <w:tcPr>
            <w:tcW w:w="1710" w:type="dxa"/>
          </w:tcPr>
          <w:p w14:paraId="07E6881F" w14:textId="03810367" w:rsidR="002459CE" w:rsidRDefault="002459CE" w:rsidP="001538B2">
            <w:pPr>
              <w:rPr>
                <w:sz w:val="36"/>
                <w:szCs w:val="36"/>
              </w:rPr>
            </w:pPr>
            <w:r>
              <w:rPr>
                <w:sz w:val="36"/>
                <w:szCs w:val="36"/>
              </w:rPr>
              <w:t>23</w:t>
            </w:r>
          </w:p>
        </w:tc>
        <w:tc>
          <w:tcPr>
            <w:tcW w:w="1710" w:type="dxa"/>
          </w:tcPr>
          <w:p w14:paraId="501946D7" w14:textId="063F9DE6" w:rsidR="002459CE" w:rsidRDefault="002459CE" w:rsidP="001538B2">
            <w:pPr>
              <w:rPr>
                <w:sz w:val="36"/>
                <w:szCs w:val="36"/>
              </w:rPr>
            </w:pPr>
            <w:r>
              <w:rPr>
                <w:sz w:val="36"/>
                <w:szCs w:val="36"/>
              </w:rPr>
              <w:t>0.885</w:t>
            </w:r>
          </w:p>
        </w:tc>
      </w:tr>
      <w:tr w:rsidR="002459CE" w14:paraId="1D6998F0" w14:textId="74BF9333" w:rsidTr="005B358C">
        <w:tc>
          <w:tcPr>
            <w:tcW w:w="3116" w:type="dxa"/>
          </w:tcPr>
          <w:p w14:paraId="489BD58B" w14:textId="3204AE4C" w:rsidR="002459CE" w:rsidRDefault="002459CE" w:rsidP="001538B2">
            <w:pPr>
              <w:rPr>
                <w:sz w:val="36"/>
                <w:szCs w:val="36"/>
              </w:rPr>
            </w:pPr>
            <w:r>
              <w:rPr>
                <w:sz w:val="36"/>
                <w:szCs w:val="36"/>
              </w:rPr>
              <w:t>Canada</w:t>
            </w:r>
          </w:p>
        </w:tc>
        <w:tc>
          <w:tcPr>
            <w:tcW w:w="1739" w:type="dxa"/>
          </w:tcPr>
          <w:p w14:paraId="1D5C0094" w14:textId="596C5265" w:rsidR="002459CE" w:rsidRDefault="002459CE" w:rsidP="001538B2">
            <w:pPr>
              <w:rPr>
                <w:sz w:val="36"/>
                <w:szCs w:val="36"/>
              </w:rPr>
            </w:pPr>
            <w:r>
              <w:rPr>
                <w:sz w:val="36"/>
                <w:szCs w:val="36"/>
              </w:rPr>
              <w:t>9</w:t>
            </w:r>
          </w:p>
        </w:tc>
        <w:tc>
          <w:tcPr>
            <w:tcW w:w="1710" w:type="dxa"/>
          </w:tcPr>
          <w:p w14:paraId="6D8EE164" w14:textId="5FB363D1" w:rsidR="002459CE" w:rsidRDefault="002459CE" w:rsidP="001538B2">
            <w:pPr>
              <w:rPr>
                <w:sz w:val="36"/>
                <w:szCs w:val="36"/>
              </w:rPr>
            </w:pPr>
            <w:r>
              <w:rPr>
                <w:sz w:val="36"/>
                <w:szCs w:val="36"/>
              </w:rPr>
              <w:t>31</w:t>
            </w:r>
          </w:p>
        </w:tc>
        <w:tc>
          <w:tcPr>
            <w:tcW w:w="1710" w:type="dxa"/>
          </w:tcPr>
          <w:p w14:paraId="747EF759" w14:textId="03441177" w:rsidR="002459CE" w:rsidRDefault="002459CE" w:rsidP="001538B2">
            <w:pPr>
              <w:rPr>
                <w:sz w:val="36"/>
                <w:szCs w:val="36"/>
              </w:rPr>
            </w:pPr>
            <w:r>
              <w:rPr>
                <w:sz w:val="36"/>
                <w:szCs w:val="36"/>
              </w:rPr>
              <w:t>0.918</w:t>
            </w:r>
          </w:p>
        </w:tc>
      </w:tr>
      <w:tr w:rsidR="002459CE" w14:paraId="406CB8F3" w14:textId="45E3F9DB" w:rsidTr="005B358C">
        <w:tc>
          <w:tcPr>
            <w:tcW w:w="3116" w:type="dxa"/>
          </w:tcPr>
          <w:p w14:paraId="5A2AB8AE" w14:textId="0DA7CA93" w:rsidR="002459CE" w:rsidRDefault="002459CE" w:rsidP="001538B2">
            <w:pPr>
              <w:rPr>
                <w:sz w:val="36"/>
                <w:szCs w:val="36"/>
              </w:rPr>
            </w:pPr>
            <w:r>
              <w:rPr>
                <w:sz w:val="36"/>
                <w:szCs w:val="36"/>
              </w:rPr>
              <w:lastRenderedPageBreak/>
              <w:t>Austria</w:t>
            </w:r>
          </w:p>
        </w:tc>
        <w:tc>
          <w:tcPr>
            <w:tcW w:w="1739" w:type="dxa"/>
          </w:tcPr>
          <w:p w14:paraId="33FBD6F5" w14:textId="6D717A80" w:rsidR="002459CE" w:rsidRDefault="002459CE" w:rsidP="001538B2">
            <w:pPr>
              <w:rPr>
                <w:sz w:val="36"/>
                <w:szCs w:val="36"/>
              </w:rPr>
            </w:pPr>
            <w:r>
              <w:rPr>
                <w:sz w:val="36"/>
                <w:szCs w:val="36"/>
              </w:rPr>
              <w:t>10</w:t>
            </w:r>
          </w:p>
        </w:tc>
        <w:tc>
          <w:tcPr>
            <w:tcW w:w="1710" w:type="dxa"/>
          </w:tcPr>
          <w:p w14:paraId="5F72567C" w14:textId="7B78D480" w:rsidR="002459CE" w:rsidRDefault="002459CE" w:rsidP="001538B2">
            <w:pPr>
              <w:rPr>
                <w:sz w:val="36"/>
                <w:szCs w:val="36"/>
              </w:rPr>
            </w:pPr>
            <w:r>
              <w:rPr>
                <w:sz w:val="36"/>
                <w:szCs w:val="36"/>
              </w:rPr>
              <w:t>24</w:t>
            </w:r>
          </w:p>
        </w:tc>
        <w:tc>
          <w:tcPr>
            <w:tcW w:w="1710" w:type="dxa"/>
          </w:tcPr>
          <w:p w14:paraId="55F52F62" w14:textId="7721806B" w:rsidR="002459CE" w:rsidRDefault="002459CE" w:rsidP="001538B2">
            <w:pPr>
              <w:rPr>
                <w:sz w:val="36"/>
                <w:szCs w:val="36"/>
              </w:rPr>
            </w:pPr>
            <w:r>
              <w:rPr>
                <w:sz w:val="36"/>
                <w:szCs w:val="36"/>
              </w:rPr>
              <w:t>0.927</w:t>
            </w:r>
          </w:p>
        </w:tc>
      </w:tr>
    </w:tbl>
    <w:p w14:paraId="3C092953" w14:textId="77777777" w:rsidR="00D03BC5" w:rsidRDefault="00D03BC5" w:rsidP="001538B2">
      <w:pPr>
        <w:rPr>
          <w:sz w:val="36"/>
          <w:szCs w:val="36"/>
        </w:rPr>
      </w:pPr>
    </w:p>
    <w:p w14:paraId="4E283515" w14:textId="5E86359B" w:rsidR="00444A21" w:rsidRPr="00E270F2" w:rsidRDefault="006F7152">
      <w:r w:rsidRPr="00E270F2">
        <w:t xml:space="preserve">I was curious about </w:t>
      </w:r>
      <w:r w:rsidR="00597D49" w:rsidRPr="00E270F2">
        <w:t>whether</w:t>
      </w:r>
      <w:r w:rsidRPr="00E270F2">
        <w:t xml:space="preserve"> the cost of living for a country impacts the happiness rank. Above is a scatterplot that shows the top 10 happy countries out of 153 on the x-axis, and the</w:t>
      </w:r>
      <w:r w:rsidR="00083048" w:rsidRPr="00E270F2">
        <w:t>ir</w:t>
      </w:r>
      <w:r w:rsidRPr="00E270F2">
        <w:t xml:space="preserve"> </w:t>
      </w:r>
      <w:r w:rsidR="00597D49" w:rsidRPr="00E270F2">
        <w:t>cost-of-living ranking on the y-axis. Countries with higher cost of living rankings indicate a lower cost of living and vice versa. Denmark has the 6</w:t>
      </w:r>
      <w:r w:rsidR="00597D49" w:rsidRPr="00E270F2">
        <w:rPr>
          <w:vertAlign w:val="superscript"/>
        </w:rPr>
        <w:t>th</w:t>
      </w:r>
      <w:r w:rsidR="00597D49" w:rsidRPr="00E270F2">
        <w:t xml:space="preserve"> highest cost of living out of 135 countries. Canada has a lower cost-of-living than Denmark as it is ranked the 31</w:t>
      </w:r>
      <w:r w:rsidR="00597D49" w:rsidRPr="00E270F2">
        <w:rPr>
          <w:vertAlign w:val="superscript"/>
        </w:rPr>
        <w:t>st</w:t>
      </w:r>
      <w:r w:rsidR="00597D49" w:rsidRPr="00E270F2">
        <w:t xml:space="preserve"> highest cost-of-living country. </w:t>
      </w:r>
      <w:r w:rsidR="00222A02" w:rsidRPr="00E270F2">
        <w:t xml:space="preserve">The two variables seem to have very little correlation. The top 10 happiest countries are on the more expensive end when it comes to cost-of-living. I assumed countries with a lower cost-of-living would be happier due to less stress. </w:t>
      </w:r>
      <w:r w:rsidR="003C3603" w:rsidRPr="00E270F2">
        <w:t xml:space="preserve">However, many other variables contribute to the happiness of citizens. The happiness rank is an accumulation of scores based on GDP, social support, life expectancy, freedom to make choices, generosity, and perception on government corruption. The values </w:t>
      </w:r>
      <w:r w:rsidR="00B806BB" w:rsidRPr="00E270F2">
        <w:t xml:space="preserve">in the dataset </w:t>
      </w:r>
      <w:r w:rsidR="003C3603" w:rsidRPr="00E270F2">
        <w:t>represent the extent to which t</w:t>
      </w:r>
      <w:r w:rsidR="00B806BB" w:rsidRPr="00E270F2">
        <w:t>he variables</w:t>
      </w:r>
      <w:r w:rsidR="003C3603" w:rsidRPr="00E270F2">
        <w:t xml:space="preserve"> contribute to the happiness score. </w:t>
      </w:r>
      <w:r w:rsidR="002459CE" w:rsidRPr="00E270F2">
        <w:t xml:space="preserve">Many citizens stated that GDP contributes a lot to their happiness. It is no surprise that all countries in the top 10 happiness ranking also have high GNI that balances out the </w:t>
      </w:r>
      <w:r w:rsidR="00343B2B" w:rsidRPr="00E270F2">
        <w:t xml:space="preserve">cost-of-living. </w:t>
      </w:r>
    </w:p>
    <w:p w14:paraId="5DC375E4" w14:textId="4F2A3773" w:rsidR="004849B9" w:rsidRPr="00E270F2" w:rsidRDefault="004849B9">
      <w:r w:rsidRPr="00E270F2">
        <w:t xml:space="preserve">3. Top happiest countries and their GNI and percentage invested in education. </w:t>
      </w:r>
    </w:p>
    <w:p w14:paraId="219E1869" w14:textId="77777777" w:rsidR="004849B9" w:rsidRPr="00E270F2" w:rsidRDefault="004849B9"/>
    <w:p w14:paraId="5D0A19E8" w14:textId="5452F71E" w:rsidR="00444A21" w:rsidRDefault="004849B9" w:rsidP="00444A21">
      <w:pPr>
        <w:pStyle w:val="ListParagraph"/>
        <w:rPr>
          <w:sz w:val="36"/>
          <w:szCs w:val="36"/>
        </w:rPr>
      </w:pPr>
      <w:r>
        <w:rPr>
          <w:noProof/>
          <w:sz w:val="36"/>
          <w:szCs w:val="36"/>
        </w:rPr>
        <w:drawing>
          <wp:inline distT="0" distB="0" distL="0" distR="0" wp14:anchorId="6C7993C5" wp14:editId="599E5581">
            <wp:extent cx="5909310" cy="3634329"/>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1687" cy="3666542"/>
                    </a:xfrm>
                    <a:prstGeom prst="rect">
                      <a:avLst/>
                    </a:prstGeom>
                  </pic:spPr>
                </pic:pic>
              </a:graphicData>
            </a:graphic>
          </wp:inline>
        </w:drawing>
      </w:r>
    </w:p>
    <w:p w14:paraId="2F6EBE08" w14:textId="2A431EFD" w:rsidR="004849B9" w:rsidRDefault="004849B9" w:rsidP="00444A21">
      <w:pPr>
        <w:pStyle w:val="ListParagraph"/>
        <w:rPr>
          <w:sz w:val="36"/>
          <w:szCs w:val="36"/>
        </w:rPr>
      </w:pPr>
      <w:r>
        <w:rPr>
          <w:noProof/>
          <w:sz w:val="36"/>
          <w:szCs w:val="36"/>
        </w:rPr>
        <w:lastRenderedPageBreak/>
        <w:drawing>
          <wp:inline distT="0" distB="0" distL="0" distR="0" wp14:anchorId="40E8BE9C" wp14:editId="2C8642D6">
            <wp:extent cx="5943600" cy="3706495"/>
            <wp:effectExtent l="0" t="0" r="0" b="190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06495"/>
                    </a:xfrm>
                    <a:prstGeom prst="rect">
                      <a:avLst/>
                    </a:prstGeom>
                  </pic:spPr>
                </pic:pic>
              </a:graphicData>
            </a:graphic>
          </wp:inline>
        </w:drawing>
      </w:r>
    </w:p>
    <w:p w14:paraId="0927C108" w14:textId="77777777" w:rsidR="004849B9" w:rsidRDefault="004849B9" w:rsidP="00444A21">
      <w:pPr>
        <w:pStyle w:val="ListParagraph"/>
        <w:rPr>
          <w:sz w:val="36"/>
          <w:szCs w:val="36"/>
        </w:rPr>
      </w:pPr>
    </w:p>
    <w:p w14:paraId="09726798" w14:textId="75C546AB" w:rsidR="004849B9" w:rsidRDefault="004849B9" w:rsidP="00444A21">
      <w:pPr>
        <w:pStyle w:val="ListParagraph"/>
        <w:rPr>
          <w:sz w:val="36"/>
          <w:szCs w:val="36"/>
        </w:rPr>
      </w:pPr>
      <w:r>
        <w:rPr>
          <w:noProof/>
          <w:sz w:val="36"/>
          <w:szCs w:val="36"/>
        </w:rPr>
        <w:drawing>
          <wp:inline distT="0" distB="0" distL="0" distR="0" wp14:anchorId="2C35064F" wp14:editId="2A60D796">
            <wp:extent cx="5943600" cy="2716530"/>
            <wp:effectExtent l="0" t="0" r="0" b="127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16530"/>
                    </a:xfrm>
                    <a:prstGeom prst="rect">
                      <a:avLst/>
                    </a:prstGeom>
                  </pic:spPr>
                </pic:pic>
              </a:graphicData>
            </a:graphic>
          </wp:inline>
        </w:drawing>
      </w:r>
    </w:p>
    <w:p w14:paraId="6C08A3AD" w14:textId="23B383B4" w:rsidR="004849B9" w:rsidRPr="00E270F2" w:rsidRDefault="004849B9" w:rsidP="00444A21">
      <w:pPr>
        <w:pStyle w:val="ListParagraph"/>
      </w:pPr>
      <w:r w:rsidRPr="00E270F2">
        <w:t xml:space="preserve">I filtered my happiness ranking dataset to the top 20 happiest countries. Within those top 20 countries I examined the countries that had GNI data and education data. I was not surprised to see that within the top happiest countries are </w:t>
      </w:r>
      <w:r w:rsidR="00617B95" w:rsidRPr="00E270F2">
        <w:t xml:space="preserve">some of the </w:t>
      </w:r>
      <w:r w:rsidR="0080124B" w:rsidRPr="00E270F2">
        <w:t>wealth</w:t>
      </w:r>
      <w:r w:rsidR="00617B95" w:rsidRPr="00E270F2">
        <w:t>iest</w:t>
      </w:r>
      <w:r w:rsidRPr="00E270F2">
        <w:t xml:space="preserve"> countries. </w:t>
      </w:r>
      <w:r w:rsidR="0080124B" w:rsidRPr="00E270F2">
        <w:t xml:space="preserve">These countries also prioritize </w:t>
      </w:r>
      <w:r w:rsidR="002A306A" w:rsidRPr="00E270F2">
        <w:t>education and</w:t>
      </w:r>
      <w:r w:rsidR="00617B95" w:rsidRPr="00E270F2">
        <w:t xml:space="preserve"> invest a </w:t>
      </w:r>
      <w:r w:rsidR="002A306A" w:rsidRPr="00E270F2">
        <w:t xml:space="preserve">nice percentage of GDP. I feel as though these countries will continue to rise above others due to funds, and resources, as they all have maintained a consistent GDP over the past 5 years. </w:t>
      </w:r>
    </w:p>
    <w:p w14:paraId="467A6C8D" w14:textId="61A332B7" w:rsidR="002A306A" w:rsidRPr="00E270F2" w:rsidRDefault="002A306A" w:rsidP="00444A21">
      <w:pPr>
        <w:pStyle w:val="ListParagraph"/>
      </w:pPr>
    </w:p>
    <w:p w14:paraId="26AAF0B5" w14:textId="77777777" w:rsidR="00E270F2" w:rsidRDefault="00E270F2" w:rsidP="00444A21">
      <w:pPr>
        <w:pStyle w:val="ListParagraph"/>
      </w:pPr>
    </w:p>
    <w:p w14:paraId="4CDD79FC" w14:textId="53D4D2E1" w:rsidR="002A306A" w:rsidRPr="00E270F2" w:rsidRDefault="002A306A" w:rsidP="00444A21">
      <w:pPr>
        <w:pStyle w:val="ListParagraph"/>
      </w:pPr>
      <w:r w:rsidRPr="00E270F2">
        <w:lastRenderedPageBreak/>
        <w:t>Conclusion:</w:t>
      </w:r>
    </w:p>
    <w:p w14:paraId="10766F17" w14:textId="2A907EE7" w:rsidR="002A306A" w:rsidRPr="00E270F2" w:rsidRDefault="002A306A" w:rsidP="00444A21">
      <w:pPr>
        <w:pStyle w:val="ListParagraph"/>
      </w:pPr>
    </w:p>
    <w:p w14:paraId="04612A94" w14:textId="68D04FF4" w:rsidR="002A306A" w:rsidRPr="00E270F2" w:rsidRDefault="002A306A" w:rsidP="00444A21">
      <w:pPr>
        <w:pStyle w:val="ListParagraph"/>
      </w:pPr>
      <w:r w:rsidRPr="00E270F2">
        <w:t>I would consider Canada, Germany, Sweden, Finland, and Netherlands the top 5 best countries to live in. These countries have shown to care about their citizens and know how to maintain a healthy economy. They invest in education to keep the economy growing.</w:t>
      </w:r>
      <w:r w:rsidR="00E270F2" w:rsidRPr="00E270F2">
        <w:t xml:space="preserve"> Next time I would look more into crime and corruption of countries as well to gain a clearer picture of life in each country. I believe a lot of crime stems from not having the things you desire from life. The economy and structure of a country can contribute to this through systems, and lack of control over finances. I feel as though the top happiest countries will also demonstrate low crime rates. </w:t>
      </w:r>
    </w:p>
    <w:sectPr w:rsidR="002A306A" w:rsidRPr="00E270F2" w:rsidSect="00B8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61CD"/>
    <w:multiLevelType w:val="hybridMultilevel"/>
    <w:tmpl w:val="61406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D0067"/>
    <w:multiLevelType w:val="hybridMultilevel"/>
    <w:tmpl w:val="3D486242"/>
    <w:lvl w:ilvl="0" w:tplc="FC7827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80885"/>
    <w:multiLevelType w:val="hybridMultilevel"/>
    <w:tmpl w:val="D422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F0EEC"/>
    <w:multiLevelType w:val="hybridMultilevel"/>
    <w:tmpl w:val="C534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12B37"/>
    <w:multiLevelType w:val="hybridMultilevel"/>
    <w:tmpl w:val="4AD2B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22916"/>
    <w:multiLevelType w:val="hybridMultilevel"/>
    <w:tmpl w:val="636803B6"/>
    <w:lvl w:ilvl="0" w:tplc="FC7827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251739">
    <w:abstractNumId w:val="5"/>
  </w:num>
  <w:num w:numId="2" w16cid:durableId="1497382549">
    <w:abstractNumId w:val="1"/>
  </w:num>
  <w:num w:numId="3" w16cid:durableId="2025785624">
    <w:abstractNumId w:val="2"/>
  </w:num>
  <w:num w:numId="4" w16cid:durableId="1231620839">
    <w:abstractNumId w:val="3"/>
  </w:num>
  <w:num w:numId="5" w16cid:durableId="1768883246">
    <w:abstractNumId w:val="4"/>
  </w:num>
  <w:num w:numId="6" w16cid:durableId="134821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4A"/>
    <w:rsid w:val="00083048"/>
    <w:rsid w:val="000A1D4D"/>
    <w:rsid w:val="001538B2"/>
    <w:rsid w:val="00222A02"/>
    <w:rsid w:val="00236457"/>
    <w:rsid w:val="002459CE"/>
    <w:rsid w:val="002A306A"/>
    <w:rsid w:val="0030670B"/>
    <w:rsid w:val="00343B2B"/>
    <w:rsid w:val="003C3603"/>
    <w:rsid w:val="003C4BBF"/>
    <w:rsid w:val="003C55C9"/>
    <w:rsid w:val="00444A21"/>
    <w:rsid w:val="004548A7"/>
    <w:rsid w:val="004849B9"/>
    <w:rsid w:val="004E51F3"/>
    <w:rsid w:val="00516891"/>
    <w:rsid w:val="00597D49"/>
    <w:rsid w:val="005D5BA9"/>
    <w:rsid w:val="00617B95"/>
    <w:rsid w:val="006D194A"/>
    <w:rsid w:val="006F7152"/>
    <w:rsid w:val="00780C9B"/>
    <w:rsid w:val="0080124B"/>
    <w:rsid w:val="0082133C"/>
    <w:rsid w:val="009111C6"/>
    <w:rsid w:val="00991638"/>
    <w:rsid w:val="009F2743"/>
    <w:rsid w:val="00B806BB"/>
    <w:rsid w:val="00B84BCF"/>
    <w:rsid w:val="00B87E36"/>
    <w:rsid w:val="00D03BC5"/>
    <w:rsid w:val="00D971F6"/>
    <w:rsid w:val="00E21366"/>
    <w:rsid w:val="00E270F2"/>
    <w:rsid w:val="00EA18BE"/>
    <w:rsid w:val="00EA2B7E"/>
    <w:rsid w:val="00F54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38277F"/>
  <w14:defaultImageDpi w14:val="32767"/>
  <w15:chartTrackingRefBased/>
  <w15:docId w15:val="{12DE552D-AB0D-9845-B771-5799747E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A21"/>
    <w:pPr>
      <w:ind w:left="720"/>
      <w:contextualSpacing/>
    </w:pPr>
  </w:style>
  <w:style w:type="table" w:styleId="TableGrid">
    <w:name w:val="Table Grid"/>
    <w:basedOn w:val="TableNormal"/>
    <w:uiPriority w:val="39"/>
    <w:rsid w:val="00D03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Lareisha D</dc:creator>
  <cp:keywords/>
  <dc:description/>
  <cp:lastModifiedBy>Lewis, Lareisha D</cp:lastModifiedBy>
  <cp:revision>2</cp:revision>
  <dcterms:created xsi:type="dcterms:W3CDTF">2022-05-14T05:19:00Z</dcterms:created>
  <dcterms:modified xsi:type="dcterms:W3CDTF">2022-05-14T05:19:00Z</dcterms:modified>
</cp:coreProperties>
</file>