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4330075140b554908d5dd6968ff29ca3e6929ba"/>
    <w:p>
      <w:pPr>
        <w:pStyle w:val="Heading1"/>
      </w:pPr>
      <w:r>
        <w:t xml:space="preserve">Harjota Digital &amp; Institutional Intelligence Audit Proposal Template</w:t>
      </w:r>
    </w:p>
    <w:bookmarkStart w:id="20" w:name="purpose"/>
    <w:p>
      <w:pPr>
        <w:pStyle w:val="Heading2"/>
      </w:pPr>
      <w:r>
        <w:t xml:space="preserve">Purpose</w:t>
      </w:r>
    </w:p>
    <w:p>
      <w:pPr>
        <w:pStyle w:val="FirstParagraph"/>
      </w:pPr>
      <w:r>
        <w:t xml:space="preserve">This proposal template is designed to formally present Harjota’s audit services to prospective clients who have expressed interest. It clearly outlines scope, benefits, pricing, timeline, and expected outcomes, emphasizing both strategic and financial value.</w:t>
      </w:r>
    </w:p>
    <w:p>
      <w:r>
        <w:pict>
          <v:rect style="width:0;height:1.5pt" o:hralign="center" o:hrstd="t" o:hr="t"/>
        </w:pict>
      </w:r>
    </w:p>
    <w:bookmarkEnd w:id="20"/>
    <w:bookmarkStart w:id="21" w:name="cover-page"/>
    <w:p>
      <w:pPr>
        <w:pStyle w:val="Heading2"/>
      </w:pPr>
      <w:r>
        <w:t xml:space="preserve">1. Cover Page</w:t>
      </w:r>
    </w:p>
    <w:p>
      <w:pPr>
        <w:pStyle w:val="Compact"/>
        <w:numPr>
          <w:ilvl w:val="0"/>
          <w:numId w:val="1001"/>
        </w:numPr>
      </w:pPr>
      <w:r>
        <w:t xml:space="preserve">Harjota Logo</w:t>
      </w:r>
    </w:p>
    <w:p>
      <w:pPr>
        <w:pStyle w:val="Compact"/>
        <w:numPr>
          <w:ilvl w:val="0"/>
          <w:numId w:val="1001"/>
        </w:numPr>
      </w:pPr>
      <w:r>
        <w:t xml:space="preserve">Proposal Title:</w:t>
      </w:r>
      <w:r>
        <w:t xml:space="preserve"> </w:t>
      </w:r>
      <w:r>
        <w:t xml:space="preserve">“Digital &amp; Institutional Intelligence Audit Proposal”</w:t>
      </w:r>
    </w:p>
    <w:p>
      <w:pPr>
        <w:pStyle w:val="Compact"/>
        <w:numPr>
          <w:ilvl w:val="0"/>
          <w:numId w:val="1001"/>
        </w:numPr>
      </w:pPr>
      <w:r>
        <w:t xml:space="preserve">Client Name</w:t>
      </w:r>
    </w:p>
    <w:p>
      <w:pPr>
        <w:pStyle w:val="Compact"/>
        <w:numPr>
          <w:ilvl w:val="0"/>
          <w:numId w:val="1001"/>
        </w:numPr>
      </w:pPr>
      <w:r>
        <w:t xml:space="preserve">Date</w:t>
      </w:r>
    </w:p>
    <w:p>
      <w:pPr>
        <w:pStyle w:val="Compact"/>
        <w:numPr>
          <w:ilvl w:val="0"/>
          <w:numId w:val="1001"/>
        </w:numPr>
      </w:pPr>
      <w:r>
        <w:t xml:space="preserve">Prepared by: Harjota</w:t>
      </w:r>
    </w:p>
    <w:p>
      <w:r>
        <w:pict>
          <v:rect style="width:0;height:1.5pt" o:hralign="center" o:hrstd="t" o:hr="t"/>
        </w:pict>
      </w:r>
    </w:p>
    <w:bookmarkEnd w:id="21"/>
    <w:bookmarkStart w:id="22" w:name="executive-summary"/>
    <w:p>
      <w:pPr>
        <w:pStyle w:val="Heading2"/>
      </w:pPr>
      <w:r>
        <w:t xml:space="preserve">2. Executive Summary</w:t>
      </w:r>
    </w:p>
    <w:p>
      <w:pPr>
        <w:pStyle w:val="Compact"/>
        <w:numPr>
          <w:ilvl w:val="0"/>
          <w:numId w:val="1002"/>
        </w:numPr>
      </w:pPr>
      <w:r>
        <w:t xml:space="preserve">Brief overview of Harjota and the audit</w:t>
      </w:r>
    </w:p>
    <w:p>
      <w:pPr>
        <w:pStyle w:val="Compact"/>
        <w:numPr>
          <w:ilvl w:val="0"/>
          <w:numId w:val="1002"/>
        </w:numPr>
      </w:pPr>
      <w:r>
        <w:t xml:space="preserve">Purpose and objectives of the audit</w:t>
      </w:r>
    </w:p>
    <w:p>
      <w:pPr>
        <w:pStyle w:val="Compact"/>
        <w:numPr>
          <w:ilvl w:val="0"/>
          <w:numId w:val="1002"/>
        </w:numPr>
      </w:pPr>
      <w:r>
        <w:t xml:space="preserve">High-level benefits (efficiency, revenue impact, decision clarity)</w:t>
      </w:r>
    </w:p>
    <w:p>
      <w:pPr>
        <w:pStyle w:val="Compact"/>
        <w:numPr>
          <w:ilvl w:val="0"/>
          <w:numId w:val="1002"/>
        </w:numPr>
      </w:pPr>
      <w:r>
        <w:t xml:space="preserve">Position Harjota as a strategic partner</w:t>
      </w:r>
    </w:p>
    <w:p>
      <w:r>
        <w:pict>
          <v:rect style="width:0;height:1.5pt" o:hralign="center" o:hrstd="t" o:hr="t"/>
        </w:pict>
      </w:r>
    </w:p>
    <w:bookmarkEnd w:id="22"/>
    <w:bookmarkStart w:id="23" w:name="client-background"/>
    <w:p>
      <w:pPr>
        <w:pStyle w:val="Heading2"/>
      </w:pPr>
      <w:r>
        <w:t xml:space="preserve">3. Client Background</w:t>
      </w:r>
    </w:p>
    <w:p>
      <w:pPr>
        <w:pStyle w:val="Compact"/>
        <w:numPr>
          <w:ilvl w:val="0"/>
          <w:numId w:val="1003"/>
        </w:numPr>
      </w:pPr>
      <w:r>
        <w:t xml:space="preserve">Summary of the organization (from prior discussions)</w:t>
      </w:r>
    </w:p>
    <w:p>
      <w:pPr>
        <w:pStyle w:val="Compact"/>
        <w:numPr>
          <w:ilvl w:val="0"/>
          <w:numId w:val="1003"/>
        </w:numPr>
      </w:pPr>
      <w:r>
        <w:t xml:space="preserve">Identified challenges or pain points</w:t>
      </w:r>
    </w:p>
    <w:p>
      <w:pPr>
        <w:pStyle w:val="Compact"/>
        <w:numPr>
          <w:ilvl w:val="0"/>
          <w:numId w:val="1003"/>
        </w:numPr>
      </w:pPr>
      <w:r>
        <w:t xml:space="preserve">Goals that the audit aims to achieve</w:t>
      </w:r>
    </w:p>
    <w:p>
      <w:r>
        <w:pict>
          <v:rect style="width:0;height:1.5pt" o:hralign="center" o:hrstd="t" o:hr="t"/>
        </w:pict>
      </w:r>
    </w:p>
    <w:bookmarkEnd w:id="23"/>
    <w:bookmarkStart w:id="24" w:name="scope-of-audit"/>
    <w:p>
      <w:pPr>
        <w:pStyle w:val="Heading2"/>
      </w:pPr>
      <w:r>
        <w:t xml:space="preserve">4. Scope of Audit</w:t>
      </w:r>
    </w:p>
    <w:p>
      <w:pPr>
        <w:pStyle w:val="Compact"/>
        <w:numPr>
          <w:ilvl w:val="0"/>
          <w:numId w:val="1004"/>
        </w:numPr>
      </w:pPr>
      <w:r>
        <w:rPr>
          <w:b/>
          <w:bCs/>
        </w:rPr>
        <w:t xml:space="preserve">Organizational Overview</w:t>
      </w:r>
      <w:r>
        <w:t xml:space="preserve">: Roles, responsibilities, SOPs, reporting structure</w:t>
      </w:r>
    </w:p>
    <w:p>
      <w:pPr>
        <w:pStyle w:val="Compact"/>
        <w:numPr>
          <w:ilvl w:val="0"/>
          <w:numId w:val="1004"/>
        </w:numPr>
      </w:pPr>
      <w:r>
        <w:rPr>
          <w:b/>
          <w:bCs/>
        </w:rPr>
        <w:t xml:space="preserve">Digital Infrastructure Assessment</w:t>
      </w:r>
      <w:r>
        <w:t xml:space="preserve">: Current systems, integration, maintenance, backups</w:t>
      </w:r>
    </w:p>
    <w:p>
      <w:pPr>
        <w:pStyle w:val="Compact"/>
        <w:numPr>
          <w:ilvl w:val="0"/>
          <w:numId w:val="1004"/>
        </w:numPr>
      </w:pPr>
      <w:r>
        <w:rPr>
          <w:b/>
          <w:bCs/>
        </w:rPr>
        <w:t xml:space="preserve">Data Management &amp; Reporting</w:t>
      </w:r>
      <w:r>
        <w:t xml:space="preserve">: Data accuracy, dashboards, central repositories</w:t>
      </w:r>
    </w:p>
    <w:p>
      <w:pPr>
        <w:pStyle w:val="Compact"/>
        <w:numPr>
          <w:ilvl w:val="0"/>
          <w:numId w:val="1004"/>
        </w:numPr>
      </w:pPr>
      <w:r>
        <w:rPr>
          <w:b/>
          <w:bCs/>
        </w:rPr>
        <w:t xml:space="preserve">Workflow &amp; Process Efficiency</w:t>
      </w:r>
      <w:r>
        <w:t xml:space="preserve">: Process mapping, bottlenecks, automation opportunities</w:t>
      </w:r>
    </w:p>
    <w:p>
      <w:pPr>
        <w:pStyle w:val="Compact"/>
        <w:numPr>
          <w:ilvl w:val="0"/>
          <w:numId w:val="1004"/>
        </w:numPr>
      </w:pPr>
      <w:r>
        <w:rPr>
          <w:b/>
          <w:bCs/>
        </w:rPr>
        <w:t xml:space="preserve">Decision-Making Systems</w:t>
      </w:r>
      <w:r>
        <w:t xml:space="preserve">: Metrics, KPIs, decision flows</w:t>
      </w:r>
    </w:p>
    <w:p>
      <w:pPr>
        <w:pStyle w:val="Compact"/>
        <w:numPr>
          <w:ilvl w:val="0"/>
          <w:numId w:val="1004"/>
        </w:numPr>
      </w:pPr>
      <w:r>
        <w:rPr>
          <w:b/>
          <w:bCs/>
        </w:rPr>
        <w:t xml:space="preserve">Technology &amp; AI Readiness</w:t>
      </w:r>
      <w:r>
        <w:t xml:space="preserve">: Opportunities for AI, automation, staff readiness</w:t>
      </w:r>
    </w:p>
    <w:p>
      <w:pPr>
        <w:pStyle w:val="Compact"/>
        <w:numPr>
          <w:ilvl w:val="0"/>
          <w:numId w:val="1004"/>
        </w:numPr>
      </w:pPr>
      <w:r>
        <w:rPr>
          <w:b/>
          <w:bCs/>
        </w:rPr>
        <w:t xml:space="preserve">Security &amp; Risk Assessment</w:t>
      </w:r>
      <w:r>
        <w:t xml:space="preserve">: Data protection, compliance, vulnerabilities</w:t>
      </w:r>
    </w:p>
    <w:p>
      <w:pPr>
        <w:pStyle w:val="Compact"/>
        <w:numPr>
          <w:ilvl w:val="0"/>
          <w:numId w:val="1004"/>
        </w:numPr>
      </w:pPr>
      <w:r>
        <w:rPr>
          <w:b/>
          <w:bCs/>
        </w:rPr>
        <w:t xml:space="preserve">Customer/Stakeholder Experience</w:t>
      </w:r>
      <w:r>
        <w:t xml:space="preserve">: Touchpoints, feedback, service gaps</w:t>
      </w:r>
    </w:p>
    <w:p>
      <w:r>
        <w:pict>
          <v:rect style="width:0;height:1.5pt" o:hralign="center" o:hrstd="t" o:hr="t"/>
        </w:pict>
      </w:r>
    </w:p>
    <w:bookmarkEnd w:id="24"/>
    <w:bookmarkStart w:id="25" w:name="deliverables"/>
    <w:p>
      <w:pPr>
        <w:pStyle w:val="Heading2"/>
      </w:pPr>
      <w:r>
        <w:t xml:space="preserve">5. Deliverables</w:t>
      </w:r>
    </w:p>
    <w:p>
      <w:pPr>
        <w:pStyle w:val="Compact"/>
        <w:numPr>
          <w:ilvl w:val="0"/>
          <w:numId w:val="1005"/>
        </w:numPr>
      </w:pPr>
      <w:r>
        <w:t xml:space="preserve">Executive Audit Report (PDF)</w:t>
      </w:r>
    </w:p>
    <w:p>
      <w:pPr>
        <w:pStyle w:val="Compact"/>
        <w:numPr>
          <w:ilvl w:val="0"/>
          <w:numId w:val="1005"/>
        </w:numPr>
      </w:pPr>
      <w:r>
        <w:t xml:space="preserve">Supporting visual materials (charts, graphs, process maps)</w:t>
      </w:r>
    </w:p>
    <w:p>
      <w:pPr>
        <w:pStyle w:val="Compact"/>
        <w:numPr>
          <w:ilvl w:val="0"/>
          <w:numId w:val="1005"/>
        </w:numPr>
      </w:pPr>
      <w:r>
        <w:t xml:space="preserve">Strategic recommendations and prioritized roadmap</w:t>
      </w:r>
    </w:p>
    <w:p>
      <w:pPr>
        <w:pStyle w:val="Compact"/>
        <w:numPr>
          <w:ilvl w:val="0"/>
          <w:numId w:val="1005"/>
        </w:numPr>
      </w:pPr>
      <w:r>
        <w:t xml:space="preserve">Optional presentation session for leadership team</w:t>
      </w:r>
    </w:p>
    <w:p>
      <w:r>
        <w:pict>
          <v:rect style="width:0;height:1.5pt" o:hralign="center" o:hrstd="t" o:hr="t"/>
        </w:pict>
      </w:r>
    </w:p>
    <w:bookmarkEnd w:id="25"/>
    <w:bookmarkStart w:id="26" w:name="timeline"/>
    <w:p>
      <w:pPr>
        <w:pStyle w:val="Heading2"/>
      </w:pPr>
      <w:r>
        <w:t xml:space="preserve">6. Timeline</w:t>
      </w:r>
    </w:p>
    <w:p>
      <w:pPr>
        <w:pStyle w:val="Compact"/>
        <w:numPr>
          <w:ilvl w:val="0"/>
          <w:numId w:val="1006"/>
        </w:numPr>
      </w:pPr>
      <w:r>
        <w:t xml:space="preserve">Detailed audit duration: (e.g., 2–6 weeks depending on package)</w:t>
      </w:r>
    </w:p>
    <w:p>
      <w:pPr>
        <w:pStyle w:val="Compact"/>
        <w:numPr>
          <w:ilvl w:val="0"/>
          <w:numId w:val="1006"/>
        </w:numPr>
      </w:pPr>
      <w:r>
        <w:t xml:space="preserve">Key milestones (Kickoff, Mid-Audit Review, Draft Report, Final Presentation)</w:t>
      </w:r>
    </w:p>
    <w:p>
      <w:pPr>
        <w:pStyle w:val="Compact"/>
        <w:numPr>
          <w:ilvl w:val="0"/>
          <w:numId w:val="1006"/>
        </w:numPr>
      </w:pPr>
      <w:r>
        <w:t xml:space="preserve">Feedback and revisions window</w:t>
      </w:r>
    </w:p>
    <w:p>
      <w:r>
        <w:pict>
          <v:rect style="width:0;height:1.5pt" o:hralign="center" o:hrstd="t" o:hr="t"/>
        </w:pict>
      </w:r>
    </w:p>
    <w:bookmarkEnd w:id="26"/>
    <w:bookmarkStart w:id="27" w:name="investment-pricing"/>
    <w:p>
      <w:pPr>
        <w:pStyle w:val="Heading2"/>
      </w:pPr>
      <w:r>
        <w:t xml:space="preserve">7. Investment / Pricing</w:t>
      </w:r>
    </w:p>
    <w:p>
      <w:pPr>
        <w:pStyle w:val="Compact"/>
        <w:numPr>
          <w:ilvl w:val="0"/>
          <w:numId w:val="1007"/>
        </w:numPr>
      </w:pPr>
      <w:r>
        <w:t xml:space="preserve">Foundational Digital Audit: ₦300,000 – ₦600,000</w:t>
      </w:r>
    </w:p>
    <w:p>
      <w:pPr>
        <w:pStyle w:val="Compact"/>
        <w:numPr>
          <w:ilvl w:val="0"/>
          <w:numId w:val="1007"/>
        </w:numPr>
      </w:pPr>
      <w:r>
        <w:t xml:space="preserve">Operational Intelligence Audit: ₦800,000 – ₦1.5 million</w:t>
      </w:r>
    </w:p>
    <w:p>
      <w:pPr>
        <w:pStyle w:val="Compact"/>
        <w:numPr>
          <w:ilvl w:val="0"/>
          <w:numId w:val="1007"/>
        </w:numPr>
      </w:pPr>
      <w:r>
        <w:t xml:space="preserve">Institutional Intelligence Audit: ₦2 million – ₦5 million</w:t>
      </w:r>
    </w:p>
    <w:p>
      <w:pPr>
        <w:pStyle w:val="Compact"/>
        <w:numPr>
          <w:ilvl w:val="0"/>
          <w:numId w:val="1007"/>
        </w:numPr>
      </w:pPr>
      <w:r>
        <w:t xml:space="preserve">Payment terms and schedule (e.g., 50% upfront, 50% on delivery)</w:t>
      </w:r>
    </w:p>
    <w:p>
      <w:r>
        <w:pict>
          <v:rect style="width:0;height:1.5pt" o:hralign="center" o:hrstd="t" o:hr="t"/>
        </w:pict>
      </w:r>
    </w:p>
    <w:bookmarkEnd w:id="27"/>
    <w:bookmarkStart w:id="28" w:name="benefits-roi"/>
    <w:p>
      <w:pPr>
        <w:pStyle w:val="Heading2"/>
      </w:pPr>
      <w:r>
        <w:t xml:space="preserve">8. Benefits &amp; ROI</w:t>
      </w:r>
    </w:p>
    <w:p>
      <w:pPr>
        <w:pStyle w:val="Compact"/>
        <w:numPr>
          <w:ilvl w:val="0"/>
          <w:numId w:val="1008"/>
        </w:numPr>
      </w:pPr>
      <w:r>
        <w:t xml:space="preserve">Identify inefficiencies and cost-saving opportunities</w:t>
      </w:r>
    </w:p>
    <w:p>
      <w:pPr>
        <w:pStyle w:val="Compact"/>
        <w:numPr>
          <w:ilvl w:val="0"/>
          <w:numId w:val="1008"/>
        </w:numPr>
      </w:pPr>
      <w:r>
        <w:t xml:space="preserve">Enable faster, smarter decision-making</w:t>
      </w:r>
    </w:p>
    <w:p>
      <w:pPr>
        <w:pStyle w:val="Compact"/>
        <w:numPr>
          <w:ilvl w:val="0"/>
          <w:numId w:val="1008"/>
        </w:numPr>
      </w:pPr>
      <w:r>
        <w:t xml:space="preserve">Increase operational efficiency and revenue potential</w:t>
      </w:r>
    </w:p>
    <w:p>
      <w:pPr>
        <w:pStyle w:val="Compact"/>
        <w:numPr>
          <w:ilvl w:val="0"/>
          <w:numId w:val="1008"/>
        </w:numPr>
      </w:pPr>
      <w:r>
        <w:t xml:space="preserve">Position organization for scalable growth and technology adoption</w:t>
      </w:r>
    </w:p>
    <w:p>
      <w:r>
        <w:pict>
          <v:rect style="width:0;height:1.5pt" o:hralign="center" o:hrstd="t" o:hr="t"/>
        </w:pict>
      </w:r>
    </w:p>
    <w:bookmarkEnd w:id="28"/>
    <w:bookmarkStart w:id="30" w:name="acceptance-next-steps"/>
    <w:p>
      <w:pPr>
        <w:pStyle w:val="Heading2"/>
      </w:pPr>
      <w:r>
        <w:t xml:space="preserve">9. Acceptance &amp; Next Steps</w:t>
      </w:r>
    </w:p>
    <w:p>
      <w:pPr>
        <w:pStyle w:val="Compact"/>
        <w:numPr>
          <w:ilvl w:val="0"/>
          <w:numId w:val="1009"/>
        </w:numPr>
      </w:pPr>
      <w:r>
        <w:t xml:space="preserve">Signature lines for client and Harjota representative</w:t>
      </w:r>
    </w:p>
    <w:p>
      <w:pPr>
        <w:pStyle w:val="Compact"/>
        <w:numPr>
          <w:ilvl w:val="0"/>
          <w:numId w:val="1009"/>
        </w:numPr>
      </w:pPr>
      <w:r>
        <w:t xml:space="preserve">Proposed start date</w:t>
      </w:r>
    </w:p>
    <w:p>
      <w:pPr>
        <w:pStyle w:val="Compact"/>
        <w:numPr>
          <w:ilvl w:val="0"/>
          <w:numId w:val="1009"/>
        </w:numPr>
      </w:pPr>
      <w:r>
        <w:t xml:space="preserve">Contact information for questions</w:t>
      </w:r>
    </w:p>
    <w:p>
      <w:pPr>
        <w:pStyle w:val="Compact"/>
        <w:numPr>
          <w:ilvl w:val="0"/>
          <w:numId w:val="1009"/>
        </w:numPr>
      </w:pPr>
      <w:r>
        <w:t xml:space="preserve">Instructions for confirming engagement</w:t>
      </w:r>
    </w:p>
    <w:p>
      <w:r>
        <w:pict>
          <v:rect style="width:0;height:1.5pt" o:hralign="center" o:hrstd="t" o:hr="t"/>
        </w:pict>
      </w:r>
    </w:p>
    <w:bookmarkStart w:id="29" w:name="notes"/>
    <w:p>
      <w:pPr>
        <w:pStyle w:val="Heading3"/>
      </w:pPr>
      <w:r>
        <w:t xml:space="preserve">Notes</w:t>
      </w:r>
    </w:p>
    <w:p>
      <w:pPr>
        <w:pStyle w:val="Compact"/>
        <w:numPr>
          <w:ilvl w:val="0"/>
          <w:numId w:val="1010"/>
        </w:numPr>
      </w:pPr>
      <w:r>
        <w:t xml:space="preserve">Personalize sections with client-specific insights and observed pain points</w:t>
      </w:r>
    </w:p>
    <w:p>
      <w:pPr>
        <w:pStyle w:val="Compact"/>
        <w:numPr>
          <w:ilvl w:val="0"/>
          <w:numId w:val="1010"/>
        </w:numPr>
      </w:pPr>
      <w:r>
        <w:t xml:space="preserve">Use</w:t>
      </w:r>
      <w:r>
        <w:t xml:space="preserve"> </w:t>
      </w:r>
      <w:r>
        <w:rPr>
          <w:b/>
          <w:bCs/>
        </w:rPr>
        <w:t xml:space="preserve">visuals</w:t>
      </w:r>
      <w:r>
        <w:t xml:space="preserve"> </w:t>
      </w:r>
      <w:r>
        <w:t xml:space="preserve">wherever possible to enhance clarity and professionalism</w:t>
      </w:r>
    </w:p>
    <w:p>
      <w:pPr>
        <w:pStyle w:val="Compact"/>
        <w:numPr>
          <w:ilvl w:val="0"/>
          <w:numId w:val="1010"/>
        </w:numPr>
      </w:pPr>
      <w:r>
        <w:t xml:space="preserve">Keep language executive-friendly, emphasizing</w:t>
      </w:r>
      <w:r>
        <w:t xml:space="preserve"> </w:t>
      </w:r>
      <w:r>
        <w:rPr>
          <w:b/>
          <w:bCs/>
        </w:rPr>
        <w:t xml:space="preserve">financial and strategic impact</w:t>
      </w:r>
    </w:p>
    <w:p>
      <w:pPr>
        <w:pStyle w:val="Compact"/>
        <w:numPr>
          <w:ilvl w:val="0"/>
          <w:numId w:val="1010"/>
        </w:numPr>
      </w:pPr>
      <w:r>
        <w:t xml:space="preserve">Position Harjota as a long-term partner, not just a service provider</w:t>
      </w:r>
    </w:p>
    <w:p>
      <w:pPr>
        <w:pStyle w:val="FirstParagraph"/>
      </w:pPr>
      <w:r>
        <w:rPr>
          <w:i/>
          <w:iCs/>
        </w:rPr>
        <w:t xml:space="preserve">This template ensures that every audit proposal is consistent, professional, and demonstrates tangible value to the client.</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2025-12-25T10:34:21Z</dcterms:created>
  <dcterms:modified xsi:type="dcterms:W3CDTF">2025-12-25T10:34:21Z</dcterms:modified>
</cp:coreProperties>
</file>

<file path=docProps/custom.xml><?xml version="1.0" encoding="utf-8"?>
<Properties xmlns="http://schemas.openxmlformats.org/officeDocument/2006/custom-properties" xmlns:vt="http://schemas.openxmlformats.org/officeDocument/2006/docPropsVTypes"/>
</file>