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ed54557856ca32a080f4a38438f298a8867b23"/>
    <w:p>
      <w:pPr>
        <w:pStyle w:val="Heading1"/>
      </w:pPr>
      <w:r>
        <w:t xml:space="preserve">Harjota Digital Audit Standard Operating Procedure (SOP)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SOP outlines the step-by-step process for conducting Harjota’s Digital &amp; Institutional Intelligence Audits. It ensures consistency, professionalism, and maximum value delivery to clients.</w:t>
      </w:r>
    </w:p>
    <w:p>
      <w:r>
        <w:pict>
          <v:rect style="width:0;height:1.5pt" o:hralign="center" o:hrstd="t" o:hr="t"/>
        </w:pict>
      </w:r>
    </w:p>
    <w:bookmarkEnd w:id="20"/>
    <w:bookmarkStart w:id="21" w:name="pre-audit-preparation"/>
    <w:p>
      <w:pPr>
        <w:pStyle w:val="Heading2"/>
      </w:pPr>
      <w:r>
        <w:t xml:space="preserve">1. Pre-Audit Preparation</w:t>
      </w:r>
    </w:p>
    <w:p>
      <w:pPr>
        <w:pStyle w:val="FirstParagraph"/>
      </w:pPr>
      <w:r>
        <w:rPr>
          <w:b/>
          <w:bCs/>
        </w:rPr>
        <w:t xml:space="preserve">1.1 Client Research</w:t>
      </w:r>
      <w:r>
        <w:t xml:space="preserve"> </w:t>
      </w:r>
      <w:r>
        <w:t xml:space="preserve">- Understand the organization’s operations, size, industry, and pain points</w:t>
      </w:r>
      <w:r>
        <w:t xml:space="preserve"> </w:t>
      </w:r>
      <w:r>
        <w:t xml:space="preserve">- Review publicly available information (website, social media, news, reviews)</w:t>
      </w:r>
      <w:r>
        <w:t xml:space="preserve"> </w:t>
      </w:r>
      <w:r>
        <w:t xml:space="preserve">- Identify decision-makers and key stakeholders</w:t>
      </w:r>
    </w:p>
    <w:p>
      <w:pPr>
        <w:pStyle w:val="BodyText"/>
      </w:pPr>
      <w:r>
        <w:rPr>
          <w:b/>
          <w:bCs/>
        </w:rPr>
        <w:t xml:space="preserve">1.2 Documentation</w:t>
      </w:r>
      <w:r>
        <w:t xml:space="preserve"> </w:t>
      </w:r>
      <w:r>
        <w:t xml:space="preserve">- Prepare Audit Checklist</w:t>
      </w:r>
      <w:r>
        <w:t xml:space="preserve"> </w:t>
      </w:r>
      <w:r>
        <w:t xml:space="preserve">- Prepare Proposal and Engagement Agreement</w:t>
      </w:r>
      <w:r>
        <w:t xml:space="preserve"> </w:t>
      </w:r>
      <w:r>
        <w:t xml:space="preserve">- Set up project folder and tools for documentation and reporting</w:t>
      </w:r>
    </w:p>
    <w:p>
      <w:pPr>
        <w:pStyle w:val="BodyText"/>
      </w:pPr>
      <w:r>
        <w:rPr>
          <w:b/>
          <w:bCs/>
        </w:rPr>
        <w:t xml:space="preserve">1.3 Scheduling</w:t>
      </w:r>
      <w:r>
        <w:t xml:space="preserve"> </w:t>
      </w:r>
      <w:r>
        <w:t xml:space="preserve">- Confirm kickoff meeting with client</w:t>
      </w:r>
      <w:r>
        <w:t xml:space="preserve"> </w:t>
      </w:r>
      <w:r>
        <w:t xml:space="preserve">- Send pre-audit questionnaire if applicable</w:t>
      </w:r>
    </w:p>
    <w:p>
      <w:r>
        <w:pict>
          <v:rect style="width:0;height:1.5pt" o:hralign="center" o:hrstd="t" o:hr="t"/>
        </w:pict>
      </w:r>
    </w:p>
    <w:bookmarkEnd w:id="21"/>
    <w:bookmarkStart w:id="22" w:name="kickoff-meeting"/>
    <w:p>
      <w:pPr>
        <w:pStyle w:val="Heading2"/>
      </w:pPr>
      <w:r>
        <w:t xml:space="preserve">2. Kickoff Meeting</w:t>
      </w:r>
    </w:p>
    <w:p>
      <w:pPr>
        <w:pStyle w:val="Compact"/>
        <w:numPr>
          <w:ilvl w:val="0"/>
          <w:numId w:val="1001"/>
        </w:numPr>
      </w:pPr>
      <w:r>
        <w:t xml:space="preserve">Introduce Harjota and audit objectives</w:t>
      </w:r>
    </w:p>
    <w:p>
      <w:pPr>
        <w:pStyle w:val="Compact"/>
        <w:numPr>
          <w:ilvl w:val="0"/>
          <w:numId w:val="1001"/>
        </w:numPr>
      </w:pPr>
      <w:r>
        <w:t xml:space="preserve">Confirm scope, timeline, and deliverables</w:t>
      </w:r>
    </w:p>
    <w:p>
      <w:pPr>
        <w:pStyle w:val="Compact"/>
        <w:numPr>
          <w:ilvl w:val="0"/>
          <w:numId w:val="1001"/>
        </w:numPr>
      </w:pPr>
      <w:r>
        <w:t xml:space="preserve">Explain what is expected from client (access to systems, staff interviews, documentation)</w:t>
      </w:r>
    </w:p>
    <w:p>
      <w:pPr>
        <w:pStyle w:val="Compact"/>
        <w:numPr>
          <w:ilvl w:val="0"/>
          <w:numId w:val="1001"/>
        </w:numPr>
      </w:pPr>
      <w:r>
        <w:t xml:space="preserve">Establish communication channels and frequency of updates</w:t>
      </w:r>
    </w:p>
    <w:p>
      <w:r>
        <w:pict>
          <v:rect style="width:0;height:1.5pt" o:hralign="center" o:hrstd="t" o:hr="t"/>
        </w:pict>
      </w:r>
    </w:p>
    <w:bookmarkEnd w:id="22"/>
    <w:bookmarkStart w:id="23" w:name="audit-execution"/>
    <w:p>
      <w:pPr>
        <w:pStyle w:val="Heading2"/>
      </w:pPr>
      <w:r>
        <w:t xml:space="preserve">3. Audit Execution</w:t>
      </w:r>
    </w:p>
    <w:p>
      <w:pPr>
        <w:pStyle w:val="FirstParagraph"/>
      </w:pPr>
      <w:r>
        <w:rPr>
          <w:b/>
          <w:bCs/>
        </w:rPr>
        <w:t xml:space="preserve">3.1 Organizational Overview</w:t>
      </w:r>
      <w:r>
        <w:t xml:space="preserve"> </w:t>
      </w:r>
      <w:r>
        <w:t xml:space="preserve">- Map structure, roles, responsibilities, and SOPs</w:t>
      </w:r>
      <w:r>
        <w:t xml:space="preserve"> </w:t>
      </w:r>
      <w:r>
        <w:t xml:space="preserve">- Identify areas of ambiguity or gaps</w:t>
      </w:r>
    </w:p>
    <w:p>
      <w:pPr>
        <w:pStyle w:val="BodyText"/>
      </w:pPr>
      <w:r>
        <w:rPr>
          <w:b/>
          <w:bCs/>
        </w:rPr>
        <w:t xml:space="preserve">3.2 Digital Infrastructure Assessment</w:t>
      </w:r>
      <w:r>
        <w:t xml:space="preserve"> </w:t>
      </w:r>
      <w:r>
        <w:t xml:space="preserve">- Evaluate all systems in use, integrations, maintenance, and backups</w:t>
      </w:r>
      <w:r>
        <w:t xml:space="preserve"> </w:t>
      </w:r>
      <w:r>
        <w:t xml:space="preserve">- Identify inefficiencies and redundancy</w:t>
      </w:r>
    </w:p>
    <w:p>
      <w:pPr>
        <w:pStyle w:val="BodyText"/>
      </w:pPr>
      <w:r>
        <w:rPr>
          <w:b/>
          <w:bCs/>
        </w:rPr>
        <w:t xml:space="preserve">3.3 Data Management &amp; Reporting</w:t>
      </w:r>
      <w:r>
        <w:t xml:space="preserve"> </w:t>
      </w:r>
      <w:r>
        <w:t xml:space="preserve">- Review data collection, storage, and usage</w:t>
      </w:r>
      <w:r>
        <w:t xml:space="preserve"> </w:t>
      </w:r>
      <w:r>
        <w:t xml:space="preserve">- Assess accuracy and accessibility of reports and dashboards</w:t>
      </w:r>
    </w:p>
    <w:p>
      <w:pPr>
        <w:pStyle w:val="BodyText"/>
      </w:pPr>
      <w:r>
        <w:rPr>
          <w:b/>
          <w:bCs/>
        </w:rPr>
        <w:t xml:space="preserve">3.4 Workflow &amp; Process Efficiency</w:t>
      </w:r>
      <w:r>
        <w:t xml:space="preserve"> </w:t>
      </w:r>
      <w:r>
        <w:t xml:space="preserve">- Map key processes</w:t>
      </w:r>
      <w:r>
        <w:t xml:space="preserve"> </w:t>
      </w:r>
      <w:r>
        <w:t xml:space="preserve">- Identify bottlenecks, manual tasks, and automation opportunities</w:t>
      </w:r>
    </w:p>
    <w:p>
      <w:pPr>
        <w:pStyle w:val="BodyText"/>
      </w:pPr>
      <w:r>
        <w:rPr>
          <w:b/>
          <w:bCs/>
        </w:rPr>
        <w:t xml:space="preserve">3.5 Decision-Making Systems</w:t>
      </w:r>
      <w:r>
        <w:t xml:space="preserve"> </w:t>
      </w:r>
      <w:r>
        <w:t xml:space="preserve">- Assess decision flows, KPIs, and metrics</w:t>
      </w:r>
      <w:r>
        <w:t xml:space="preserve"> </w:t>
      </w:r>
      <w:r>
        <w:t xml:space="preserve">- Identify delays and gaps in information availability</w:t>
      </w:r>
    </w:p>
    <w:p>
      <w:pPr>
        <w:pStyle w:val="BodyText"/>
      </w:pPr>
      <w:r>
        <w:rPr>
          <w:b/>
          <w:bCs/>
        </w:rPr>
        <w:t xml:space="preserve">3.6 Technology &amp; AI Readiness</w:t>
      </w:r>
      <w:r>
        <w:t xml:space="preserve"> </w:t>
      </w:r>
      <w:r>
        <w:t xml:space="preserve">- Evaluate potential for automation or AI solutions</w:t>
      </w:r>
      <w:r>
        <w:t xml:space="preserve"> </w:t>
      </w:r>
      <w:r>
        <w:t xml:space="preserve">- Assess digital literacy of staff</w:t>
      </w:r>
      <w:r>
        <w:t xml:space="preserve"> </w:t>
      </w:r>
      <w:r>
        <w:t xml:space="preserve">- Identify quick-win tech solutions</w:t>
      </w:r>
    </w:p>
    <w:p>
      <w:pPr>
        <w:pStyle w:val="BodyText"/>
      </w:pPr>
      <w:r>
        <w:rPr>
          <w:b/>
          <w:bCs/>
        </w:rPr>
        <w:t xml:space="preserve">3.7 Security &amp; Risk Assessment</w:t>
      </w:r>
      <w:r>
        <w:t xml:space="preserve"> </w:t>
      </w:r>
      <w:r>
        <w:t xml:space="preserve">- Review data security protocols and access controls</w:t>
      </w:r>
      <w:r>
        <w:t xml:space="preserve"> </w:t>
      </w:r>
      <w:r>
        <w:t xml:space="preserve">- Identify compliance gaps and vulnerabilities</w:t>
      </w:r>
    </w:p>
    <w:p>
      <w:pPr>
        <w:pStyle w:val="BodyText"/>
      </w:pPr>
      <w:r>
        <w:rPr>
          <w:b/>
          <w:bCs/>
        </w:rPr>
        <w:t xml:space="preserve">3.8 Customer/Stakeholder Experience</w:t>
      </w:r>
      <w:r>
        <w:t xml:space="preserve"> </w:t>
      </w:r>
      <w:r>
        <w:t xml:space="preserve">- Evaluate digital touchpoints and communication flows</w:t>
      </w:r>
      <w:r>
        <w:t xml:space="preserve"> </w:t>
      </w:r>
      <w:r>
        <w:t xml:space="preserve">- Identify gaps affecting experience and satisfaction</w:t>
      </w:r>
    </w:p>
    <w:p>
      <w:r>
        <w:pict>
          <v:rect style="width:0;height:1.5pt" o:hralign="center" o:hrstd="t" o:hr="t"/>
        </w:pict>
      </w:r>
    </w:p>
    <w:bookmarkEnd w:id="23"/>
    <w:bookmarkStart w:id="24" w:name="analysis-reporting"/>
    <w:p>
      <w:pPr>
        <w:pStyle w:val="Heading2"/>
      </w:pPr>
      <w:r>
        <w:t xml:space="preserve">4. Analysis &amp; Reporting</w:t>
      </w:r>
    </w:p>
    <w:p>
      <w:pPr>
        <w:pStyle w:val="Compact"/>
        <w:numPr>
          <w:ilvl w:val="0"/>
          <w:numId w:val="1002"/>
        </w:numPr>
      </w:pPr>
      <w:r>
        <w:t xml:space="preserve">Consolidate findings from each audit section</w:t>
      </w:r>
    </w:p>
    <w:p>
      <w:pPr>
        <w:pStyle w:val="Compact"/>
        <w:numPr>
          <w:ilvl w:val="0"/>
          <w:numId w:val="1002"/>
        </w:numPr>
      </w:pPr>
      <w:r>
        <w:t xml:space="preserve">Prioritize issues based on impact and urgency</w:t>
      </w:r>
    </w:p>
    <w:p>
      <w:pPr>
        <w:pStyle w:val="Compact"/>
        <w:numPr>
          <w:ilvl w:val="0"/>
          <w:numId w:val="1002"/>
        </w:numPr>
      </w:pPr>
      <w:r>
        <w:t xml:space="preserve">Develop recommendations and roadmap</w:t>
      </w:r>
    </w:p>
    <w:p>
      <w:pPr>
        <w:pStyle w:val="Compact"/>
        <w:numPr>
          <w:ilvl w:val="0"/>
          <w:numId w:val="1002"/>
        </w:numPr>
      </w:pPr>
      <w:r>
        <w:t xml:space="preserve">Create visualizations, charts, and graphs to illustrate findings</w:t>
      </w:r>
    </w:p>
    <w:p>
      <w:r>
        <w:pict>
          <v:rect style="width:0;height:1.5pt" o:hralign="center" o:hrstd="t" o:hr="t"/>
        </w:pict>
      </w:r>
    </w:p>
    <w:bookmarkEnd w:id="24"/>
    <w:bookmarkStart w:id="25" w:name="draft-report-review"/>
    <w:p>
      <w:pPr>
        <w:pStyle w:val="Heading2"/>
      </w:pPr>
      <w:r>
        <w:t xml:space="preserve">5. Draft Report Review</w:t>
      </w:r>
    </w:p>
    <w:p>
      <w:pPr>
        <w:pStyle w:val="Compact"/>
        <w:numPr>
          <w:ilvl w:val="0"/>
          <w:numId w:val="1003"/>
        </w:numPr>
      </w:pPr>
      <w:r>
        <w:t xml:space="preserve">Internal review for completeness and accuracy</w:t>
      </w:r>
    </w:p>
    <w:p>
      <w:pPr>
        <w:pStyle w:val="Compact"/>
        <w:numPr>
          <w:ilvl w:val="0"/>
          <w:numId w:val="1003"/>
        </w:numPr>
      </w:pPr>
      <w:r>
        <w:t xml:space="preserve">Validate financial and operational impact claims</w:t>
      </w:r>
    </w:p>
    <w:p>
      <w:pPr>
        <w:pStyle w:val="Compact"/>
        <w:numPr>
          <w:ilvl w:val="0"/>
          <w:numId w:val="1003"/>
        </w:numPr>
      </w:pPr>
      <w:r>
        <w:t xml:space="preserve">Prepare executive summary for clarity</w:t>
      </w:r>
    </w:p>
    <w:p>
      <w:r>
        <w:pict>
          <v:rect style="width:0;height:1.5pt" o:hralign="center" o:hrstd="t" o:hr="t"/>
        </w:pict>
      </w:r>
    </w:p>
    <w:bookmarkEnd w:id="25"/>
    <w:bookmarkStart w:id="26" w:name="client-presentation"/>
    <w:p>
      <w:pPr>
        <w:pStyle w:val="Heading2"/>
      </w:pPr>
      <w:r>
        <w:t xml:space="preserve">6. Client Presentation</w:t>
      </w:r>
    </w:p>
    <w:p>
      <w:pPr>
        <w:pStyle w:val="Compact"/>
        <w:numPr>
          <w:ilvl w:val="0"/>
          <w:numId w:val="1004"/>
        </w:numPr>
      </w:pPr>
      <w:r>
        <w:t xml:space="preserve">Schedule meeting to present findings</w:t>
      </w:r>
    </w:p>
    <w:p>
      <w:pPr>
        <w:pStyle w:val="Compact"/>
        <w:numPr>
          <w:ilvl w:val="0"/>
          <w:numId w:val="1004"/>
        </w:numPr>
      </w:pPr>
      <w:r>
        <w:t xml:space="preserve">Walk through executive summary and detailed insights</w:t>
      </w:r>
    </w:p>
    <w:p>
      <w:pPr>
        <w:pStyle w:val="Compact"/>
        <w:numPr>
          <w:ilvl w:val="0"/>
          <w:numId w:val="1004"/>
        </w:numPr>
      </w:pPr>
      <w:r>
        <w:t xml:space="preserve">Highlight financial impact and ROI opportunities</w:t>
      </w:r>
    </w:p>
    <w:p>
      <w:pPr>
        <w:pStyle w:val="Compact"/>
        <w:numPr>
          <w:ilvl w:val="0"/>
          <w:numId w:val="1004"/>
        </w:numPr>
      </w:pPr>
      <w:r>
        <w:t xml:space="preserve">Discuss recommended next steps and possible engagement for implementation</w:t>
      </w:r>
    </w:p>
    <w:p>
      <w:r>
        <w:pict>
          <v:rect style="width:0;height:1.5pt" o:hralign="center" o:hrstd="t" o:hr="t"/>
        </w:pict>
      </w:r>
    </w:p>
    <w:bookmarkEnd w:id="26"/>
    <w:bookmarkStart w:id="27" w:name="final-report-delivery"/>
    <w:p>
      <w:pPr>
        <w:pStyle w:val="Heading2"/>
      </w:pPr>
      <w:r>
        <w:t xml:space="preserve">7. Final Report Delivery</w:t>
      </w:r>
    </w:p>
    <w:p>
      <w:pPr>
        <w:pStyle w:val="Compact"/>
        <w:numPr>
          <w:ilvl w:val="0"/>
          <w:numId w:val="1005"/>
        </w:numPr>
      </w:pPr>
      <w:r>
        <w:t xml:space="preserve">Send final report in PDF with supporting visuals</w:t>
      </w:r>
    </w:p>
    <w:p>
      <w:pPr>
        <w:pStyle w:val="Compact"/>
        <w:numPr>
          <w:ilvl w:val="0"/>
          <w:numId w:val="1005"/>
        </w:numPr>
      </w:pPr>
      <w:r>
        <w:t xml:space="preserve">Provide digital copy of all charts, process maps, and data analysis</w:t>
      </w:r>
    </w:p>
    <w:p>
      <w:pPr>
        <w:pStyle w:val="Compact"/>
        <w:numPr>
          <w:ilvl w:val="0"/>
          <w:numId w:val="1005"/>
        </w:numPr>
      </w:pPr>
      <w:r>
        <w:t xml:space="preserve">Offer brief Q&amp;A session if needed</w:t>
      </w:r>
    </w:p>
    <w:p>
      <w:r>
        <w:pict>
          <v:rect style="width:0;height:1.5pt" o:hralign="center" o:hrstd="t" o:hr="t"/>
        </w:pict>
      </w:r>
    </w:p>
    <w:bookmarkEnd w:id="27"/>
    <w:bookmarkStart w:id="29" w:name="post-audit-follow-up"/>
    <w:p>
      <w:pPr>
        <w:pStyle w:val="Heading2"/>
      </w:pPr>
      <w:r>
        <w:t xml:space="preserve">8. Post-Audit Follow-Up</w:t>
      </w:r>
    </w:p>
    <w:p>
      <w:pPr>
        <w:pStyle w:val="Compact"/>
        <w:numPr>
          <w:ilvl w:val="0"/>
          <w:numId w:val="1006"/>
        </w:numPr>
      </w:pPr>
      <w:r>
        <w:t xml:space="preserve">Schedule follow-up to check progress on recommendations</w:t>
      </w:r>
    </w:p>
    <w:p>
      <w:pPr>
        <w:pStyle w:val="Compact"/>
        <w:numPr>
          <w:ilvl w:val="0"/>
          <w:numId w:val="1006"/>
        </w:numPr>
      </w:pPr>
      <w:r>
        <w:t xml:space="preserve">Offer ongoing consulting, system implementation, or AI integration</w:t>
      </w:r>
    </w:p>
    <w:p>
      <w:pPr>
        <w:pStyle w:val="Compact"/>
        <w:numPr>
          <w:ilvl w:val="0"/>
          <w:numId w:val="1006"/>
        </w:numPr>
      </w:pPr>
      <w:r>
        <w:t xml:space="preserve">Gather client feedback for continuous improvement</w:t>
      </w:r>
    </w:p>
    <w:p>
      <w:r>
        <w:pict>
          <v:rect style="width:0;height:1.5pt" o:hralign="center" o:hrstd="t" o:hr="t"/>
        </w:pict>
      </w:r>
    </w:p>
    <w:bookmarkStart w:id="28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7"/>
        </w:numPr>
      </w:pPr>
      <w:r>
        <w:t xml:space="preserve">Maintain confidentiality and professionalism throughout</w:t>
      </w:r>
    </w:p>
    <w:p>
      <w:pPr>
        <w:pStyle w:val="Compact"/>
        <w:numPr>
          <w:ilvl w:val="0"/>
          <w:numId w:val="1007"/>
        </w:numPr>
      </w:pPr>
      <w:r>
        <w:t xml:space="preserve">Use client-friendly language; avoid overly technical jargon</w:t>
      </w:r>
    </w:p>
    <w:p>
      <w:pPr>
        <w:pStyle w:val="Compact"/>
        <w:numPr>
          <w:ilvl w:val="0"/>
          <w:numId w:val="1007"/>
        </w:numPr>
      </w:pPr>
      <w:r>
        <w:t xml:space="preserve">Ensure all findings are actionable and tied to</w:t>
      </w:r>
      <w:r>
        <w:t xml:space="preserve"> </w:t>
      </w:r>
      <w:r>
        <w:rPr>
          <w:b/>
          <w:bCs/>
        </w:rPr>
        <w:t xml:space="preserve">financial and strategic outcomes</w:t>
      </w:r>
    </w:p>
    <w:p>
      <w:pPr>
        <w:pStyle w:val="Compact"/>
        <w:numPr>
          <w:ilvl w:val="0"/>
          <w:numId w:val="1007"/>
        </w:numPr>
      </w:pPr>
      <w:r>
        <w:t xml:space="preserve">Document lessons learned for improving future audits</w:t>
      </w:r>
    </w:p>
    <w:p>
      <w:pPr>
        <w:pStyle w:val="FirstParagraph"/>
      </w:pPr>
      <w:r>
        <w:rPr>
          <w:i/>
          <w:iCs/>
        </w:rPr>
        <w:t xml:space="preserve">This SOP ensures Harjota delivers consistent, high-value audits that build credibility, trust, and long-term client relationships.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2025-12-25T10:37:25Z</dcterms:created>
  <dcterms:modified xsi:type="dcterms:W3CDTF">2025-12-25T10:37:25Z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