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harjota-client-engagement-roadmap"/>
    <w:p>
      <w:pPr>
        <w:pStyle w:val="Heading1"/>
      </w:pPr>
      <w:r>
        <w:t xml:space="preserve">Harjota Client Engagement Roadmap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roadmap outlines the full journey of a prospective client from initial contact to audit completion and potential upselling, ensuring consistent engagement, professionalism, and maximized value delivery.</w:t>
      </w:r>
    </w:p>
    <w:p>
      <w:r>
        <w:pict>
          <v:rect style="width:0;height:1.5pt" o:hralign="center" o:hrstd="t" o:hr="t"/>
        </w:pict>
      </w:r>
    </w:p>
    <w:bookmarkEnd w:id="20"/>
    <w:bookmarkStart w:id="21" w:name="lead-identification-research"/>
    <w:p>
      <w:pPr>
        <w:pStyle w:val="Heading2"/>
      </w:pPr>
      <w:r>
        <w:t xml:space="preserve">1. Lead Identification &amp; Research</w:t>
      </w:r>
    </w:p>
    <w:p>
      <w:pPr>
        <w:pStyle w:val="Compact"/>
        <w:numPr>
          <w:ilvl w:val="0"/>
          <w:numId w:val="1001"/>
        </w:numPr>
      </w:pPr>
      <w:r>
        <w:t xml:space="preserve">Identify potential clients (hotels, malls, schools, hospitals, enterprises)</w:t>
      </w:r>
    </w:p>
    <w:p>
      <w:pPr>
        <w:pStyle w:val="Compact"/>
        <w:numPr>
          <w:ilvl w:val="0"/>
          <w:numId w:val="1001"/>
        </w:numPr>
      </w:pPr>
      <w:r>
        <w:t xml:space="preserve">Conduct preliminary research on operations, size, digital maturity, and key decision-makers</w:t>
      </w:r>
    </w:p>
    <w:p>
      <w:pPr>
        <w:pStyle w:val="Compact"/>
        <w:numPr>
          <w:ilvl w:val="0"/>
          <w:numId w:val="1001"/>
        </w:numPr>
      </w:pPr>
      <w:r>
        <w:t xml:space="preserve">Gather insights for personalized outreach</w:t>
      </w:r>
    </w:p>
    <w:p>
      <w:r>
        <w:pict>
          <v:rect style="width:0;height:1.5pt" o:hralign="center" o:hrstd="t" o:hr="t"/>
        </w:pict>
      </w:r>
    </w:p>
    <w:bookmarkEnd w:id="21"/>
    <w:bookmarkStart w:id="22" w:name="initial-outreach"/>
    <w:p>
      <w:pPr>
        <w:pStyle w:val="Heading2"/>
      </w:pPr>
      <w:r>
        <w:t xml:space="preserve">2. Initial Outreach</w:t>
      </w:r>
    </w:p>
    <w:p>
      <w:pPr>
        <w:pStyle w:val="Compact"/>
        <w:numPr>
          <w:ilvl w:val="0"/>
          <w:numId w:val="1002"/>
        </w:numPr>
      </w:pPr>
      <w:r>
        <w:t xml:space="preserve">Send the</w:t>
      </w:r>
      <w:r>
        <w:t xml:space="preserve"> </w:t>
      </w:r>
      <w:r>
        <w:rPr>
          <w:b/>
          <w:bCs/>
        </w:rPr>
        <w:t xml:space="preserve">Revenue-Focused Harjota First Outreach Message</w:t>
      </w:r>
    </w:p>
    <w:p>
      <w:pPr>
        <w:pStyle w:val="Compact"/>
        <w:numPr>
          <w:ilvl w:val="0"/>
          <w:numId w:val="1002"/>
        </w:numPr>
      </w:pPr>
      <w:r>
        <w:t xml:space="preserve">Highlight inefficiencies, potential revenue loss, and ROI opportunities</w:t>
      </w:r>
    </w:p>
    <w:p>
      <w:pPr>
        <w:pStyle w:val="Compact"/>
        <w:numPr>
          <w:ilvl w:val="0"/>
          <w:numId w:val="1002"/>
        </w:numPr>
      </w:pPr>
      <w:r>
        <w:t xml:space="preserve">Invite the client for a 15–20 minute introductory call</w:t>
      </w:r>
    </w:p>
    <w:p>
      <w:r>
        <w:pict>
          <v:rect style="width:0;height:1.5pt" o:hralign="center" o:hrstd="t" o:hr="t"/>
        </w:pict>
      </w:r>
    </w:p>
    <w:bookmarkEnd w:id="22"/>
    <w:bookmarkStart w:id="23" w:name="follow-up-sequence"/>
    <w:p>
      <w:pPr>
        <w:pStyle w:val="Heading2"/>
      </w:pPr>
      <w:r>
        <w:t xml:space="preserve">3. Follow-Up Sequence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Follow-Up Message:</w:t>
      </w:r>
      <w:r>
        <w:t xml:space="preserve"> </w:t>
      </w:r>
      <w:r>
        <w:t xml:space="preserve">3–5 days after initial outreach</w:t>
      </w:r>
    </w:p>
    <w:p>
      <w:pPr>
        <w:pStyle w:val="Compact"/>
        <w:numPr>
          <w:ilvl w:val="1"/>
          <w:numId w:val="1004"/>
        </w:numPr>
      </w:pPr>
      <w:r>
        <w:t xml:space="preserve">Reinforce benefits and financial impact</w:t>
      </w:r>
    </w:p>
    <w:p>
      <w:pPr>
        <w:pStyle w:val="Compact"/>
        <w:numPr>
          <w:ilvl w:val="1"/>
          <w:numId w:val="1004"/>
        </w:numPr>
      </w:pPr>
      <w:r>
        <w:t xml:space="preserve">Maintain polite, professional tone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 Touch/Closing Message:</w:t>
      </w:r>
      <w:r>
        <w:t xml:space="preserve"> </w:t>
      </w:r>
      <w:r>
        <w:t xml:space="preserve">7–10 days after follow-up if no response</w:t>
      </w:r>
    </w:p>
    <w:p>
      <w:pPr>
        <w:pStyle w:val="Compact"/>
        <w:numPr>
          <w:ilvl w:val="1"/>
          <w:numId w:val="1005"/>
        </w:numPr>
      </w:pPr>
      <w:r>
        <w:t xml:space="preserve">Create urgency gently</w:t>
      </w:r>
    </w:p>
    <w:p>
      <w:pPr>
        <w:pStyle w:val="Compact"/>
        <w:numPr>
          <w:ilvl w:val="1"/>
          <w:numId w:val="1005"/>
        </w:numPr>
      </w:pPr>
      <w:r>
        <w:t xml:space="preserve">Highlight missed opportunities</w:t>
      </w:r>
    </w:p>
    <w:p>
      <w:r>
        <w:pict>
          <v:rect style="width:0;height:1.5pt" o:hralign="center" o:hrstd="t" o:hr="t"/>
        </w:pict>
      </w:r>
    </w:p>
    <w:bookmarkEnd w:id="23"/>
    <w:bookmarkStart w:id="24" w:name="discovery-call-introductory-meeting"/>
    <w:p>
      <w:pPr>
        <w:pStyle w:val="Heading2"/>
      </w:pPr>
      <w:r>
        <w:t xml:space="preserve">4. Discovery Call / Introductory Meeting</w:t>
      </w:r>
    </w:p>
    <w:p>
      <w:pPr>
        <w:pStyle w:val="Compact"/>
        <w:numPr>
          <w:ilvl w:val="0"/>
          <w:numId w:val="1006"/>
        </w:numPr>
      </w:pPr>
      <w:r>
        <w:t xml:space="preserve">Discuss the client’s current digital systems, pain points, and goals</w:t>
      </w:r>
    </w:p>
    <w:p>
      <w:pPr>
        <w:pStyle w:val="Compact"/>
        <w:numPr>
          <w:ilvl w:val="0"/>
          <w:numId w:val="1006"/>
        </w:numPr>
      </w:pPr>
      <w:r>
        <w:t xml:space="preserve">Understand the organization’s size, structure, and decision-making process</w:t>
      </w:r>
    </w:p>
    <w:p>
      <w:pPr>
        <w:pStyle w:val="Compact"/>
        <w:numPr>
          <w:ilvl w:val="0"/>
          <w:numId w:val="1006"/>
        </w:numPr>
      </w:pPr>
      <w:r>
        <w:t xml:space="preserve">Explain the audit process, deliverables, and expected financial and operational impact</w:t>
      </w:r>
    </w:p>
    <w:p>
      <w:r>
        <w:pict>
          <v:rect style="width:0;height:1.5pt" o:hralign="center" o:hrstd="t" o:hr="t"/>
        </w:pict>
      </w:r>
    </w:p>
    <w:bookmarkEnd w:id="24"/>
    <w:bookmarkStart w:id="25" w:name="proposal-submission"/>
    <w:p>
      <w:pPr>
        <w:pStyle w:val="Heading2"/>
      </w:pPr>
      <w:r>
        <w:t xml:space="preserve">5. Proposal Submission</w:t>
      </w:r>
    </w:p>
    <w:p>
      <w:pPr>
        <w:pStyle w:val="Compact"/>
        <w:numPr>
          <w:ilvl w:val="0"/>
          <w:numId w:val="1007"/>
        </w:numPr>
      </w:pPr>
      <w:r>
        <w:t xml:space="preserve">Prepare tailored proposal using the</w:t>
      </w:r>
      <w:r>
        <w:t xml:space="preserve"> </w:t>
      </w:r>
      <w:r>
        <w:rPr>
          <w:b/>
          <w:bCs/>
        </w:rPr>
        <w:t xml:space="preserve">Harjota Audit Proposal Template</w:t>
      </w:r>
    </w:p>
    <w:p>
      <w:pPr>
        <w:pStyle w:val="Compact"/>
        <w:numPr>
          <w:ilvl w:val="0"/>
          <w:numId w:val="1007"/>
        </w:numPr>
      </w:pPr>
      <w:r>
        <w:t xml:space="preserve">Include scope, deliverables, timeline, pricing, and ROI expectations</w:t>
      </w:r>
    </w:p>
    <w:p>
      <w:pPr>
        <w:pStyle w:val="Compact"/>
        <w:numPr>
          <w:ilvl w:val="0"/>
          <w:numId w:val="1007"/>
        </w:numPr>
      </w:pPr>
      <w:r>
        <w:t xml:space="preserve">Address client-specific pain points and opportunities</w:t>
      </w:r>
    </w:p>
    <w:p>
      <w:r>
        <w:pict>
          <v:rect style="width:0;height:1.5pt" o:hralign="center" o:hrstd="t" o:hr="t"/>
        </w:pict>
      </w:r>
    </w:p>
    <w:bookmarkEnd w:id="25"/>
    <w:bookmarkStart w:id="26" w:name="agreement-scheduling"/>
    <w:p>
      <w:pPr>
        <w:pStyle w:val="Heading2"/>
      </w:pPr>
      <w:r>
        <w:t xml:space="preserve">6. Agreement &amp; Scheduling</w:t>
      </w:r>
    </w:p>
    <w:p>
      <w:pPr>
        <w:pStyle w:val="Compact"/>
        <w:numPr>
          <w:ilvl w:val="0"/>
          <w:numId w:val="1008"/>
        </w:numPr>
      </w:pPr>
      <w:r>
        <w:t xml:space="preserve">Receive signed agreement and initial payment</w:t>
      </w:r>
    </w:p>
    <w:p>
      <w:pPr>
        <w:pStyle w:val="Compact"/>
        <w:numPr>
          <w:ilvl w:val="0"/>
          <w:numId w:val="1008"/>
        </w:numPr>
      </w:pPr>
      <w:r>
        <w:t xml:space="preserve">Confirm audit schedule, access requirements, and key stakeholders</w:t>
      </w:r>
    </w:p>
    <w:p>
      <w:pPr>
        <w:pStyle w:val="Compact"/>
        <w:numPr>
          <w:ilvl w:val="0"/>
          <w:numId w:val="1008"/>
        </w:numPr>
      </w:pPr>
      <w:r>
        <w:t xml:space="preserve">Set up project folder, tools, and internal team assignments</w:t>
      </w:r>
    </w:p>
    <w:p>
      <w:r>
        <w:pict>
          <v:rect style="width:0;height:1.5pt" o:hralign="center" o:hrstd="t" o:hr="t"/>
        </w:pict>
      </w:r>
    </w:p>
    <w:bookmarkEnd w:id="26"/>
    <w:bookmarkStart w:id="27" w:name="audit-execution"/>
    <w:p>
      <w:pPr>
        <w:pStyle w:val="Heading2"/>
      </w:pPr>
      <w:r>
        <w:t xml:space="preserve">7. Audit Execution</w:t>
      </w:r>
    </w:p>
    <w:p>
      <w:pPr>
        <w:pStyle w:val="Compact"/>
        <w:numPr>
          <w:ilvl w:val="0"/>
          <w:numId w:val="1009"/>
        </w:numPr>
      </w:pPr>
      <w:r>
        <w:t xml:space="preserve">Conduct audit per</w:t>
      </w:r>
      <w:r>
        <w:t xml:space="preserve"> </w:t>
      </w:r>
      <w:r>
        <w:rPr>
          <w:b/>
          <w:bCs/>
        </w:rPr>
        <w:t xml:space="preserve">Harjota SOP</w:t>
      </w:r>
    </w:p>
    <w:p>
      <w:pPr>
        <w:pStyle w:val="Compact"/>
        <w:numPr>
          <w:ilvl w:val="0"/>
          <w:numId w:val="1009"/>
        </w:numPr>
      </w:pPr>
      <w:r>
        <w:t xml:space="preserve">Maintain communication with client for clarifications and updates</w:t>
      </w:r>
    </w:p>
    <w:p>
      <w:pPr>
        <w:pStyle w:val="Compact"/>
        <w:numPr>
          <w:ilvl w:val="0"/>
          <w:numId w:val="1009"/>
        </w:numPr>
      </w:pPr>
      <w:r>
        <w:t xml:space="preserve">Document findings using audit checklist</w:t>
      </w:r>
    </w:p>
    <w:p>
      <w:r>
        <w:pict>
          <v:rect style="width:0;height:1.5pt" o:hralign="center" o:hrstd="t" o:hr="t"/>
        </w:pict>
      </w:r>
    </w:p>
    <w:bookmarkEnd w:id="27"/>
    <w:bookmarkStart w:id="28" w:name="draft-report-review-internal-qa"/>
    <w:p>
      <w:pPr>
        <w:pStyle w:val="Heading2"/>
      </w:pPr>
      <w:r>
        <w:t xml:space="preserve">8. Draft Report Review &amp; Internal QA</w:t>
      </w:r>
    </w:p>
    <w:p>
      <w:pPr>
        <w:pStyle w:val="Compact"/>
        <w:numPr>
          <w:ilvl w:val="0"/>
          <w:numId w:val="1010"/>
        </w:numPr>
      </w:pPr>
      <w:r>
        <w:t xml:space="preserve">Review all findings, charts, and recommendations</w:t>
      </w:r>
    </w:p>
    <w:p>
      <w:pPr>
        <w:pStyle w:val="Compact"/>
        <w:numPr>
          <w:ilvl w:val="0"/>
          <w:numId w:val="1010"/>
        </w:numPr>
      </w:pPr>
      <w:r>
        <w:t xml:space="preserve">Ensure clarity, accuracy, and measurable financial impact</w:t>
      </w:r>
    </w:p>
    <w:p>
      <w:pPr>
        <w:pStyle w:val="Compact"/>
        <w:numPr>
          <w:ilvl w:val="0"/>
          <w:numId w:val="1010"/>
        </w:numPr>
      </w:pPr>
      <w:r>
        <w:t xml:space="preserve">Prepare executive summary for client presentation</w:t>
      </w:r>
    </w:p>
    <w:p>
      <w:r>
        <w:pict>
          <v:rect style="width:0;height:1.5pt" o:hralign="center" o:hrstd="t" o:hr="t"/>
        </w:pict>
      </w:r>
    </w:p>
    <w:bookmarkEnd w:id="28"/>
    <w:bookmarkStart w:id="29" w:name="client-presentation-final-report"/>
    <w:p>
      <w:pPr>
        <w:pStyle w:val="Heading2"/>
      </w:pPr>
      <w:r>
        <w:t xml:space="preserve">9. Client Presentation &amp; Final Report</w:t>
      </w:r>
    </w:p>
    <w:p>
      <w:pPr>
        <w:pStyle w:val="Compact"/>
        <w:numPr>
          <w:ilvl w:val="0"/>
          <w:numId w:val="1011"/>
        </w:numPr>
      </w:pPr>
      <w:r>
        <w:t xml:space="preserve">Present findings and recommendations to client leadership</w:t>
      </w:r>
    </w:p>
    <w:p>
      <w:pPr>
        <w:pStyle w:val="Compact"/>
        <w:numPr>
          <w:ilvl w:val="0"/>
          <w:numId w:val="1011"/>
        </w:numPr>
      </w:pPr>
      <w:r>
        <w:t xml:space="preserve">Highlight ROI, efficiency gains, and strategic opportunities</w:t>
      </w:r>
    </w:p>
    <w:p>
      <w:pPr>
        <w:pStyle w:val="Compact"/>
        <w:numPr>
          <w:ilvl w:val="0"/>
          <w:numId w:val="1011"/>
        </w:numPr>
      </w:pPr>
      <w:r>
        <w:t xml:space="preserve">Deliver final report and supporting visual materials</w:t>
      </w:r>
    </w:p>
    <w:p>
      <w:r>
        <w:pict>
          <v:rect style="width:0;height:1.5pt" o:hralign="center" o:hrstd="t" o:hr="t"/>
        </w:pict>
      </w:r>
    </w:p>
    <w:bookmarkEnd w:id="29"/>
    <w:bookmarkStart w:id="31" w:name="post-audit-follow-up-upselling"/>
    <w:p>
      <w:pPr>
        <w:pStyle w:val="Heading2"/>
      </w:pPr>
      <w:r>
        <w:t xml:space="preserve">10. Post-Audit Follow-Up &amp; Upselling</w:t>
      </w:r>
    </w:p>
    <w:p>
      <w:pPr>
        <w:pStyle w:val="Compact"/>
        <w:numPr>
          <w:ilvl w:val="0"/>
          <w:numId w:val="1012"/>
        </w:numPr>
      </w:pPr>
      <w:r>
        <w:t xml:space="preserve">Schedule check-in to discuss progress on recommendations</w:t>
      </w:r>
    </w:p>
    <w:p>
      <w:pPr>
        <w:pStyle w:val="Compact"/>
        <w:numPr>
          <w:ilvl w:val="0"/>
          <w:numId w:val="1012"/>
        </w:numPr>
      </w:pPr>
      <w:r>
        <w:t xml:space="preserve">Offer ongoing consulting, implementation support, or AI integration packages</w:t>
      </w:r>
    </w:p>
    <w:p>
      <w:pPr>
        <w:pStyle w:val="Compact"/>
        <w:numPr>
          <w:ilvl w:val="0"/>
          <w:numId w:val="1012"/>
        </w:numPr>
      </w:pPr>
      <w:r>
        <w:t xml:space="preserve">Gather feedback and testimonials</w:t>
      </w:r>
    </w:p>
    <w:p>
      <w:pPr>
        <w:pStyle w:val="Compact"/>
        <w:numPr>
          <w:ilvl w:val="0"/>
          <w:numId w:val="1012"/>
        </w:numPr>
      </w:pPr>
      <w:r>
        <w:t xml:space="preserve">Track outcomes to support future sales and case studies</w:t>
      </w:r>
    </w:p>
    <w:p>
      <w:r>
        <w:pict>
          <v:rect style="width:0;height:1.5pt" o:hralign="center" o:hrstd="t" o:hr="t"/>
        </w:pict>
      </w:r>
    </w:p>
    <w:bookmarkStart w:id="30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13"/>
        </w:numPr>
      </w:pPr>
      <w:r>
        <w:t xml:space="preserve">Maintain</w:t>
      </w:r>
      <w:r>
        <w:t xml:space="preserve"> </w:t>
      </w:r>
      <w:r>
        <w:rPr>
          <w:b/>
          <w:bCs/>
        </w:rPr>
        <w:t xml:space="preserve">executive-level communication</w:t>
      </w:r>
      <w:r>
        <w:t xml:space="preserve"> </w:t>
      </w:r>
      <w:r>
        <w:t xml:space="preserve">throughout</w:t>
      </w:r>
    </w:p>
    <w:p>
      <w:pPr>
        <w:pStyle w:val="Compact"/>
        <w:numPr>
          <w:ilvl w:val="0"/>
          <w:numId w:val="1013"/>
        </w:numPr>
      </w:pPr>
      <w:r>
        <w:t xml:space="preserve">Focus every interaction on</w:t>
      </w:r>
      <w:r>
        <w:t xml:space="preserve"> </w:t>
      </w:r>
      <w:r>
        <w:rPr>
          <w:b/>
          <w:bCs/>
        </w:rPr>
        <w:t xml:space="preserve">financial and strategic benefits</w:t>
      </w:r>
    </w:p>
    <w:p>
      <w:pPr>
        <w:pStyle w:val="Compact"/>
        <w:numPr>
          <w:ilvl w:val="0"/>
          <w:numId w:val="1013"/>
        </w:numPr>
      </w:pPr>
      <w:r>
        <w:t xml:space="preserve">Document lessons learned and client feedback for continuous improvement</w:t>
      </w:r>
    </w:p>
    <w:p>
      <w:pPr>
        <w:pStyle w:val="Compact"/>
        <w:numPr>
          <w:ilvl w:val="0"/>
          <w:numId w:val="1013"/>
        </w:numPr>
      </w:pPr>
      <w:r>
        <w:t xml:space="preserve">The roadmap ensures consistency, builds credibility, and maximizes long-term client value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2025-12-25T10:52:49Z</dcterms:created>
  <dcterms:modified xsi:type="dcterms:W3CDTF">2025-12-25T10:52:49Z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