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harjota-digital-audit"/>
    <w:p>
      <w:pPr>
        <w:pStyle w:val="Heading1"/>
      </w:pPr>
      <w:r>
        <w:t xml:space="preserve">Harjota Digital Audit</w:t>
      </w:r>
    </w:p>
    <w:bookmarkStart w:id="20" w:name="pricing-system-ideal-client-framework"/>
    <w:p>
      <w:pPr>
        <w:pStyle w:val="Heading2"/>
      </w:pPr>
      <w:r>
        <w:t xml:space="preserve">Pricing System &amp; Ideal Client Framework</w:t>
      </w:r>
    </w:p>
    <w:p>
      <w:r>
        <w:pict>
          <v:rect style="width:0;height:1.5pt" o:hralign="center" o:hrstd="t" o:hr="t"/>
        </w:pict>
      </w:r>
    </w:p>
    <w:bookmarkEnd w:id="20"/>
    <w:bookmarkStart w:id="21" w:name="purpose-of-this-document"/>
    <w:p>
      <w:pPr>
        <w:pStyle w:val="Heading2"/>
      </w:pPr>
      <w:r>
        <w:t xml:space="preserve">1. Purpose of This Document</w:t>
      </w:r>
    </w:p>
    <w:p>
      <w:pPr>
        <w:pStyle w:val="FirstParagraph"/>
      </w:pPr>
      <w:r>
        <w:t xml:space="preserve">This document defines</w:t>
      </w:r>
      <w:r>
        <w:t xml:space="preserve"> </w:t>
      </w:r>
      <w:r>
        <w:rPr>
          <w:b/>
          <w:bCs/>
        </w:rPr>
        <w:t xml:space="preserve">who Harjota’s Digital Audit is designed for</w:t>
      </w:r>
      <w:r>
        <w:t xml:space="preserve">,</w:t>
      </w:r>
      <w:r>
        <w:t xml:space="preserve"> </w:t>
      </w:r>
      <w:r>
        <w:rPr>
          <w:b/>
          <w:bCs/>
        </w:rPr>
        <w:t xml:space="preserve">why organizations pay for it</w:t>
      </w:r>
      <w:r>
        <w:t xml:space="preserve">, and</w:t>
      </w:r>
      <w:r>
        <w:t xml:space="preserve"> </w:t>
      </w:r>
      <w:r>
        <w:rPr>
          <w:b/>
          <w:bCs/>
        </w:rPr>
        <w:t xml:space="preserve">how the audit is priced</w:t>
      </w:r>
      <w:r>
        <w:t xml:space="preserve">. It serves as an internal guide for positioning, sales conversations, and early client engagement.</w:t>
      </w:r>
    </w:p>
    <w:p>
      <w:pPr>
        <w:pStyle w:val="BodyText"/>
      </w:pPr>
      <w:r>
        <w:t xml:space="preserve">Harjota’s Digital Audit is not a technical inspection. It is an</w:t>
      </w:r>
      <w:r>
        <w:t xml:space="preserve"> </w:t>
      </w:r>
      <w:r>
        <w:rPr>
          <w:b/>
          <w:bCs/>
        </w:rPr>
        <w:t xml:space="preserve">executive intelligence service</w:t>
      </w:r>
      <w:r>
        <w:t xml:space="preserve"> </w:t>
      </w:r>
      <w:r>
        <w:t xml:space="preserve">designed to give leadership clarity over their digital infrastructure, operational systems, data flows, and decision-making capability.</w:t>
      </w:r>
    </w:p>
    <w:p>
      <w:r>
        <w:pict>
          <v:rect style="width:0;height:1.5pt" o:hralign="center" o:hrstd="t" o:hr="t"/>
        </w:pict>
      </w:r>
    </w:p>
    <w:bookmarkEnd w:id="21"/>
    <w:bookmarkStart w:id="22" w:name="what-organizations-are-really-paying-for"/>
    <w:p>
      <w:pPr>
        <w:pStyle w:val="Heading2"/>
      </w:pPr>
      <w:r>
        <w:t xml:space="preserve">2. What Organizations Are Really Paying For</w:t>
      </w:r>
    </w:p>
    <w:p>
      <w:pPr>
        <w:pStyle w:val="FirstParagraph"/>
      </w:pPr>
      <w:r>
        <w:t xml:space="preserve">Organizations do not pay for audits to be</w:t>
      </w:r>
      <w:r>
        <w:t xml:space="preserve"> </w:t>
      </w:r>
      <w:r>
        <w:t xml:space="preserve">“checked.”</w:t>
      </w:r>
      <w:r>
        <w:t xml:space="preserve"> </w:t>
      </w:r>
      <w:r>
        <w:t xml:space="preserve">They pay for:</w:t>
      </w:r>
      <w:r>
        <w:t xml:space="preserve"> </w:t>
      </w:r>
      <w:r>
        <w:t xml:space="preserve">- Strategic clarity</w:t>
      </w:r>
      <w:r>
        <w:t xml:space="preserve"> </w:t>
      </w:r>
      <w:r>
        <w:t xml:space="preserve">- Risk identification and reduction</w:t>
      </w:r>
      <w:r>
        <w:t xml:space="preserve"> </w:t>
      </w:r>
      <w:r>
        <w:t xml:space="preserve">- Operational visibility</w:t>
      </w:r>
      <w:r>
        <w:t xml:space="preserve"> </w:t>
      </w:r>
      <w:r>
        <w:t xml:space="preserve">- Decision-making confidence</w:t>
      </w:r>
      <w:r>
        <w:t xml:space="preserve"> </w:t>
      </w:r>
      <w:r>
        <w:t xml:space="preserve">- A roadmap for growth, automation, and scale</w:t>
      </w:r>
    </w:p>
    <w:p>
      <w:pPr>
        <w:pStyle w:val="BodyText"/>
      </w:pPr>
      <w:r>
        <w:t xml:space="preserve">Harjota’s audit delivers insight that enables leadership to:</w:t>
      </w:r>
      <w:r>
        <w:t xml:space="preserve"> </w:t>
      </w:r>
      <w:r>
        <w:t xml:space="preserve">- Understand where inefficiencies exist</w:t>
      </w:r>
      <w:r>
        <w:t xml:space="preserve"> </w:t>
      </w:r>
      <w:r>
        <w:t xml:space="preserve">- Identify blind spots in reporting and operations</w:t>
      </w:r>
      <w:r>
        <w:t xml:space="preserve"> </w:t>
      </w:r>
      <w:r>
        <w:t xml:space="preserve">- Determine where technology investments should (and should not) be made</w:t>
      </w:r>
      <w:r>
        <w:t xml:space="preserve"> </w:t>
      </w:r>
      <w:r>
        <w:t xml:space="preserve">- Prepare the organization for scalability, automation, and AI adoption</w:t>
      </w:r>
    </w:p>
    <w:p>
      <w:r>
        <w:pict>
          <v:rect style="width:0;height:1.5pt" o:hralign="center" o:hrstd="t" o:hr="t"/>
        </w:pict>
      </w:r>
    </w:p>
    <w:bookmarkEnd w:id="22"/>
    <w:bookmarkStart w:id="26" w:name="ideal-clients-for-harjotas-digital-audit"/>
    <w:p>
      <w:pPr>
        <w:pStyle w:val="Heading2"/>
      </w:pPr>
      <w:r>
        <w:t xml:space="preserve">3. Ideal Clients for Harjota’s Digital Audit</w:t>
      </w:r>
    </w:p>
    <w:p>
      <w:pPr>
        <w:pStyle w:val="FirstParagraph"/>
      </w:pPr>
      <w:r>
        <w:t xml:space="preserve">Harjota focuses on organizations that:</w:t>
      </w:r>
      <w:r>
        <w:t xml:space="preserve"> </w:t>
      </w:r>
      <w:r>
        <w:t xml:space="preserve">- Have structured operations</w:t>
      </w:r>
      <w:r>
        <w:t xml:space="preserve"> </w:t>
      </w:r>
      <w:r>
        <w:t xml:space="preserve">- Manage staff, data, and customers at scale</w:t>
      </w:r>
      <w:r>
        <w:t xml:space="preserve"> </w:t>
      </w:r>
      <w:r>
        <w:t xml:space="preserve">- Experience inefficiencies caused by fragmented or outdated systems</w:t>
      </w:r>
      <w:r>
        <w:t xml:space="preserve"> </w:t>
      </w:r>
      <w:r>
        <w:t xml:space="preserve">- Have leadership willing to invest in clarity and improvement</w:t>
      </w:r>
    </w:p>
    <w:bookmarkStart w:id="23" w:name="tier-1-ideal-clients-primary-focus"/>
    <w:p>
      <w:pPr>
        <w:pStyle w:val="Heading3"/>
      </w:pPr>
      <w:r>
        <w:t xml:space="preserve">Tier 1 Ideal Clients (Primary Focus)</w:t>
      </w:r>
    </w:p>
    <w:p>
      <w:pPr>
        <w:pStyle w:val="FirstParagraph"/>
      </w:pPr>
      <w:r>
        <w:t xml:space="preserve">These organizations show the</w:t>
      </w:r>
      <w:r>
        <w:t xml:space="preserve"> </w:t>
      </w:r>
      <w:r>
        <w:rPr>
          <w:b/>
          <w:bCs/>
        </w:rPr>
        <w:t xml:space="preserve">highest willingness to pay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strong alignment</w:t>
      </w:r>
      <w:r>
        <w:t xml:space="preserve"> </w:t>
      </w:r>
      <w:r>
        <w:t xml:space="preserve">with Harjota’s services: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Hotels &amp; Hospitality Organizations</w:t>
      </w:r>
    </w:p>
    <w:p>
      <w:pPr>
        <w:pStyle w:val="Compact"/>
        <w:numPr>
          <w:ilvl w:val="1"/>
          <w:numId w:val="1002"/>
        </w:numPr>
      </w:pPr>
      <w:r>
        <w:t xml:space="preserve">Booking systems, PMS, POS, staff operations, reporting</w:t>
      </w:r>
    </w:p>
    <w:p>
      <w:pPr>
        <w:pStyle w:val="Compact"/>
        <w:numPr>
          <w:ilvl w:val="1"/>
          <w:numId w:val="1002"/>
        </w:numPr>
      </w:pPr>
      <w:r>
        <w:t xml:space="preserve">Revenue leakage and poor data visibility are common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Private Schools &amp; Tertiary Institutions</w:t>
      </w:r>
    </w:p>
    <w:p>
      <w:pPr>
        <w:pStyle w:val="Compact"/>
        <w:numPr>
          <w:ilvl w:val="1"/>
          <w:numId w:val="1003"/>
        </w:numPr>
      </w:pPr>
      <w:r>
        <w:t xml:space="preserve">Academic records, administration, finance, reporting</w:t>
      </w:r>
    </w:p>
    <w:p>
      <w:pPr>
        <w:pStyle w:val="Compact"/>
        <w:numPr>
          <w:ilvl w:val="1"/>
          <w:numId w:val="1003"/>
        </w:numPr>
      </w:pPr>
      <w:r>
        <w:t xml:space="preserve">Strong alignment with Harjota’s academic intelligence vision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Malls &amp; Commercial Facilities</w:t>
      </w:r>
    </w:p>
    <w:p>
      <w:pPr>
        <w:pStyle w:val="Compact"/>
        <w:numPr>
          <w:ilvl w:val="1"/>
          <w:numId w:val="1004"/>
        </w:numPr>
      </w:pPr>
      <w:r>
        <w:t xml:space="preserve">Tenant management, billing, utilities, access systems</w:t>
      </w:r>
    </w:p>
    <w:p>
      <w:pPr>
        <w:pStyle w:val="Compact"/>
        <w:numPr>
          <w:ilvl w:val="1"/>
          <w:numId w:val="1004"/>
        </w:numPr>
      </w:pPr>
      <w:r>
        <w:t xml:space="preserve">High need for dashboards and operational oversight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Private Hospitals &amp; Clinics</w:t>
      </w:r>
    </w:p>
    <w:p>
      <w:pPr>
        <w:pStyle w:val="Compact"/>
        <w:numPr>
          <w:ilvl w:val="1"/>
          <w:numId w:val="1005"/>
        </w:numPr>
      </w:pPr>
      <w:r>
        <w:t xml:space="preserve">Scheduling, billing, patient records, compliance requirements</w:t>
      </w:r>
    </w:p>
    <w:p>
      <w:pPr>
        <w:pStyle w:val="Compact"/>
        <w:numPr>
          <w:ilvl w:val="1"/>
          <w:numId w:val="1005"/>
        </w:numPr>
      </w:pPr>
      <w:r>
        <w:t xml:space="preserve">Significant inefficiencies caused by fragmented systems</w:t>
      </w:r>
    </w:p>
    <w:p>
      <w:r>
        <w:pict>
          <v:rect style="width:0;height:1.5pt" o:hralign="center" o:hrstd="t" o:hr="t"/>
        </w:pict>
      </w:r>
    </w:p>
    <w:bookmarkEnd w:id="23"/>
    <w:bookmarkStart w:id="24" w:name="tier-2-clients-secondary-focus"/>
    <w:p>
      <w:pPr>
        <w:pStyle w:val="Heading3"/>
      </w:pPr>
      <w:r>
        <w:t xml:space="preserve">Tier 2 Clients (Secondary Focus)</w:t>
      </w:r>
    </w:p>
    <w:p>
      <w:pPr>
        <w:pStyle w:val="FirstParagraph"/>
      </w:pPr>
      <w:r>
        <w:t xml:space="preserve">Engaged after establishing early credibility:</w:t>
      </w:r>
      <w:r>
        <w:t xml:space="preserve"> </w:t>
      </w:r>
      <w:r>
        <w:t xml:space="preserve">- Real estate companies</w:t>
      </w:r>
      <w:r>
        <w:t xml:space="preserve"> </w:t>
      </w:r>
      <w:r>
        <w:t xml:space="preserve">- Logistics firms</w:t>
      </w:r>
      <w:r>
        <w:t xml:space="preserve"> </w:t>
      </w:r>
      <w:r>
        <w:t xml:space="preserve">- Manufacturing SMEs (50–300 staff)</w:t>
      </w:r>
      <w:r>
        <w:t xml:space="preserve"> </w:t>
      </w:r>
      <w:r>
        <w:t xml:space="preserve">- Retail chains</w:t>
      </w:r>
    </w:p>
    <w:p>
      <w:r>
        <w:pict>
          <v:rect style="width:0;height:1.5pt" o:hralign="center" o:hrstd="t" o:hr="t"/>
        </w:pict>
      </w:r>
    </w:p>
    <w:bookmarkEnd w:id="24"/>
    <w:bookmarkStart w:id="25" w:name="clients-to-avoid-early-stage"/>
    <w:p>
      <w:pPr>
        <w:pStyle w:val="Heading3"/>
      </w:pPr>
      <w:r>
        <w:t xml:space="preserve">Clients to Avoid (Early Stage)</w:t>
      </w:r>
    </w:p>
    <w:p>
      <w:pPr>
        <w:pStyle w:val="Compact"/>
        <w:numPr>
          <w:ilvl w:val="0"/>
          <w:numId w:val="1006"/>
        </w:numPr>
      </w:pPr>
      <w:r>
        <w:t xml:space="preserve">Micro businesses</w:t>
      </w:r>
    </w:p>
    <w:p>
      <w:pPr>
        <w:pStyle w:val="Compact"/>
        <w:numPr>
          <w:ilvl w:val="0"/>
          <w:numId w:val="1006"/>
        </w:numPr>
      </w:pPr>
      <w:r>
        <w:t xml:space="preserve">Startups without revenue</w:t>
      </w:r>
    </w:p>
    <w:p>
      <w:pPr>
        <w:pStyle w:val="Compact"/>
        <w:numPr>
          <w:ilvl w:val="0"/>
          <w:numId w:val="1006"/>
        </w:numPr>
      </w:pPr>
      <w:r>
        <w:t xml:space="preserve">Informal operations</w:t>
      </w:r>
    </w:p>
    <w:p>
      <w:pPr>
        <w:pStyle w:val="Compact"/>
        <w:numPr>
          <w:ilvl w:val="0"/>
          <w:numId w:val="1006"/>
        </w:numPr>
      </w:pPr>
      <w:r>
        <w:t xml:space="preserve">NGOs without decision authority</w:t>
      </w:r>
    </w:p>
    <w:p>
      <w:pPr>
        <w:pStyle w:val="FirstParagraph"/>
      </w:pPr>
      <w:r>
        <w:t xml:space="preserve">These groups often resist pricing and lack the scale required to benefit fully from a digital audit.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ricing-philosophy"/>
    <w:p>
      <w:pPr>
        <w:pStyle w:val="Heading2"/>
      </w:pPr>
      <w:r>
        <w:t xml:space="preserve">4. Pricing Philosophy</w:t>
      </w:r>
    </w:p>
    <w:p>
      <w:pPr>
        <w:pStyle w:val="FirstParagraph"/>
      </w:pPr>
      <w:r>
        <w:t xml:space="preserve">Harjota does not price audits based on time spent.</w:t>
      </w:r>
    </w:p>
    <w:p>
      <w:pPr>
        <w:pStyle w:val="BodyText"/>
      </w:pPr>
      <w:r>
        <w:t xml:space="preserve">Pricing reflects:</w:t>
      </w:r>
      <w:r>
        <w:t xml:space="preserve"> </w:t>
      </w:r>
      <w:r>
        <w:t xml:space="preserve">- Depth of access to organizational systems</w:t>
      </w:r>
      <w:r>
        <w:t xml:space="preserve"> </w:t>
      </w:r>
      <w:r>
        <w:t xml:space="preserve">- Level of strategic insight delivered</w:t>
      </w:r>
      <w:r>
        <w:t xml:space="preserve"> </w:t>
      </w:r>
      <w:r>
        <w:t xml:space="preserve">- Risk reduction and efficiency gains</w:t>
      </w:r>
      <w:r>
        <w:t xml:space="preserve"> </w:t>
      </w:r>
      <w:r>
        <w:t xml:space="preserve">- Executive-level decision support</w:t>
      </w:r>
    </w:p>
    <w:p>
      <w:pPr>
        <w:pStyle w:val="BodyText"/>
      </w:pPr>
      <w:r>
        <w:t xml:space="preserve">Each audit tier has a clear scope, timeline, and deliverable.</w:t>
      </w:r>
    </w:p>
    <w:p>
      <w:r>
        <w:pict>
          <v:rect style="width:0;height:1.5pt" o:hralign="center" o:hrstd="t" o:hr="t"/>
        </w:pict>
      </w:r>
    </w:p>
    <w:bookmarkEnd w:id="27"/>
    <w:bookmarkStart w:id="31" w:name="harjota-digital-audit-pricing-tiers"/>
    <w:p>
      <w:pPr>
        <w:pStyle w:val="Heading2"/>
      </w:pPr>
      <w:r>
        <w:t xml:space="preserve">5. Harjota Digital Audit Pricing Tiers</w:t>
      </w:r>
    </w:p>
    <w:bookmarkStart w:id="28" w:name="foundational-digital-audit"/>
    <w:p>
      <w:pPr>
        <w:pStyle w:val="Heading3"/>
      </w:pPr>
      <w:r>
        <w:t xml:space="preserve">5.1 Foundational Digital Audit</w:t>
      </w:r>
    </w:p>
    <w:p>
      <w:pPr>
        <w:pStyle w:val="FirstParagraph"/>
      </w:pPr>
      <w:r>
        <w:rPr>
          <w:b/>
          <w:bCs/>
        </w:rPr>
        <w:t xml:space="preserve">Price Range:</w:t>
      </w:r>
      <w:r>
        <w:t xml:space="preserve"> </w:t>
      </w:r>
      <w:r>
        <w:t xml:space="preserve">₦300,000 – ₦600,000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Small hotels</w:t>
      </w:r>
      <w:r>
        <w:t xml:space="preserve"> </w:t>
      </w:r>
      <w:r>
        <w:t xml:space="preserve">- Single-location schools</w:t>
      </w:r>
      <w:r>
        <w:t xml:space="preserve"> </w:t>
      </w:r>
      <w:r>
        <w:t xml:space="preserve">- Clinics</w:t>
      </w:r>
    </w:p>
    <w:p>
      <w:pPr>
        <w:pStyle w:val="BodyText"/>
      </w:pPr>
      <w:r>
        <w:rPr>
          <w:b/>
          <w:bCs/>
        </w:rPr>
        <w:t xml:space="preserve">Scope Includes:</w:t>
      </w:r>
      <w:r>
        <w:t xml:space="preserve"> </w:t>
      </w:r>
      <w:r>
        <w:t xml:space="preserve">- Digital infrastructure review</w:t>
      </w:r>
      <w:r>
        <w:t xml:space="preserve"> </w:t>
      </w:r>
      <w:r>
        <w:t xml:space="preserve">- Systems and tools mapping</w:t>
      </w:r>
      <w:r>
        <w:t xml:space="preserve"> </w:t>
      </w:r>
      <w:r>
        <w:t xml:space="preserve">- Data flow assessment</w:t>
      </w:r>
      <w:r>
        <w:t xml:space="preserve"> </w:t>
      </w:r>
      <w:r>
        <w:t xml:space="preserve">- Identification of operational bottlenecks</w:t>
      </w:r>
      <w:r>
        <w:t xml:space="preserve"> </w:t>
      </w:r>
      <w:r>
        <w:t xml:space="preserve">- High-level improvement recommendations</w:t>
      </w:r>
    </w:p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2–3 weeks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Executive Audit Report (PDF)</w:t>
      </w:r>
    </w:p>
    <w:p>
      <w:r>
        <w:pict>
          <v:rect style="width:0;height:1.5pt" o:hralign="center" o:hrstd="t" o:hr="t"/>
        </w:pict>
      </w:r>
    </w:p>
    <w:bookmarkEnd w:id="28"/>
    <w:bookmarkStart w:id="29" w:name="operational-intelligence-audit"/>
    <w:p>
      <w:pPr>
        <w:pStyle w:val="Heading3"/>
      </w:pPr>
      <w:r>
        <w:t xml:space="preserve">5.2 Operational Intelligence Audit</w:t>
      </w:r>
    </w:p>
    <w:p>
      <w:pPr>
        <w:pStyle w:val="FirstParagraph"/>
      </w:pPr>
      <w:r>
        <w:rPr>
          <w:b/>
          <w:bCs/>
        </w:rPr>
        <w:t xml:space="preserve">Price Range:</w:t>
      </w:r>
      <w:r>
        <w:t xml:space="preserve"> </w:t>
      </w:r>
      <w:r>
        <w:t xml:space="preserve">₦800,000 – ₦1.5 million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Medium-sized organizations</w:t>
      </w:r>
      <w:r>
        <w:t xml:space="preserve"> </w:t>
      </w:r>
      <w:r>
        <w:t xml:space="preserve">- Multi-department hotels or schools</w:t>
      </w:r>
    </w:p>
    <w:p>
      <w:pPr>
        <w:pStyle w:val="BodyText"/>
      </w:pPr>
      <w:r>
        <w:rPr>
          <w:b/>
          <w:bCs/>
        </w:rPr>
        <w:t xml:space="preserve">Scope Includes:</w:t>
      </w:r>
      <w:r>
        <w:t xml:space="preserve"> </w:t>
      </w:r>
      <w:r>
        <w:t xml:space="preserve">- All Foundational Audit components</w:t>
      </w:r>
      <w:r>
        <w:t xml:space="preserve"> </w:t>
      </w:r>
      <w:r>
        <w:t xml:space="preserve">- Workflow and decision-process mapping</w:t>
      </w:r>
      <w:r>
        <w:t xml:space="preserve"> </w:t>
      </w:r>
      <w:r>
        <w:t xml:space="preserve">- Reporting and analytics assessment</w:t>
      </w:r>
      <w:r>
        <w:t xml:space="preserve"> </w:t>
      </w:r>
      <w:r>
        <w:t xml:space="preserve">- Automation and AI readiness review</w:t>
      </w:r>
      <w:r>
        <w:t xml:space="preserve"> </w:t>
      </w:r>
      <w:r>
        <w:t xml:space="preserve">- Prioritized 90–180 day improvement roadmap</w:t>
      </w:r>
    </w:p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3–4 weeks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Detailed Intelligence Audit Report + Strategic Roadmap</w:t>
      </w:r>
    </w:p>
    <w:p>
      <w:r>
        <w:pict>
          <v:rect style="width:0;height:1.5pt" o:hralign="center" o:hrstd="t" o:hr="t"/>
        </w:pict>
      </w:r>
    </w:p>
    <w:bookmarkEnd w:id="29"/>
    <w:bookmarkStart w:id="30" w:name="X3ec73bb9fe72685936dde24795e46a8ca479c40"/>
    <w:p>
      <w:pPr>
        <w:pStyle w:val="Heading3"/>
      </w:pPr>
      <w:r>
        <w:t xml:space="preserve">5.3 Institutional Intelligence Audit (Flagship)</w:t>
      </w:r>
    </w:p>
    <w:p>
      <w:pPr>
        <w:pStyle w:val="FirstParagraph"/>
      </w:pPr>
      <w:r>
        <w:rPr>
          <w:b/>
          <w:bCs/>
        </w:rPr>
        <w:t xml:space="preserve">Price Range:</w:t>
      </w:r>
      <w:r>
        <w:t xml:space="preserve"> </w:t>
      </w:r>
      <w:r>
        <w:t xml:space="preserve">₦2 million – ₦5 million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- Large hotels</w:t>
      </w:r>
      <w:r>
        <w:t xml:space="preserve"> </w:t>
      </w:r>
      <w:r>
        <w:t xml:space="preserve">- Malls</w:t>
      </w:r>
      <w:r>
        <w:t xml:space="preserve"> </w:t>
      </w:r>
      <w:r>
        <w:t xml:space="preserve">- Universities</w:t>
      </w:r>
      <w:r>
        <w:t xml:space="preserve"> </w:t>
      </w:r>
      <w:r>
        <w:t xml:space="preserve">- Enterprise organizations</w:t>
      </w:r>
    </w:p>
    <w:p>
      <w:pPr>
        <w:pStyle w:val="BodyText"/>
      </w:pPr>
      <w:r>
        <w:rPr>
          <w:b/>
          <w:bCs/>
        </w:rPr>
        <w:t xml:space="preserve">Scope Includes:</w:t>
      </w:r>
      <w:r>
        <w:t xml:space="preserve"> </w:t>
      </w:r>
      <w:r>
        <w:t xml:space="preserve">- Comprehensive digital and data audit</w:t>
      </w:r>
      <w:r>
        <w:t xml:space="preserve"> </w:t>
      </w:r>
      <w:r>
        <w:t xml:space="preserve">- Decision systems and governance analysis</w:t>
      </w:r>
      <w:r>
        <w:t xml:space="preserve"> </w:t>
      </w:r>
      <w:r>
        <w:t xml:space="preserve">- Business intelligence and AI integration opportunities</w:t>
      </w:r>
      <w:r>
        <w:t xml:space="preserve"> </w:t>
      </w:r>
      <w:r>
        <w:t xml:space="preserve">- Scalability and operational risk assessment</w:t>
      </w:r>
      <w:r>
        <w:t xml:space="preserve"> </w:t>
      </w:r>
      <w:r>
        <w:t xml:space="preserve">- Executive briefing and presentation session</w:t>
      </w:r>
    </w:p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4–6 weeks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Executive Intelligence Dossier + Leadership Presentation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trategic-role-of-the-audit"/>
    <w:p>
      <w:pPr>
        <w:pStyle w:val="Heading2"/>
      </w:pPr>
      <w:r>
        <w:t xml:space="preserve">6. Strategic Role of the Audit</w:t>
      </w:r>
    </w:p>
    <w:p>
      <w:pPr>
        <w:pStyle w:val="FirstParagraph"/>
      </w:pPr>
      <w:r>
        <w:t xml:space="preserve">The Digital Audit serves as:</w:t>
      </w:r>
      <w:r>
        <w:t xml:space="preserve"> </w:t>
      </w:r>
      <w:r>
        <w:t xml:space="preserve">- An entry point into organizations</w:t>
      </w:r>
      <w:r>
        <w:t xml:space="preserve"> </w:t>
      </w:r>
      <w:r>
        <w:t xml:space="preserve">- A trust-building engagement</w:t>
      </w:r>
      <w:r>
        <w:t xml:space="preserve"> </w:t>
      </w:r>
      <w:r>
        <w:t xml:space="preserve">- A foundation for long-term consulting, system design, and implementation</w:t>
      </w:r>
    </w:p>
    <w:p>
      <w:pPr>
        <w:pStyle w:val="BodyText"/>
      </w:pPr>
      <w:r>
        <w:t xml:space="preserve">Post-audit opportunities include:</w:t>
      </w:r>
      <w:r>
        <w:t xml:space="preserve"> </w:t>
      </w:r>
      <w:r>
        <w:t xml:space="preserve">- Software development</w:t>
      </w:r>
      <w:r>
        <w:t xml:space="preserve"> </w:t>
      </w:r>
      <w:r>
        <w:t xml:space="preserve">- BI dashboard implementation</w:t>
      </w:r>
      <w:r>
        <w:t xml:space="preserve"> </w:t>
      </w:r>
      <w:r>
        <w:t xml:space="preserve">- Automation and AI deployment</w:t>
      </w:r>
      <w:r>
        <w:t xml:space="preserve"> </w:t>
      </w:r>
      <w:r>
        <w:t xml:space="preserve">- Retainer-based digital advisory</w:t>
      </w:r>
    </w:p>
    <w:p>
      <w:r>
        <w:pict>
          <v:rect style="width:0;height:1.5pt" o:hralign="center" o:hrstd="t" o:hr="t"/>
        </w:pict>
      </w:r>
    </w:p>
    <w:bookmarkEnd w:id="32"/>
    <w:bookmarkStart w:id="33" w:name="harjotas-positioning"/>
    <w:p>
      <w:pPr>
        <w:pStyle w:val="Heading2"/>
      </w:pPr>
      <w:r>
        <w:t xml:space="preserve">7. Harjota’s Positioning</w:t>
      </w:r>
    </w:p>
    <w:p>
      <w:pPr>
        <w:pStyle w:val="FirstParagraph"/>
      </w:pPr>
      <w:r>
        <w:t xml:space="preserve">Harjota operates as a</w:t>
      </w:r>
      <w:r>
        <w:t xml:space="preserve"> </w:t>
      </w:r>
      <w:r>
        <w:rPr>
          <w:b/>
          <w:bCs/>
        </w:rPr>
        <w:t xml:space="preserve">Digital Intelligence Consultancy</w:t>
      </w:r>
      <w:r>
        <w:t xml:space="preserve">, not a freelance development service.</w:t>
      </w:r>
    </w:p>
    <w:p>
      <w:pPr>
        <w:pStyle w:val="BodyText"/>
      </w:pPr>
      <w:r>
        <w:t xml:space="preserve">Even when operating solo, Harjota presents:</w:t>
      </w:r>
      <w:r>
        <w:t xml:space="preserve"> </w:t>
      </w:r>
      <w:r>
        <w:t xml:space="preserve">- Structured methodology</w:t>
      </w:r>
      <w:r>
        <w:t xml:space="preserve"> </w:t>
      </w:r>
      <w:r>
        <w:t xml:space="preserve">- Professional documentation</w:t>
      </w:r>
      <w:r>
        <w:t xml:space="preserve"> </w:t>
      </w:r>
      <w:r>
        <w:t xml:space="preserve">- Executive-level insight</w:t>
      </w:r>
    </w:p>
    <w:p>
      <w:pPr>
        <w:pStyle w:val="BodyText"/>
      </w:pPr>
      <w:r>
        <w:t xml:space="preserve">This posture enables access to decision-makers and positions Harjota as a long-term strategic partner.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forms the foundation for Harjota’s audit outreach, proposal writing, and client engagement strategy.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2025-12-25T09:58:03Z</dcterms:created>
  <dcterms:modified xsi:type="dcterms:W3CDTF">2025-12-25T09:58:03Z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