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harjota-digital-audit-report-template"/>
    <w:p>
      <w:pPr>
        <w:pStyle w:val="Heading1"/>
      </w:pPr>
      <w:r>
        <w:t xml:space="preserve">Harjota Digital Audit Report Template</w:t>
      </w:r>
    </w:p>
    <w:bookmarkStart w:id="20" w:name="cover-page"/>
    <w:p>
      <w:pPr>
        <w:pStyle w:val="Heading2"/>
      </w:pPr>
      <w:r>
        <w:t xml:space="preserve">Cover Page</w:t>
      </w:r>
    </w:p>
    <w:p>
      <w:pPr>
        <w:pStyle w:val="Compact"/>
        <w:numPr>
          <w:ilvl w:val="0"/>
          <w:numId w:val="1001"/>
        </w:numPr>
      </w:pPr>
      <w:r>
        <w:t xml:space="preserve">Harjota Logo</w:t>
      </w:r>
    </w:p>
    <w:p>
      <w:pPr>
        <w:pStyle w:val="Compact"/>
        <w:numPr>
          <w:ilvl w:val="0"/>
          <w:numId w:val="1001"/>
        </w:numPr>
      </w:pPr>
      <w:r>
        <w:t xml:space="preserve">Report Title:</w:t>
      </w:r>
      <w:r>
        <w:t xml:space="preserve"> </w:t>
      </w:r>
      <w:r>
        <w:t xml:space="preserve">“Digital &amp; Institutional Intelligence Audit”</w:t>
      </w:r>
    </w:p>
    <w:p>
      <w:pPr>
        <w:pStyle w:val="Compact"/>
        <w:numPr>
          <w:ilvl w:val="0"/>
          <w:numId w:val="1001"/>
        </w:numPr>
      </w:pPr>
      <w:r>
        <w:t xml:space="preserve">Client Name</w:t>
      </w:r>
    </w:p>
    <w:p>
      <w:pPr>
        <w:pStyle w:val="Compact"/>
        <w:numPr>
          <w:ilvl w:val="0"/>
          <w:numId w:val="1001"/>
        </w:numPr>
      </w:pPr>
      <w:r>
        <w:t xml:space="preserve">Date</w:t>
      </w:r>
    </w:p>
    <w:p>
      <w:pPr>
        <w:pStyle w:val="Compact"/>
        <w:numPr>
          <w:ilvl w:val="0"/>
          <w:numId w:val="1001"/>
        </w:numPr>
      </w:pPr>
      <w:r>
        <w:t xml:space="preserve">Prepared by: Harjota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Compact"/>
        <w:numPr>
          <w:ilvl w:val="0"/>
          <w:numId w:val="1002"/>
        </w:numPr>
      </w:pPr>
      <w:r>
        <w:t xml:space="preserve">Brief overview of the audit</w:t>
      </w:r>
    </w:p>
    <w:p>
      <w:pPr>
        <w:pStyle w:val="Compact"/>
        <w:numPr>
          <w:ilvl w:val="0"/>
          <w:numId w:val="1002"/>
        </w:numPr>
      </w:pPr>
      <w:r>
        <w:t xml:space="preserve">Purpose and scope</w:t>
      </w:r>
    </w:p>
    <w:p>
      <w:pPr>
        <w:pStyle w:val="Compact"/>
        <w:numPr>
          <w:ilvl w:val="0"/>
          <w:numId w:val="1002"/>
        </w:numPr>
      </w:pPr>
      <w:r>
        <w:t xml:space="preserve">Key findings (high-level)</w:t>
      </w:r>
    </w:p>
    <w:p>
      <w:pPr>
        <w:pStyle w:val="Compact"/>
        <w:numPr>
          <w:ilvl w:val="0"/>
          <w:numId w:val="1002"/>
        </w:numPr>
      </w:pPr>
      <w:r>
        <w:t xml:space="preserve">Immediate recommendations</w:t>
      </w:r>
    </w:p>
    <w:p>
      <w:pPr>
        <w:pStyle w:val="Compact"/>
        <w:numPr>
          <w:ilvl w:val="0"/>
          <w:numId w:val="1002"/>
        </w:numPr>
      </w:pPr>
      <w:r>
        <w:t xml:space="preserve">Strategic value of the audit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3"/>
        </w:numPr>
      </w:pPr>
      <w:r>
        <w:t xml:space="preserve">Executive Summary</w:t>
      </w:r>
    </w:p>
    <w:p>
      <w:pPr>
        <w:pStyle w:val="Compact"/>
        <w:numPr>
          <w:ilvl w:val="0"/>
          <w:numId w:val="1003"/>
        </w:numPr>
      </w:pPr>
      <w:r>
        <w:t xml:space="preserve">Organizational Overview</w:t>
      </w:r>
    </w:p>
    <w:p>
      <w:pPr>
        <w:pStyle w:val="Compact"/>
        <w:numPr>
          <w:ilvl w:val="0"/>
          <w:numId w:val="1003"/>
        </w:numPr>
      </w:pPr>
      <w:r>
        <w:t xml:space="preserve">Digital Infrastructure Assessment</w:t>
      </w:r>
    </w:p>
    <w:p>
      <w:pPr>
        <w:pStyle w:val="Compact"/>
        <w:numPr>
          <w:ilvl w:val="0"/>
          <w:numId w:val="1003"/>
        </w:numPr>
      </w:pPr>
      <w:r>
        <w:t xml:space="preserve">Data Management &amp; Reporting</w:t>
      </w:r>
    </w:p>
    <w:p>
      <w:pPr>
        <w:pStyle w:val="Compact"/>
        <w:numPr>
          <w:ilvl w:val="0"/>
          <w:numId w:val="1003"/>
        </w:numPr>
      </w:pPr>
      <w:r>
        <w:t xml:space="preserve">Workflow &amp; Process Efficiency</w:t>
      </w:r>
    </w:p>
    <w:p>
      <w:pPr>
        <w:pStyle w:val="Compact"/>
        <w:numPr>
          <w:ilvl w:val="0"/>
          <w:numId w:val="1003"/>
        </w:numPr>
      </w:pPr>
      <w:r>
        <w:t xml:space="preserve">Decision-Making Systems</w:t>
      </w:r>
    </w:p>
    <w:p>
      <w:pPr>
        <w:pStyle w:val="Compact"/>
        <w:numPr>
          <w:ilvl w:val="0"/>
          <w:numId w:val="1003"/>
        </w:numPr>
      </w:pPr>
      <w:r>
        <w:t xml:space="preserve">Technology &amp; AI Readiness</w:t>
      </w:r>
    </w:p>
    <w:p>
      <w:pPr>
        <w:pStyle w:val="Compact"/>
        <w:numPr>
          <w:ilvl w:val="0"/>
          <w:numId w:val="1003"/>
        </w:numPr>
      </w:pPr>
      <w:r>
        <w:t xml:space="preserve">Security &amp; Risk Assessment</w:t>
      </w:r>
    </w:p>
    <w:p>
      <w:pPr>
        <w:pStyle w:val="Compact"/>
        <w:numPr>
          <w:ilvl w:val="0"/>
          <w:numId w:val="1003"/>
        </w:numPr>
      </w:pPr>
      <w:r>
        <w:t xml:space="preserve">Customer/Stakeholder Experience</w:t>
      </w:r>
    </w:p>
    <w:p>
      <w:pPr>
        <w:pStyle w:val="Compact"/>
        <w:numPr>
          <w:ilvl w:val="0"/>
          <w:numId w:val="1003"/>
        </w:numPr>
      </w:pPr>
      <w:r>
        <w:t xml:space="preserve">Key Findings</w:t>
      </w:r>
    </w:p>
    <w:p>
      <w:pPr>
        <w:pStyle w:val="Compact"/>
        <w:numPr>
          <w:ilvl w:val="0"/>
          <w:numId w:val="1003"/>
        </w:numPr>
      </w:pPr>
      <w:r>
        <w:t xml:space="preserve">Recommendations &amp; Roadmap</w:t>
      </w:r>
    </w:p>
    <w:p>
      <w:pPr>
        <w:pStyle w:val="Compact"/>
        <w:numPr>
          <w:ilvl w:val="0"/>
          <w:numId w:val="1003"/>
        </w:numPr>
      </w:pPr>
      <w:r>
        <w:t xml:space="preserve">Appendix (supporting documents, screenshots, charts)</w:t>
      </w:r>
    </w:p>
    <w:p>
      <w:r>
        <w:pict>
          <v:rect style="width:0;height:1.5pt" o:hralign="center" o:hrstd="t" o:hr="t"/>
        </w:pict>
      </w:r>
    </w:p>
    <w:bookmarkEnd w:id="22"/>
    <w:bookmarkStart w:id="23" w:name="organizational-overview"/>
    <w:p>
      <w:pPr>
        <w:pStyle w:val="Heading2"/>
      </w:pPr>
      <w:r>
        <w:t xml:space="preserve">1. Organizational Overview</w:t>
      </w:r>
    </w:p>
    <w:p>
      <w:pPr>
        <w:pStyle w:val="Compact"/>
        <w:numPr>
          <w:ilvl w:val="0"/>
          <w:numId w:val="1004"/>
        </w:numPr>
      </w:pPr>
      <w:r>
        <w:t xml:space="preserve">Description of the organization</w:t>
      </w:r>
    </w:p>
    <w:p>
      <w:pPr>
        <w:pStyle w:val="Compact"/>
        <w:numPr>
          <w:ilvl w:val="0"/>
          <w:numId w:val="1004"/>
        </w:numPr>
      </w:pPr>
      <w:r>
        <w:t xml:space="preserve">Key operational areas and stakeholders</w:t>
      </w:r>
    </w:p>
    <w:p>
      <w:pPr>
        <w:pStyle w:val="Compact"/>
        <w:numPr>
          <w:ilvl w:val="0"/>
          <w:numId w:val="1004"/>
        </w:numPr>
      </w:pPr>
      <w:r>
        <w:t xml:space="preserve">Current organizational structure</w:t>
      </w:r>
    </w:p>
    <w:p>
      <w:pPr>
        <w:pStyle w:val="Compact"/>
        <w:numPr>
          <w:ilvl w:val="0"/>
          <w:numId w:val="1004"/>
        </w:numPr>
      </w:pPr>
      <w:r>
        <w:t xml:space="preserve">Observations on roles, responsibilities, and SOPs</w:t>
      </w:r>
    </w:p>
    <w:p>
      <w:r>
        <w:pict>
          <v:rect style="width:0;height:1.5pt" o:hralign="center" o:hrstd="t" o:hr="t"/>
        </w:pict>
      </w:r>
    </w:p>
    <w:bookmarkEnd w:id="23"/>
    <w:bookmarkStart w:id="24" w:name="digital-infrastructure-assessment"/>
    <w:p>
      <w:pPr>
        <w:pStyle w:val="Heading2"/>
      </w:pPr>
      <w:r>
        <w:t xml:space="preserve">2. Digital Infrastructure Assessment</w:t>
      </w:r>
    </w:p>
    <w:p>
      <w:pPr>
        <w:pStyle w:val="Compact"/>
        <w:numPr>
          <w:ilvl w:val="0"/>
          <w:numId w:val="1005"/>
        </w:numPr>
      </w:pPr>
      <w:r>
        <w:t xml:space="preserve">Systems currently in use</w:t>
      </w:r>
    </w:p>
    <w:p>
      <w:pPr>
        <w:pStyle w:val="Compact"/>
        <w:numPr>
          <w:ilvl w:val="0"/>
          <w:numId w:val="1005"/>
        </w:numPr>
      </w:pPr>
      <w:r>
        <w:t xml:space="preserve">Integration and compatibility analysis</w:t>
      </w:r>
    </w:p>
    <w:p>
      <w:pPr>
        <w:pStyle w:val="Compact"/>
        <w:numPr>
          <w:ilvl w:val="0"/>
          <w:numId w:val="1005"/>
        </w:numPr>
      </w:pPr>
      <w:r>
        <w:t xml:space="preserve">Maintenance, support, and backup evaluation</w:t>
      </w:r>
    </w:p>
    <w:p>
      <w:pPr>
        <w:pStyle w:val="Compact"/>
        <w:numPr>
          <w:ilvl w:val="0"/>
          <w:numId w:val="1005"/>
        </w:numPr>
      </w:pPr>
      <w:r>
        <w:t xml:space="preserve">Observations on inefficiencies or gaps</w:t>
      </w:r>
    </w:p>
    <w:p>
      <w:r>
        <w:pict>
          <v:rect style="width:0;height:1.5pt" o:hralign="center" o:hrstd="t" o:hr="t"/>
        </w:pict>
      </w:r>
    </w:p>
    <w:bookmarkEnd w:id="24"/>
    <w:bookmarkStart w:id="25" w:name="data-management-reporting"/>
    <w:p>
      <w:pPr>
        <w:pStyle w:val="Heading2"/>
      </w:pPr>
      <w:r>
        <w:t xml:space="preserve">3. Data Management &amp; Reporting</w:t>
      </w:r>
    </w:p>
    <w:p>
      <w:pPr>
        <w:pStyle w:val="Compact"/>
        <w:numPr>
          <w:ilvl w:val="0"/>
          <w:numId w:val="1006"/>
        </w:numPr>
      </w:pPr>
      <w:r>
        <w:t xml:space="preserve">Data collection practices</w:t>
      </w:r>
    </w:p>
    <w:p>
      <w:pPr>
        <w:pStyle w:val="Compact"/>
        <w:numPr>
          <w:ilvl w:val="0"/>
          <w:numId w:val="1006"/>
        </w:numPr>
      </w:pPr>
      <w:r>
        <w:t xml:space="preserve">Accuracy and consistency of data</w:t>
      </w:r>
    </w:p>
    <w:p>
      <w:pPr>
        <w:pStyle w:val="Compact"/>
        <w:numPr>
          <w:ilvl w:val="0"/>
          <w:numId w:val="1006"/>
        </w:numPr>
      </w:pPr>
      <w:r>
        <w:t xml:space="preserve">Usage of reports and dashboards</w:t>
      </w:r>
    </w:p>
    <w:p>
      <w:pPr>
        <w:pStyle w:val="Compact"/>
        <w:numPr>
          <w:ilvl w:val="0"/>
          <w:numId w:val="1006"/>
        </w:numPr>
      </w:pPr>
      <w:r>
        <w:t xml:space="preserve">Observed gaps or opportunities</w:t>
      </w:r>
    </w:p>
    <w:p>
      <w:r>
        <w:pict>
          <v:rect style="width:0;height:1.5pt" o:hralign="center" o:hrstd="t" o:hr="t"/>
        </w:pict>
      </w:r>
    </w:p>
    <w:bookmarkEnd w:id="25"/>
    <w:bookmarkStart w:id="26" w:name="workflow-process-efficiency"/>
    <w:p>
      <w:pPr>
        <w:pStyle w:val="Heading2"/>
      </w:pPr>
      <w:r>
        <w:t xml:space="preserve">4. Workflow &amp; Process Efficiency</w:t>
      </w:r>
    </w:p>
    <w:p>
      <w:pPr>
        <w:pStyle w:val="Compact"/>
        <w:numPr>
          <w:ilvl w:val="0"/>
          <w:numId w:val="1007"/>
        </w:numPr>
      </w:pPr>
      <w:r>
        <w:t xml:space="preserve">Mapping of key processes</w:t>
      </w:r>
    </w:p>
    <w:p>
      <w:pPr>
        <w:pStyle w:val="Compact"/>
        <w:numPr>
          <w:ilvl w:val="0"/>
          <w:numId w:val="1007"/>
        </w:numPr>
      </w:pPr>
      <w:r>
        <w:t xml:space="preserve">Identification of bottlenecks and repetitive tasks</w:t>
      </w:r>
    </w:p>
    <w:p>
      <w:pPr>
        <w:pStyle w:val="Compact"/>
        <w:numPr>
          <w:ilvl w:val="0"/>
          <w:numId w:val="1007"/>
        </w:numPr>
      </w:pPr>
      <w:r>
        <w:t xml:space="preserve">Manual vs automated process evaluation</w:t>
      </w:r>
    </w:p>
    <w:p>
      <w:pPr>
        <w:pStyle w:val="Compact"/>
        <w:numPr>
          <w:ilvl w:val="0"/>
          <w:numId w:val="1007"/>
        </w:numPr>
      </w:pPr>
      <w:r>
        <w:t xml:space="preserve">Recommendations for optimization</w:t>
      </w:r>
    </w:p>
    <w:p>
      <w:r>
        <w:pict>
          <v:rect style="width:0;height:1.5pt" o:hralign="center" o:hrstd="t" o:hr="t"/>
        </w:pict>
      </w:r>
    </w:p>
    <w:bookmarkEnd w:id="26"/>
    <w:bookmarkStart w:id="27" w:name="decision-making-systems"/>
    <w:p>
      <w:pPr>
        <w:pStyle w:val="Heading2"/>
      </w:pPr>
      <w:r>
        <w:t xml:space="preserve">5. Decision-Making Systems</w:t>
      </w:r>
    </w:p>
    <w:p>
      <w:pPr>
        <w:pStyle w:val="Compact"/>
        <w:numPr>
          <w:ilvl w:val="0"/>
          <w:numId w:val="1008"/>
        </w:numPr>
      </w:pPr>
      <w:r>
        <w:t xml:space="preserve">Decision flows and escalation paths</w:t>
      </w:r>
    </w:p>
    <w:p>
      <w:pPr>
        <w:pStyle w:val="Compact"/>
        <w:numPr>
          <w:ilvl w:val="0"/>
          <w:numId w:val="1008"/>
        </w:numPr>
      </w:pPr>
      <w:r>
        <w:t xml:space="preserve">Use of data vs intuition in decisions</w:t>
      </w:r>
    </w:p>
    <w:p>
      <w:pPr>
        <w:pStyle w:val="Compact"/>
        <w:numPr>
          <w:ilvl w:val="0"/>
          <w:numId w:val="1008"/>
        </w:numPr>
      </w:pPr>
      <w:r>
        <w:t xml:space="preserve">Observed delays or inefficiencies</w:t>
      </w:r>
    </w:p>
    <w:p>
      <w:pPr>
        <w:pStyle w:val="Compact"/>
        <w:numPr>
          <w:ilvl w:val="0"/>
          <w:numId w:val="1008"/>
        </w:numPr>
      </w:pPr>
      <w:r>
        <w:t xml:space="preserve">KPIs and metrics for decision evaluation</w:t>
      </w:r>
    </w:p>
    <w:p>
      <w:r>
        <w:pict>
          <v:rect style="width:0;height:1.5pt" o:hralign="center" o:hrstd="t" o:hr="t"/>
        </w:pict>
      </w:r>
    </w:p>
    <w:bookmarkEnd w:id="27"/>
    <w:bookmarkStart w:id="28" w:name="technology-ai-readiness"/>
    <w:p>
      <w:pPr>
        <w:pStyle w:val="Heading2"/>
      </w:pPr>
      <w:r>
        <w:t xml:space="preserve">6. Technology &amp; AI Readiness</w:t>
      </w:r>
    </w:p>
    <w:p>
      <w:pPr>
        <w:pStyle w:val="Compact"/>
        <w:numPr>
          <w:ilvl w:val="0"/>
          <w:numId w:val="1009"/>
        </w:numPr>
      </w:pPr>
      <w:r>
        <w:t xml:space="preserve">Current technology adoption</w:t>
      </w:r>
    </w:p>
    <w:p>
      <w:pPr>
        <w:pStyle w:val="Compact"/>
        <w:numPr>
          <w:ilvl w:val="0"/>
          <w:numId w:val="1009"/>
        </w:numPr>
      </w:pPr>
      <w:r>
        <w:t xml:space="preserve">Opportunities for automation or AI integration</w:t>
      </w:r>
    </w:p>
    <w:p>
      <w:pPr>
        <w:pStyle w:val="Compact"/>
        <w:numPr>
          <w:ilvl w:val="0"/>
          <w:numId w:val="1009"/>
        </w:numPr>
      </w:pPr>
      <w:r>
        <w:t xml:space="preserve">Staff digital literacy assessment</w:t>
      </w:r>
    </w:p>
    <w:p>
      <w:pPr>
        <w:pStyle w:val="Compact"/>
        <w:numPr>
          <w:ilvl w:val="0"/>
          <w:numId w:val="1009"/>
        </w:numPr>
      </w:pPr>
      <w:r>
        <w:t xml:space="preserve">Roadmap suggestions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risk-assessment"/>
    <w:p>
      <w:pPr>
        <w:pStyle w:val="Heading2"/>
      </w:pPr>
      <w:r>
        <w:t xml:space="preserve">7. Security &amp; Risk Assessment</w:t>
      </w:r>
    </w:p>
    <w:p>
      <w:pPr>
        <w:pStyle w:val="Compact"/>
        <w:numPr>
          <w:ilvl w:val="0"/>
          <w:numId w:val="1010"/>
        </w:numPr>
      </w:pPr>
      <w:r>
        <w:t xml:space="preserve">Data protection and access controls</w:t>
      </w:r>
    </w:p>
    <w:p>
      <w:pPr>
        <w:pStyle w:val="Compact"/>
        <w:numPr>
          <w:ilvl w:val="0"/>
          <w:numId w:val="1010"/>
        </w:numPr>
      </w:pPr>
      <w:r>
        <w:t xml:space="preserve">Compliance and regulatory adherence</w:t>
      </w:r>
    </w:p>
    <w:p>
      <w:pPr>
        <w:pStyle w:val="Compact"/>
        <w:numPr>
          <w:ilvl w:val="0"/>
          <w:numId w:val="1010"/>
        </w:numPr>
      </w:pPr>
      <w:r>
        <w:t xml:space="preserve">Identified risks and vulnerabilities</w:t>
      </w:r>
    </w:p>
    <w:p>
      <w:pPr>
        <w:pStyle w:val="Compact"/>
        <w:numPr>
          <w:ilvl w:val="0"/>
          <w:numId w:val="1010"/>
        </w:numPr>
      </w:pPr>
      <w:r>
        <w:t xml:space="preserve">Recommended mitigations</w:t>
      </w:r>
    </w:p>
    <w:p>
      <w:r>
        <w:pict>
          <v:rect style="width:0;height:1.5pt" o:hralign="center" o:hrstd="t" o:hr="t"/>
        </w:pict>
      </w:r>
    </w:p>
    <w:bookmarkEnd w:id="29"/>
    <w:bookmarkStart w:id="30" w:name="customerstakeholder-experience"/>
    <w:p>
      <w:pPr>
        <w:pStyle w:val="Heading2"/>
      </w:pPr>
      <w:r>
        <w:t xml:space="preserve">8. Customer/Stakeholder Experience</w:t>
      </w:r>
    </w:p>
    <w:p>
      <w:pPr>
        <w:pStyle w:val="Compact"/>
        <w:numPr>
          <w:ilvl w:val="0"/>
          <w:numId w:val="1011"/>
        </w:numPr>
      </w:pPr>
      <w:r>
        <w:t xml:space="preserve">Digital touchpoints evaluation</w:t>
      </w:r>
    </w:p>
    <w:p>
      <w:pPr>
        <w:pStyle w:val="Compact"/>
        <w:numPr>
          <w:ilvl w:val="0"/>
          <w:numId w:val="1011"/>
        </w:numPr>
      </w:pPr>
      <w:r>
        <w:t xml:space="preserve">Communication and service gaps</w:t>
      </w:r>
    </w:p>
    <w:p>
      <w:pPr>
        <w:pStyle w:val="Compact"/>
        <w:numPr>
          <w:ilvl w:val="0"/>
          <w:numId w:val="1011"/>
        </w:numPr>
      </w:pPr>
      <w:r>
        <w:t xml:space="preserve">Recommendations to improve customer experience</w:t>
      </w:r>
    </w:p>
    <w:p>
      <w:r>
        <w:pict>
          <v:rect style="width:0;height:1.5pt" o:hralign="center" o:hrstd="t" o:hr="t"/>
        </w:pict>
      </w:r>
    </w:p>
    <w:bookmarkEnd w:id="30"/>
    <w:bookmarkStart w:id="31" w:name="key-findings"/>
    <w:p>
      <w:pPr>
        <w:pStyle w:val="Heading2"/>
      </w:pPr>
      <w:r>
        <w:t xml:space="preserve">9. Key Findings</w:t>
      </w:r>
    </w:p>
    <w:p>
      <w:pPr>
        <w:pStyle w:val="Compact"/>
        <w:numPr>
          <w:ilvl w:val="0"/>
          <w:numId w:val="1012"/>
        </w:numPr>
      </w:pPr>
      <w:r>
        <w:t xml:space="preserve">Consolidated summary of observations</w:t>
      </w:r>
    </w:p>
    <w:p>
      <w:pPr>
        <w:pStyle w:val="Compact"/>
        <w:numPr>
          <w:ilvl w:val="0"/>
          <w:numId w:val="1012"/>
        </w:numPr>
      </w:pPr>
      <w:r>
        <w:t xml:space="preserve">Critical risks and inefficiencies</w:t>
      </w:r>
    </w:p>
    <w:p>
      <w:pPr>
        <w:pStyle w:val="Compact"/>
        <w:numPr>
          <w:ilvl w:val="0"/>
          <w:numId w:val="1012"/>
        </w:numPr>
      </w:pPr>
      <w:r>
        <w:t xml:space="preserve">Opportunities for immediate improvement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roadmap"/>
    <w:p>
      <w:pPr>
        <w:pStyle w:val="Heading2"/>
      </w:pPr>
      <w:r>
        <w:t xml:space="preserve">10. Recommendations &amp; Roadmap</w:t>
      </w:r>
    </w:p>
    <w:p>
      <w:pPr>
        <w:pStyle w:val="Compact"/>
        <w:numPr>
          <w:ilvl w:val="0"/>
          <w:numId w:val="1013"/>
        </w:numPr>
      </w:pPr>
      <w:r>
        <w:t xml:space="preserve">Prioritized actions (short-term, medium-term, long-term)</w:t>
      </w:r>
    </w:p>
    <w:p>
      <w:pPr>
        <w:pStyle w:val="Compact"/>
        <w:numPr>
          <w:ilvl w:val="0"/>
          <w:numId w:val="1013"/>
        </w:numPr>
      </w:pPr>
      <w:r>
        <w:t xml:space="preserve">Suggested timeline and resource estimates</w:t>
      </w:r>
    </w:p>
    <w:p>
      <w:pPr>
        <w:pStyle w:val="Compact"/>
        <w:numPr>
          <w:ilvl w:val="0"/>
          <w:numId w:val="1013"/>
        </w:numPr>
      </w:pPr>
      <w:r>
        <w:t xml:space="preserve">Potential ROI and strategic benefits</w:t>
      </w:r>
    </w:p>
    <w:p>
      <w:r>
        <w:pict>
          <v:rect style="width:0;height:1.5pt" o:hralign="center" o:hrstd="t" o:hr="t"/>
        </w:pict>
      </w:r>
    </w:p>
    <w:bookmarkEnd w:id="32"/>
    <w:bookmarkStart w:id="33" w:name="appendix"/>
    <w:p>
      <w:pPr>
        <w:pStyle w:val="Heading2"/>
      </w:pPr>
      <w:r>
        <w:t xml:space="preserve">11. Appendix</w:t>
      </w:r>
    </w:p>
    <w:p>
      <w:pPr>
        <w:pStyle w:val="Compact"/>
        <w:numPr>
          <w:ilvl w:val="0"/>
          <w:numId w:val="1014"/>
        </w:numPr>
      </w:pPr>
      <w:r>
        <w:t xml:space="preserve">Supporting screenshots, charts, and process diagrams</w:t>
      </w:r>
    </w:p>
    <w:p>
      <w:pPr>
        <w:pStyle w:val="Compact"/>
        <w:numPr>
          <w:ilvl w:val="0"/>
          <w:numId w:val="1014"/>
        </w:numPr>
      </w:pPr>
      <w:r>
        <w:t xml:space="preserve">Detailed notes from the audit checklist</w:t>
      </w:r>
    </w:p>
    <w:p>
      <w:pPr>
        <w:pStyle w:val="Compact"/>
        <w:numPr>
          <w:ilvl w:val="0"/>
          <w:numId w:val="1014"/>
        </w:numPr>
      </w:pPr>
      <w:r>
        <w:t xml:space="preserve">Any additional reference materials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Use clear, concise language suitable for executive readership.</w:t>
      </w:r>
      <w:r>
        <w:t xml:space="preserve"> </w:t>
      </w:r>
      <w:r>
        <w:t xml:space="preserve">- Highlight areas where quick wins are possible.</w:t>
      </w:r>
      <w:r>
        <w:t xml:space="preserve"> </w:t>
      </w:r>
      <w:r>
        <w:t xml:space="preserve">- Include visual aids (charts, graphs, process maps) to enhance comprehension.</w:t>
      </w:r>
      <w:r>
        <w:t xml:space="preserve"> </w:t>
      </w:r>
      <w:r>
        <w:t xml:space="preserve">- The report should position Harjota as a strategic partner, not just a service provider.</w:t>
      </w:r>
    </w:p>
    <w:p>
      <w:pPr>
        <w:pStyle w:val="BodyText"/>
      </w:pPr>
      <w:r>
        <w:rPr>
          <w:i/>
          <w:iCs/>
        </w:rPr>
        <w:t xml:space="preserve">This template ensures consistency, professionalism, and actionable value in all Harjota Digital Audit engagements.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2025-12-25T10:11:41Z</dcterms:created>
  <dcterms:modified xsi:type="dcterms:W3CDTF">2025-12-25T10:11:41Z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